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SCHEDULE 14C</w:t>
      </w:r>
    </w:p>
    <w:p>
      <w:pPr>
        <w:spacing w:after="0" w:line="30"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(Rule 14c-101)</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SCHEDULE 14C INFORMATION STATEMENT</w:t>
      </w:r>
    </w:p>
    <w:p>
      <w:pPr>
        <w:spacing w:after="0" w:line="17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Information Statement Pursuant to Section 14(c) of the</w:t>
      </w:r>
    </w:p>
    <w:p>
      <w:pPr>
        <w:spacing w:after="0" w:line="1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14c-5(d)(2))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19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Galera Therapeutics, Inc.</w:t>
      </w:r>
    </w:p>
    <w:p>
      <w:pPr>
        <w:spacing w:after="0" w:line="45"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line="282" w:lineRule="auto"/>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880"/>
          </w:cols>
          <w:pgMar w:left="320" w:top="225" w:right="6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371475</wp:posOffset>
            </wp:positionV>
            <wp:extent cx="1320165" cy="796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016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STATEMENT/PROSPECTUS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ACTION BY WRITTEN CONSENT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1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GALERA THERAPEUTICS, INC.</w:t>
      </w:r>
    </w:p>
    <w:p>
      <w:pPr>
        <w:spacing w:after="0" w:line="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101 Lindenwood Drive, Suite 225</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10240"/>
        <w:spacing w:after="0"/>
        <w:rPr>
          <w:sz w:val="20"/>
          <w:szCs w:val="20"/>
          <w:color w:val="auto"/>
        </w:rPr>
      </w:pPr>
      <w:r>
        <w:rPr>
          <w:rFonts w:ascii="Times New Roman" w:cs="Times New Roman" w:eastAsia="Times New Roman" w:hAnsi="Times New Roman"/>
          <w:sz w:val="18"/>
          <w:szCs w:val="18"/>
          <w:color w:val="auto"/>
        </w:rPr>
        <w:t>July 2, 2026</w:t>
      </w:r>
    </w:p>
    <w:p>
      <w:pPr>
        <w:spacing w:after="0" w:line="225" w:lineRule="exact"/>
        <w:rPr>
          <w:sz w:val="20"/>
          <w:szCs w:val="20"/>
          <w:color w:val="auto"/>
        </w:rPr>
      </w:pPr>
    </w:p>
    <w:p>
      <w:pPr>
        <w:ind w:left="120" w:right="180" w:firstLine="440"/>
        <w:spacing w:after="0" w:line="269" w:lineRule="auto"/>
        <w:rPr>
          <w:sz w:val="20"/>
          <w:szCs w:val="20"/>
          <w:color w:val="auto"/>
        </w:rPr>
      </w:pPr>
      <w:r>
        <w:rPr>
          <w:rFonts w:ascii="Times New Roman" w:cs="Times New Roman" w:eastAsia="Times New Roman" w:hAnsi="Times New Roman"/>
          <w:sz w:val="17"/>
          <w:szCs w:val="17"/>
          <w:color w:val="auto"/>
        </w:rPr>
        <w:t>On April 14, 2026, Galera Therapeutics, Inc., a Delaware corporation (“Galera”), Gazelle Parent, Inc., a Delaware corporation (“Parent”), Obsidian Therapeutics, Inc., a Delaware corporation (“Obsidian”), Onyx MergerSub, Inc., a wholly-owned subsidiary of Parent (“Merger Sub 1”) and Gazelle Merger Subsidiary, Inc., a wholly-owned subsidiary of Parent (“Merger Sub 2”), entered into an Agreement and Plan of Merger (as it may be amended, supplemented, or modified from time to time, the “merger agreement”) providing for (1) the merger of Merger Sub 1 with and into Obsidian (the “Obsidian merger”), with Obsidian surviving the Obsidian merger as the surviving corporation and a wholly-owned subsidiary of Parent and</w:t>
      </w:r>
    </w:p>
    <w:p>
      <w:pPr>
        <w:spacing w:after="0" w:line="3" w:lineRule="exact"/>
        <w:rPr>
          <w:sz w:val="20"/>
          <w:szCs w:val="20"/>
          <w:color w:val="auto"/>
        </w:rPr>
      </w:pPr>
    </w:p>
    <w:p>
      <w:pPr>
        <w:ind w:left="120" w:right="60" w:hanging="4"/>
        <w:spacing w:after="0" w:line="255" w:lineRule="auto"/>
        <w:tabs>
          <w:tab w:leader="none" w:pos="3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effective time of the Obsidian merger, the merger of Merger Sub 2 with and into Galera (the “Galera merger” and, together with the Obsidian merger, the “mergers”), with Galera surviving the Galera merger as the surviving corporation and a wholly-owned subsidiary of Parent.</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Also on April 14, 2026, Galera entered into a securities purchase agreement (the “subscription agreement”) with certain investors, pursuant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which Galera has agreed to sell, and such investors have agreed to purchase, shares of Galera’s Series C Non-Voting Convertible Preferred Stock,</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$0.001 par value (“Galera Series C preferred stock”), for an aggregate purchase price of approximately $350.0 million (less any proceeds received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Obsidian in connection with certain interim permitted financings (“interim permitted financings”)), prior to the closing of the mergers (such transaction,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“concurrent financing”). The closing of the concurrent financing is conditioned upon the satisfaction or waiver of each of the conditions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closing of the mergers (other than those conditions which, by their nature, are to be satisfied at the closing of the transactions contemplated by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agreement), as well as certain other conditions. The concurrent financing is more fully described in the section titled “</w:t>
      </w:r>
      <w:r>
        <w:rPr>
          <w:rFonts w:ascii="Times New Roman" w:cs="Times New Roman" w:eastAsia="Times New Roman" w:hAnsi="Times New Roman"/>
          <w:sz w:val="18"/>
          <w:szCs w:val="18"/>
          <w:i w:val="1"/>
          <w:iCs w:val="1"/>
          <w:color w:val="auto"/>
        </w:rPr>
        <w:t>Agreements Related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Mergers—Concurrent Financing</w:t>
      </w:r>
      <w:r>
        <w:rPr>
          <w:rFonts w:ascii="Times New Roman" w:cs="Times New Roman" w:eastAsia="Times New Roman" w:hAnsi="Times New Roman"/>
          <w:sz w:val="18"/>
          <w:szCs w:val="18"/>
          <w:color w:val="auto"/>
        </w:rPr>
        <w:t>” beginning on page 174 of the accompanying information statement/prospectus.</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(1) prior to the Galera merger effective time, all of the outstanding shares of Galera Series C preferred stock and Galera’s Series B Non-Voting Convertible Preferred Stock, $0.001 par value (“Galera Series B preferred stock” and, together with the Galera Series C preferred stock, the “Galera preferred stock”), as well as certain outstanding pre-funded warrants (“Galera pre-funded warrants”) exercisable for Galera’s common stock, par value $0.001 per share (“Galera common stock”), will be converted into Galera common stock and (2) prior to the Obsidian merger effective time all of the outstanding shares of Obsidian preferred stock (as defined in the accompanying information statement/prospectus), as well as certain outstanding Banc of California, Inc. warrants (“Obsidian Banc of California, Inc. warrants”) will be converted into Obsidian common stock, par value $0.0001 per share (“Obsidian common stock”). At the effective time of the Obsidian merger, each outstanding share of Obsidian common stock (including those resulting from the conversion of the Obsidian preferred stock, the Obsidian Banc of California, Inc. warrants, and Obsidian common stock issued in</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connection with any interim permitted financings, but excluding dissenting shares and certain excluded shares as described in the accompanying information statement/prospectus) will be converted into the right to receive a number of shares of Parent’s common stock, par value $0.001 per share (“Parent common stock”), calculated as described in the accompanying information statement/prospectus (the “Obsidian merger consideration”). Immediately following the effective time of the Obsidian merger, at the effective time of the Galera merger, each outstanding share of Galera common stock (including those resulting from the conversion of the Galera preferred stock and the Galera pre-funded warrants, but excluding dissenting shares and certain excluded shares as described in the accompanying information statement/prospectus) will be converted into the right to receive a number of shares of Parent common stock calculated as described in the accompanying information statement/prospectus (the “Galera merger consideration” and, together with the Obsidian merger consideration, the “merger consideration”).</w:t>
      </w:r>
    </w:p>
    <w:p>
      <w:pPr>
        <w:spacing w:after="0" w:line="188"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The percentage of the combined company that pre-closing Galera security holders will own as of the closing of the mergers is subject to adjustment based on the valuation of Galera immediately prior to the closing (as described in more detail in the section titled “</w:t>
      </w:r>
      <w:r>
        <w:rPr>
          <w:rFonts w:ascii="Times New Roman" w:cs="Times New Roman" w:eastAsia="Times New Roman" w:hAnsi="Times New Roman"/>
          <w:sz w:val="18"/>
          <w:szCs w:val="18"/>
          <w:b w:val="1"/>
          <w:bCs w:val="1"/>
          <w:i w:val="1"/>
          <w:iCs w:val="1"/>
          <w:color w:val="auto"/>
        </w:rPr>
        <w:t>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Agreement—Merger Consideration</w:t>
      </w:r>
      <w:r>
        <w:rPr>
          <w:rFonts w:ascii="Times New Roman" w:cs="Times New Roman" w:eastAsia="Times New Roman" w:hAnsi="Times New Roman"/>
          <w:sz w:val="18"/>
          <w:szCs w:val="18"/>
          <w:b w:val="1"/>
          <w:bCs w:val="1"/>
          <w:color w:val="auto"/>
        </w:rPr>
        <w:t>” beginning on page 150 of the accompanying information statement/prospectus).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valuation of Galera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 dollar-for-dollar adjustment if Final Galera net cash (as defined in the merger agreement) is above or below the Galera target net cash of $1.8 million, provided that any Permitted Galera Bridge Financing will not cause the Final Galera net cash (as defined in the merger agreement) to exceed $1.8 million.</w:t>
      </w:r>
    </w:p>
    <w:p>
      <w:pPr>
        <w:spacing w:after="0" w:line="18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For every $200,000 decrease in the Final Galera net cash (as defined in the merger agreement) below $(2.00) million, pre-closing Galera security holders (other than those investors participating in the concurrent financing) would own approximately 2.5 basis points (or two and one half hundredths of a percentage point) less, and pre-closing Obsidian security holders and investors in the concurrent financing, collectively, would own approximately 2.5 basis points (or two and one half hundredths of a percentage point) more, of the outstanding shares of Parent common stock at closing. Final Galera net cash as defined in the merger agreement can be, and likely will be, a negative number and the amount of the adjustment described above is not capped. As an illustration, if the Final Galera net cash is ($2.00) million, the valuation of Galera would be $10.00 million, and (assuming gross proceeds of $350.0 million from the concurrent financing), the pre-closing Galera security holders (other than the investors participating in the concurrent financing) would own approximately 1.29% of the combined company, the pre-closing Obsidian security holders would own approximately 53.46% of the combined company, and investors in the concurrent financing would own approximately 45.25% of the combined company in each case on a fully-diluted basis, using the treasury stock method.</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June 22, 2026, the exchange ratio of shares of Galera common stock for Parent common stock (the “Galera exchange ratio”) is estimated to be approximately 0.7515 (after giving effect to the Galera Reverse Stock Split (as defined below) and assuming a Galera Reverse Stock Split ratio of 1:200). This estimate is subject to adjustment prior to closing for the number of outstanding shares of Parent common stock and Galera common stock, in each case as of immediately prior to the effective time, and the Final Galera net cash (and as a result, Galera stockholders could own more or less of the combined company than may be implied by the assumed Galera exchange ratio). The assumed Galera exchange ratio is based on (a) a valuation of Galera at $10.00 million, subject to adjustment if the Final Galera net cash exceeds or falls below $(2.00) million (with any such difference resulting in a dollar-for-dollar adjustment to Galera’s valuation), and (b) the assumed Galera Reverse Stock Split ratio noted above, although Galera’s board of directors may instead effect the Galera Reverse Stock Split at another ratio within the approved range of 1:75 to 1:200, which would result in a corresponding adjustment to the Galera exchange ratio.</w:t>
      </w:r>
    </w:p>
    <w:p>
      <w:pPr>
        <w:spacing w:after="0" w:line="188" w:lineRule="exact"/>
        <w:rPr>
          <w:sz w:val="20"/>
          <w:szCs w:val="20"/>
          <w:color w:val="auto"/>
        </w:rPr>
      </w:pPr>
    </w:p>
    <w:p>
      <w:pPr>
        <w:ind w:left="120" w:right="180" w:firstLine="440"/>
        <w:spacing w:after="0" w:line="281" w:lineRule="auto"/>
        <w:rPr>
          <w:sz w:val="20"/>
          <w:szCs w:val="20"/>
          <w:color w:val="auto"/>
        </w:rPr>
      </w:pPr>
      <w:r>
        <w:rPr>
          <w:rFonts w:ascii="Times New Roman" w:cs="Times New Roman" w:eastAsia="Times New Roman" w:hAnsi="Times New Roman"/>
          <w:sz w:val="17"/>
          <w:szCs w:val="17"/>
          <w:color w:val="auto"/>
        </w:rPr>
        <w:t>As of June 22, 2026, the exchange ratio of shares of Obsidian common stock for Parent common stock (the “Obsidian exchange ratio”) is estimated to be approximately 0.1375 (after giving effect to the Galera Reverse Stock Split and assuming a Galera Reverse Stock Split ratio of 1:200). This estimate is subject to adjustment prior to closing for the number of outstanding shares of Galera common stock and Obsidian common stock, in each case as of immediately prior to the effective time. The assumed Obsidian exchange ratio is based on a valuation of Obsidian at $413.5 million.</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estimated aggregate number of shares of Parent common stock that Parent expects to issue to Galera’s securityholders at the closing of the Galera merger is 781,649 shares, reflecting an expected per share value of $12.00, assuming the Galera merger occurred as of June 22, 2026 (after giving effect to the Galera preferred stock conversion, the assumed Galera Reverse Stock Split ratio and the assumed Galera exchange ratio). The estimated aggregate number of shares of Parent common stock that Parent expects to issue to Obsidian’s securityholders at the closing of the Obsidian merger is 31,647,468 shares, reflecting an expected per share value of $12.00, assuming the Obsidian merger occurred as of June 22, 2026, the assumed Galera Reverse Stock Split ratio and the assumed Obsidian exchange ratio.</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Furthermore, each holder of Galera common stock of record as of immediately prior to the consummation of the concurrent financing will be entitled to (i) one contingent value right (“CVR”) for each share of Galera common stock held by such holder, representing the right to receive a pro rata portion of 80% of any potential future net proceeds received by Parent or its affiliates from the development, commercialization, licensing, sale or other disposition of tilarginine, Galera’s legacy product candidate, or related intellectual property during the five years following the closing of the mergers and (ii) one CVR for each share of Galera common stock held by such holder, representing the right to receive a pro rata portion of 95% of any potential future net proceeds received by Parent or its affiliates from the Supportive-Care Product Divestiture (as defined in the accompanying information statement/prospectus) during the ten years following the closing of the mergers.</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This registration statement covers 36,878,144 shares of Parent common stock, which is the estimated maximum number of shares expected to be issued to Galera’s securityholders at the closing of the Galera merger (not including the shares issued in the concurrent financing) and to Obsidian’s securityholders at the closing of the Obsidian merger, in each case subject to the adjustments described in this information statement/prospectus. This maximum number of shares includes (i) up to 5,355,802 additional shares of Parent common stock reserved for issuance pursuant to outstanding Galera and Obsidian equity awards and (ii) 49,975 additional shares of Parent common stock issuable upon exercise of the Galera Exchangeable Warrants (as defined below), which will be assumed by Parent in connection with the mergers.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Completion of the mergers is subject to, among other conditions, the Parent common stock being approved for listing on Nasdaq, subject to official notice of issuance. Although it is expected that Parent common stock will be traded on The Nasdaq Stock Market (“Nasdaq”) following the completion of the mergers under the ticker symbol “OBX,” it currently does not trade on any exchange and there has never been a public market for Parent common stock. There can be no assurance such listing condition will be met or that Parent will obtain such approval from Nasdaq. If such listing condition is not met or if such approval is not obtained, the mergers will not be consummated unless the condition is waived in writing by each of the parties at or prior to closing. As a result of the mergers, Galera common stock will no longer trade on the Over-The-Counter Quote Bulletin Board - Venture Market.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Upon closing of the mergers, Parent will be renamed “Obsidian Therapeutics, Inc.”</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Under the terms of the Delaware General Corporation Law and the certificate of incorporation of Galera, stockholders of Galera holding a majority of the outstanding shares of Galera common stock have acted by written consent to adopt the merger agreement and each of the transactions contemplated thereby. The foregoing written consent was delivered on July 2, 2026. Accordingly, the adoption of the merger agreement by any other stockholder of Galera is not required and Galera is not requesting a vote on this matter, and unless a stockholder who did not execute the written consent dissents and seeks appraisal, they will only be entitled to receive their pro rata share of the Galera merger consideration upon consummation of the Galera merger. Accordingly, no meeting of the stockholders of Galera is required to consider and vote on, among other things, a proposal to adopt the merger agreement. This notice and the accompanying information statement will constitute notice to you from Galera of the written consent contemplated by Section 228(e)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217170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information statement/prospectus contains information about Galera, Obsidian, the mergers, the concurrent financing, the documents related to the mergers and the concurrent financing, and other related matters. </w:t>
      </w:r>
      <w:r>
        <w:rPr>
          <w:rFonts w:ascii="Times New Roman" w:cs="Times New Roman" w:eastAsia="Times New Roman" w:hAnsi="Times New Roman"/>
          <w:sz w:val="18"/>
          <w:szCs w:val="18"/>
          <w:b w:val="1"/>
          <w:bCs w:val="1"/>
          <w:color w:val="auto"/>
        </w:rPr>
        <w:t>Please carefully read the entire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statement/prospectus, including the section titled “</w:t>
      </w:r>
      <w:r>
        <w:rPr>
          <w:rFonts w:ascii="Times New Roman" w:cs="Times New Roman" w:eastAsia="Times New Roman" w:hAnsi="Times New Roman"/>
          <w:sz w:val="18"/>
          <w:szCs w:val="18"/>
          <w:b w:val="1"/>
          <w:bCs w:val="1"/>
          <w:i w:val="1"/>
          <w:iCs w:val="1"/>
          <w:u w:val="single" w:color="auto"/>
          <w:color w:val="0000EE"/>
        </w:rPr>
        <w:t>Risk Factors</w:t>
      </w:r>
      <w:r>
        <w:rPr>
          <w:rFonts w:ascii="Times New Roman" w:cs="Times New Roman" w:eastAsia="Times New Roman" w:hAnsi="Times New Roman"/>
          <w:sz w:val="18"/>
          <w:szCs w:val="18"/>
          <w:b w:val="1"/>
          <w:bCs w:val="1"/>
          <w:color w:val="auto"/>
        </w:rPr>
        <w:t>,” beginning on page 25 of the accompanying information statement/prospectus, for a discussion of the risks relating to the proposed mergers</w:t>
      </w:r>
      <w:r>
        <w:rPr>
          <w:rFonts w:ascii="Times New Roman" w:cs="Times New Roman" w:eastAsia="Times New Roman" w:hAnsi="Times New Roman"/>
          <w:sz w:val="18"/>
          <w:szCs w:val="18"/>
          <w:color w:val="auto"/>
        </w:rPr>
        <w:t>. You also can obtain information about the proposed mergers and the concurrent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financing, and Galera, from documents that Galera has filed with the U.S. Securities and Exchange Commission (the “SEC”).</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 Mel Sorensen, M.D.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03"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mergers or the securities to be issued in the mergers or determined that the disclosure in the accompanying information statement/prospectus is accurate or adequate.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accompanying information statement/prospectus is dated July 2, 2026 and is first being mailed to Galera stockholders on or about July 2, 2026</w:t>
      </w:r>
      <w:r>
        <w:rPr>
          <w:rFonts w:ascii="Times New Roman" w:cs="Times New Roman" w:eastAsia="Times New Roman" w:hAnsi="Times New Roman"/>
          <w:sz w:val="18"/>
          <w:szCs w:val="18"/>
          <w:color w:val="auto"/>
        </w:rPr>
        <w:t>.</w:t>
      </w:r>
    </w:p>
    <w:p>
      <w:pPr>
        <w:sectPr>
          <w:pgSz w:w="11900" w:h="16838" w:orient="portrait"/>
          <w:cols w:equalWidth="0" w:num="1">
            <w:col w:w="11060"/>
          </w:cols>
          <w:pgMar w:left="320" w:top="455"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INFORMATION STATEMENT/PROSPECTUS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This document, which forms part of a registration statement on Form S-4 filed with the U.S. Securities and Exchange Commission (the “SEC”) by Parent (File No. 333-295249) constitutes a prospectus of Parent under Section 5 of the Securities Act of 1933, as amended (the “Securities Act”), with respect to the shares of Parent common stock to be issued (or reserved for issuance) to the securityholders of Galera and Obsidian pursuant to the merger agreement. This document also constitutes an information statement of Galera under Section 14(c) of the Securities Exchange Act of 1934, as amended (the “Exchange Act”), and serves as notice to Galera stockholders pursuant to Section 228(e) of the DGCL of the adoption of the merger agreement by less than unanimous consent of stockholders. Parent (with Galera and Obsidian as its subsidiaries), following the mergers, is referred to in this information statement/prospectus as the combined company.</w:t>
      </w:r>
    </w:p>
    <w:p>
      <w:pPr>
        <w:spacing w:after="0" w:line="18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used in this information statement/prospectus, except where otherwise stated or indicated by the context, all references to Galera are to Galera Therapeutics, Inc. and its consolidated subsidiaries and all references to Obsidian are to Obsidian Therapeutics, Inc. and its consolidated subsidiaries, in each case, prior to the consummation of the mergers.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information statement/prospectus. No one has been authorized to provide you with information that is different from that contained in this information statement/prospectus, or incorporated by reference into, this information statement/prospectus, and, if given or made by any person, such information must not be relied upon as having been authorized. This information statement/prospectus is dated July 2, 2026. You should not assume that the information contained in this information statement/prospectus is accurate as of any date other than that date. Neither our mailing of this information statement/prospectus to Galera stockholders, nor the issuance by Parent of Parent common stock in connection with the mergers, will create any implication to the contrary.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information statement/prospectus does not constitute an offer to sell, or a solicitation of an offer to buy, any securities in any jurisdiction to or from any person to whom it is unlawful to make any such offer or solicitation in such jurisdiction. Information contained in this information statement/prospectus regarding Galera, Merger Sub 1 and Merger Sub 2 has been provided by Galera and information contained in this information statement/prospectus regarding Obsidian and Parent has been provided by Obsidian.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356 of this information statement/prospectus.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8, 2026, Galera stockholders approved proposals to amend the Galera Charter (as defined in this information statement/prospectus) to</w:t>
      </w:r>
    </w:p>
    <w:p>
      <w:pPr>
        <w:spacing w:after="0" w:line="27" w:lineRule="exact"/>
        <w:rPr>
          <w:sz w:val="20"/>
          <w:szCs w:val="20"/>
          <w:color w:val="auto"/>
        </w:rPr>
      </w:pPr>
    </w:p>
    <w:p>
      <w:pPr>
        <w:ind w:left="120" w:right="60" w:hanging="4"/>
        <w:spacing w:after="0" w:line="25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authorized shares of Galera common stock from 200 million shares to 400 million shares, (ii) permit Galera stockholders to act by written consent in lieu of a meeting and (iii) effect a Galera Reverse Stock Split at a ratio between 1:75 and 1:200, if and when determined by the Galera Board.</w:t>
      </w:r>
    </w:p>
    <w:p>
      <w:pPr>
        <w:spacing w:after="0" w:line="186" w:lineRule="exact"/>
        <w:rPr>
          <w:sz w:val="20"/>
          <w:szCs w:val="20"/>
          <w:color w:val="auto"/>
        </w:rPr>
      </w:pPr>
    </w:p>
    <w:p>
      <w:pPr>
        <w:ind w:left="120" w:right="20" w:firstLine="440"/>
        <w:spacing w:after="0" w:line="247" w:lineRule="auto"/>
        <w:rPr>
          <w:sz w:val="20"/>
          <w:szCs w:val="20"/>
          <w:color w:val="auto"/>
        </w:rPr>
      </w:pPr>
      <w:r>
        <w:rPr>
          <w:rFonts w:ascii="Times New Roman" w:cs="Times New Roman" w:eastAsia="Times New Roman" w:hAnsi="Times New Roman"/>
          <w:sz w:val="17"/>
          <w:szCs w:val="17"/>
          <w:color w:val="auto"/>
        </w:rPr>
        <w:t xml:space="preserve">Galera and Obsidian have proprietary rights to trademarks, trade names and service marks appearing in this information statement/prospectus that are important to their respective businesses. Solely for convenience, the trademarks, trade names and service marks may appear in this information statement/prospectus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TM symbols, but any such references are not intended to indicate, in any way, that Galera or Obsidian forgo or will not assert, to the fullest extent under applicable law, their rights or the rights of the applicable licensors to these trademarks, trade names and service marks. All trademarks, trade names and service marks appearing in this information statement/prospectus are the property of their respective owners.</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indicated or as the context otherwise requires, all references in this information statement/prospectus to:</w:t>
      </w:r>
    </w:p>
    <w:p>
      <w:pPr>
        <w:spacing w:after="0" w:line="131" w:lineRule="exact"/>
        <w:rPr>
          <w:sz w:val="20"/>
          <w:szCs w:val="20"/>
          <w:color w:val="auto"/>
        </w:rPr>
      </w:pPr>
    </w:p>
    <w:p>
      <w:pPr>
        <w:ind w:left="1080" w:right="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Inquiry” means, with respect to a party, an inquiry, indication of interest or request for information (other than an inquiry, indication of interest or request for information made or submitted by Obsidian, on the one hand, or Galera, on the other hand, to the other Party) that would reasonably be expected to lead to an Acquisition Proposal, other than, as applicable, with respect to the concurrent financing, a Permitted Galera Bridge Financing or a Permitted Obsidian Bridge Financing;</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Proposal” means, with respect to any party to the merger agreement, any proposal or offer from any Person (other than the other party or any of its Representatives) providing for an Acquisition Transaction (in each case other than in connection with a Permitted Galera Bridge Financing, a Permitted Obsidian Bridge Financing, the concurrent financing, or the exercise or repurchase of existing equity interests);</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Transaction” means any transaction or series of related transactions involving (other than, as applicable, conversion of the Galera Series B Preferred Stock and the concurrent financing):</w:t>
      </w:r>
    </w:p>
    <w:p>
      <w:pPr>
        <w:spacing w:after="0" w:line="67" w:lineRule="exact"/>
        <w:rPr>
          <w:rFonts w:ascii="Times New Roman" w:cs="Times New Roman" w:eastAsia="Times New Roman" w:hAnsi="Times New Roman"/>
          <w:sz w:val="18"/>
          <w:szCs w:val="18"/>
          <w:color w:val="auto"/>
        </w:rPr>
      </w:pPr>
    </w:p>
    <w:p>
      <w:pPr>
        <w:ind w:left="1540" w:right="20" w:hanging="331"/>
        <w:spacing w:after="0" w:line="25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spacing w:after="0" w:line="92"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Meeting Galera Stockholder Vote” means the approval by Galera stockholders, prior to the consummation of the Contemplated Transactions, of an amendment to Galera’s organizational documents permitting Galera stockholders to act by written consent in lieu of a meeting;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refers to the closing of the mergers;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refers to the Internal Revenue Code of 1986, as amended;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financing” refers to Galera’s sale of shares of Galera’s Series C Non-Voting Convertible Preferred Stock, $0.001 par value (“Galera Series C preferred stock”), for an aggregate purchase price of approximately $350.0 million (less any proceeds received by Obsidian in connection with a Permitted Obsidian Bridge Financing), prior to the closing;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PIPE Financing Amount” means $350,000,000;</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Transactions” means the mergers and the other transactions contemplated by the merger agreement, including the CVR agreement and the concurrent financing;</w:t>
      </w:r>
    </w:p>
    <w:p>
      <w:pPr>
        <w:spacing w:after="0" w:line="67" w:lineRule="exact"/>
        <w:rPr>
          <w:rFonts w:ascii="Times New Roman" w:cs="Times New Roman" w:eastAsia="Times New Roman" w:hAnsi="Times New Roman"/>
          <w:sz w:val="18"/>
          <w:szCs w:val="18"/>
          <w:color w:val="auto"/>
        </w:rPr>
      </w:pPr>
    </w:p>
    <w:p>
      <w:pPr>
        <w:ind w:left="1080" w:right="20" w:hanging="424"/>
        <w:spacing w:after="0" w:line="255"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“CVRs” refers to (1) the one contingent value right for each share of Galera common stock, representing the right to receive a pro rata portion of 80% of any potential future net proceeds received by Parent or its affiliates from the development, commercialization, licensing, sale or other disposition of the Legacy Product, or related intellectual property during the five years following the closing and (2) the one contingent value right for each share of Galera common stock, representing the right to receive a pro rata portion of 95% of any potential future net proceeds received by Parent or its affiliates from the Supportive-Care Product Divestiture during the ten years following the closing, each of which will be issued pursuant to a Contingent Value Rights Agreement as contemplated by the merger agreement (the “CVR agreement”);</w:t>
      </w:r>
    </w:p>
    <w:p>
      <w:pPr>
        <w:spacing w:after="0" w:line="94" w:lineRule="exact"/>
        <w:rPr>
          <w:rFonts w:ascii="Times New Roman" w:cs="Times New Roman" w:eastAsia="Times New Roman" w:hAnsi="Times New Roman"/>
          <w:sz w:val="18"/>
          <w:szCs w:val="18"/>
          <w:color w:val="auto"/>
        </w:rPr>
      </w:pPr>
    </w:p>
    <w:p>
      <w:pPr>
        <w:jc w:val="both"/>
        <w:ind w:left="1080" w:right="4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“CVR Product Agreements” refers to (1) any agreement entered into by Parent or its affiliates during the five years after the closing under which Parent or its affiliate exclusively licenses, sells, assigns, transfers or divests to a third party the rights to develop and commercialize tilarginine, Galera’s legacy product candidate (the “Legacy Product Agreement”) and (2) the Asset Purchase and Sale Agreement, dated as of October 15, 2025, by and among Galera (and its affiliate named therein) and Biossil, Inc. (the “Supportive-Care Agreement”);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refers to the General Corporation Law of the State of Delaware;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refers to Galera Therapeutics, Inc., a Delaware corporation;</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Authorized Common Stock Increase” means the approval by the Galera stockholders of, and the filing with the Secretary of State of the State of Delaware of, an amendment to the Galera charter to increase the authorized number of shares of Galera common stock to 400,000,000 shares, with no change to the number of authorized shares of Galera preferred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Board” refers to the board of directors of Galera;</w:t>
      </w:r>
    </w:p>
    <w:p>
      <w:pPr>
        <w:spacing w:after="0" w:line="130"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Board Adverse Recommendation Change” means to withhold, amend, withdraw or modify the Galera Board Recommendation in a manner adverse to Obsidian or to adopt resolutions by the Galera Board or any committee thereof to withdraw or modify the Galera Board Recommendation in a manner adverse to Obsidian or to adopt, approve or recommend (or publicly propose to adopt, approve or recommend) any Acquisition Proposal;</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Board Recommendation” means the recommendation that Galera’s stockholders vote to approve the Galera Stockholder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common stock” refers to the common stock, par value $0.001 per share, of Galera;</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Exchangeable Warrants” means those certain warrants to purchase stock, dated as of February 17, 2023, by and between Galera and the holders party thereto;</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merger” refers to the merger of Merger Sub 2 with and into Galera, with Galera surviving the merger as a wholly-owned subsidiary of Parent;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merger effective time” refers to the effective time of the Galera merger;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Reverse Stock Split” means an amendment to the Galera Charter authorizing a reverse stock split of Galera common stock with a split ratio between 1:75 and 1:200, to occur after the effectiveness of the registration statement of which this information statement/prospectus forms a part;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stockholders” refers to the holders of Galera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Stockholder Matters” means the vote of Galera stockholders to approve the Galera merger;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Terminable Warrants” means those certain warrants to purchase common stock, dated as of May 11, 2020, by and between Galera and the holders party thereto;</w:t>
      </w:r>
    </w:p>
    <w:p>
      <w:pPr>
        <w:spacing w:after="0" w:line="67" w:lineRule="exact"/>
        <w:rPr>
          <w:rFonts w:ascii="Times New Roman" w:cs="Times New Roman" w:eastAsia="Times New Roman" w:hAnsi="Times New Roman"/>
          <w:sz w:val="18"/>
          <w:szCs w:val="18"/>
          <w:color w:val="auto"/>
        </w:rPr>
      </w:pPr>
    </w:p>
    <w:p>
      <w:pPr>
        <w:ind w:left="1080" w:hanging="424"/>
        <w:spacing w:after="0" w:line="25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“Galera Triggering Event” means any of the following: (i) Galera shall have failed to include in the Galera Information Statement the Galera Board Recommendation, (ii) the Galera Board or any committee thereof shall have made a Galera Board Adverse Recommendation Change or approved, endorsed or recommended any Acquisition Proposal (other than with Obsidian), (iii) Galera shall have entered into any letter of intent or similar document or any Contract relating to any Acquisition Proposal (other than an Acceptable Confidentiality Agreement pursuant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of the merger agreement) or (iv) the Galera Board or any committee thereof shall have failed to recommend against any Acquisition Proposal that is a tender offer or exchange offer within 10 Business Days after the commencement thereof;</w:t>
      </w:r>
    </w:p>
    <w:p>
      <w:pPr>
        <w:spacing w:after="0" w:line="9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refers to the Internal Revenue Service;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IP Rights” means all intellectual property rights of Galera that (i) are necessary or reasonably useful to develop, commercialize or otherwise exploit any Legacy Product and (ii) were not divested pursuant to the Supportive-Care Product Agreement;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Product” means any pharmaceutical product containing the small molecule known as tilarginine (“tilarginine”) and any pharmaceutically acceptable salt, polymorph, crystal form, prodrug or solvate thereof that the manufacture, use or sale of which would, absent a license thereto, infringe the claim of any patent right within the Legacy IP Rights that covers the composition of matter for tilarginine;</w:t>
      </w:r>
    </w:p>
    <w:p>
      <w:pPr>
        <w:spacing w:after="0" w:line="85"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the Agreement and Plan of Merger, dated April 14, 2026, by and among Galera, Obsidian, Parent, Merger Sub 1 and Merger Sub 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1” refers to Onyx MergerSub, Inc., a Delaware corporation and a wholly-owned subsidiary of Parent;</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2” refers to Gazelle Merger Subsidiary, Inc., a Delaware corporation and a wholly-owned subsidiary of Parent;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means the Galera merger and the Obsidian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refers to Obsidian Therapeutics, Inc.,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Board” refers to the board of directors of Obsidian;</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Board Adverse Recommendation Change” means a resolution by the Obsidian Board or any committee thereof to withdraw or modify the Obsidian Board Recommendation in a manner adverse to Parent or Galera or to adopt, approve or recommend (or publicly propose to adopt, approve or recommend) any Acquisition Proposal;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common stock” refers to the common stock, par value $0.0001 per share, of Obsidian;</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merger” refers to the merger of Merger Sub 1 with and into Obsidian, with Obsidian surviving the merger as a wholly-owned subsidiary of Parent;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merger effective time” refers to the effective time of the Obsidian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stockholders” refers to the holders of Obsidian common stock;</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Triggering Event” means any of the following: (i) the Obsidian Board or any committee thereof shall have approved, endorsed or recommended any Acquisition Proposal or (ii) Obsidian shall have entered into any letter of intent or similar document or any Contract relating to any Acquisition Proposal (other than an Acceptable Confidentiality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“OTCQB” means The Over the Counter Quote Bulletin Board—Venture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refers Gazelle Parent, Inc.,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Board” refers to the board of directors of Parent;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common stock” refers to the common stock, par value $0.001 per share, of Parent;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Galera Bridge Financing” means a financing of an amount of up to $1,800,000 to fund Galera’s operations during the period commencing on the date of the merger agreement and continuing until the earlier to occur of the termination of the merger agreement and the Galera merger effective time;</w:t>
      </w:r>
    </w:p>
    <w:p>
      <w:pPr>
        <w:spacing w:after="0" w:line="81"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Obsidian Bridge Financing” means a financing to fund Obsidian’s operations provided by Obsidian’s stockholders during the period commencing on the date of the merger agreement and continuing until the earlier to occur of the termination of the merger agreement and the Galera merger effective time;</w:t>
      </w:r>
    </w:p>
    <w:p>
      <w:pPr>
        <w:spacing w:after="0" w:line="81"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Obsidian Stockholder Approval” means the affirmative vote of the holders of at least (i) a majority of the then outstanding shares of Obsidian common stock outstanding on the record date for the Obsidian written consent and (ii) a majority of the then outstanding shares of Obsidian preferred stock voting as a single class on an as-converted basis;</w:t>
      </w:r>
    </w:p>
    <w:p>
      <w:pPr>
        <w:spacing w:after="0" w:line="81"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“Superior Offer” means an unsolicited bona fide written Acquisition Proposal (with all references to 20% in the definition of Acquisition Transaction being treated as references to 50% for these purposes) that: (i) was not obtained or made as a direct or indirect result of a breach of (or in violation of) the merger agreement and (ii) is on terms and conditions that the Obsidian Board or the Galera Board, as applicable, determines in good faith, based on such matters that it deems relevant (including the likelihood of consummation thereof and the financing terms and any termination or break-up fees and conditions to consummation thereof), as well as any written offer by the other Party to the merger agreement to amend the terms of the merger agreement, and following consultation with its outside legal counsel and financial advisors, if any, are more favorable, from a financial point of view, to Obsidian’s stockholders or Galera’s stockholders, as applicable, than the terms of the Contemplated Transactions and is not subject to any financing conditions (and if financing is required, such financing is then fully committed to the third party); and</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4"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“Supportive-Care Product Divestiture” means the divestiture affected by the Asset Purchase and Sale Agreement, dated as of October 15, 2025 (the “Supportive-Care Product Agreement”), by and among Galera and its affiliate named therein and Biossil, Inc. (“Biossil”), as may be amended from time to time, pursuant to which Galera sold, transferred and assigned to Biossil all right, title and interest in and to the assets exclusively related to the (a) the small molecule known as GC4419 (“GC4419”), (b) the small molecule known as GC4711 (“GC4711”) and (c) any other small molecule owned or controlled by Galera prior to the execution of the Supportive-Care Product Agreement, the manufacture, use or sale of which would, absent a license thereto, infringe the claim of any patent right that covers the composition of matter for GC4419 or GC4711, and with respect to (a), (b) and (c), any pharmaceutically acceptable salt, polymorph, crystal form, prodrug or solvate thereof.</w:t>
      </w:r>
    </w:p>
    <w:p>
      <w:pPr>
        <w:sectPr>
          <w:pgSz w:w="11900" w:h="16838" w:orient="portrait"/>
          <w:cols w:equalWidth="0" w:num="1">
            <w:col w:w="10960"/>
          </w:cols>
          <w:pgMar w:left="320" w:top="455" w:right="6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0500" w:type="dxa"/>
            <w:vAlign w:val="bottom"/>
            <w:gridSpan w:val="35"/>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20" w:type="dxa"/>
            <w:vAlign w:val="bottom"/>
            <w:gridSpan w:val="13"/>
          </w:tcPr>
          <w:p>
            <w:pPr>
              <w:ind w:left="5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34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404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120" w:type="dxa"/>
            <w:vAlign w:val="bottom"/>
          </w:tcPr>
          <w:p>
            <w:pPr>
              <w:spacing w:after="0"/>
              <w:rPr>
                <w:sz w:val="19"/>
                <w:szCs w:val="19"/>
                <w:color w:val="auto"/>
              </w:rPr>
            </w:pPr>
          </w:p>
        </w:tc>
        <w:tc>
          <w:tcPr>
            <w:tcW w:w="23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QUESTIONS AND ANSWERS</w:t>
            </w:r>
          </w:p>
        </w:tc>
        <w:tc>
          <w:tcPr>
            <w:tcW w:w="8040" w:type="dxa"/>
            <w:vAlign w:val="bottom"/>
            <w:gridSpan w:val="25"/>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20" w:type="dxa"/>
            <w:vAlign w:val="bottom"/>
          </w:tcPr>
          <w:p>
            <w:pPr>
              <w:spacing w:after="0"/>
              <w:rPr>
                <w:sz w:val="19"/>
                <w:szCs w:val="19"/>
                <w:color w:val="auto"/>
              </w:rPr>
            </w:pPr>
          </w:p>
        </w:tc>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9460" w:type="dxa"/>
            <w:vAlign w:val="bottom"/>
            <w:gridSpan w:val="32"/>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120" w:type="dxa"/>
            <w:vAlign w:val="bottom"/>
          </w:tcPr>
          <w:p>
            <w:pPr>
              <w:spacing w:after="0"/>
              <w:rPr>
                <w:sz w:val="19"/>
                <w:szCs w:val="19"/>
                <w:color w:val="auto"/>
              </w:rPr>
            </w:pPr>
          </w:p>
        </w:tc>
        <w:tc>
          <w:tcPr>
            <w:tcW w:w="12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9120" w:type="dxa"/>
            <w:vAlign w:val="bottom"/>
            <w:gridSpan w:val="30"/>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120" w:type="dxa"/>
            <w:vAlign w:val="bottom"/>
          </w:tcPr>
          <w:p>
            <w:pPr>
              <w:spacing w:after="0"/>
              <w:rPr>
                <w:sz w:val="19"/>
                <w:szCs w:val="19"/>
                <w:color w:val="auto"/>
              </w:rPr>
            </w:pPr>
          </w:p>
        </w:tc>
        <w:tc>
          <w:tcPr>
            <w:tcW w:w="396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MARKET PRICE AND DIVIDEND INFORMATION</w:t>
            </w:r>
          </w:p>
        </w:tc>
        <w:tc>
          <w:tcPr>
            <w:tcW w:w="6420" w:type="dxa"/>
            <w:vAlign w:val="bottom"/>
            <w:gridSpan w:val="13"/>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120" w:type="dxa"/>
            <w:vAlign w:val="bottom"/>
          </w:tcPr>
          <w:p>
            <w:pPr>
              <w:spacing w:after="0"/>
              <w:rPr>
                <w:sz w:val="19"/>
                <w:szCs w:val="19"/>
                <w:color w:val="auto"/>
              </w:rPr>
            </w:pPr>
          </w:p>
        </w:tc>
        <w:tc>
          <w:tcPr>
            <w:tcW w:w="33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THE GALERA STOCKHOLDER CONSENT</w:t>
            </w:r>
          </w:p>
        </w:tc>
        <w:tc>
          <w:tcPr>
            <w:tcW w:w="7020" w:type="dxa"/>
            <w:vAlign w:val="bottom"/>
            <w:gridSpan w:val="20"/>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THE MERGERS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23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THE MERGER AGREEMENT</w:t>
            </w:r>
          </w:p>
        </w:tc>
        <w:tc>
          <w:tcPr>
            <w:tcW w:w="8080" w:type="dxa"/>
            <w:vAlign w:val="bottom"/>
            <w:gridSpan w:val="26"/>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120" w:type="dxa"/>
            <w:vAlign w:val="bottom"/>
          </w:tcPr>
          <w:p>
            <w:pPr>
              <w:spacing w:after="0"/>
              <w:rPr>
                <w:sz w:val="19"/>
                <w:szCs w:val="19"/>
                <w:color w:val="auto"/>
              </w:rPr>
            </w:pPr>
          </w:p>
        </w:tc>
        <w:tc>
          <w:tcPr>
            <w:tcW w:w="36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AGREEMENTS RELATED TO THE MERGERS</w:t>
            </w:r>
          </w:p>
        </w:tc>
        <w:tc>
          <w:tcPr>
            <w:tcW w:w="6740" w:type="dxa"/>
            <w:vAlign w:val="bottom"/>
            <w:gridSpan w:val="16"/>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 OF THE MERGERS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738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w w:val="99"/>
              </w:rPr>
              <w:t>MATERIAL U.S. FEDERAL INCOME TAX CONSEQUENCES OF THE RECEIPT OF THE CVRS</w:t>
            </w:r>
          </w:p>
        </w:tc>
        <w:tc>
          <w:tcPr>
            <w:tcW w:w="300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3"/>
        </w:trPr>
        <w:tc>
          <w:tcPr>
            <w:tcW w:w="120" w:type="dxa"/>
            <w:vAlign w:val="bottom"/>
          </w:tcPr>
          <w:p>
            <w:pPr>
              <w:spacing w:after="0"/>
              <w:rPr>
                <w:sz w:val="19"/>
                <w:szCs w:val="19"/>
                <w:color w:val="auto"/>
              </w:rPr>
            </w:pPr>
          </w:p>
        </w:tc>
        <w:tc>
          <w:tcPr>
            <w:tcW w:w="16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APPRAISAL RIGHTS</w:t>
            </w:r>
          </w:p>
        </w:tc>
        <w:tc>
          <w:tcPr>
            <w:tcW w:w="8700" w:type="dxa"/>
            <w:vAlign w:val="bottom"/>
            <w:gridSpan w:val="27"/>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120" w:type="dxa"/>
            <w:vAlign w:val="bottom"/>
          </w:tcPr>
          <w:p>
            <w:pPr>
              <w:spacing w:after="0"/>
              <w:rPr>
                <w:sz w:val="19"/>
                <w:szCs w:val="19"/>
                <w:color w:val="auto"/>
              </w:rPr>
            </w:pPr>
          </w:p>
        </w:tc>
        <w:tc>
          <w:tcPr>
            <w:tcW w:w="31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INFORMATION REGARDING GALERA</w:t>
            </w:r>
          </w:p>
        </w:tc>
        <w:tc>
          <w:tcPr>
            <w:tcW w:w="7260" w:type="dxa"/>
            <w:vAlign w:val="bottom"/>
            <w:gridSpan w:val="22"/>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120" w:type="dxa"/>
            <w:vAlign w:val="bottom"/>
          </w:tcPr>
          <w:p>
            <w:pPr>
              <w:spacing w:after="0"/>
              <w:rPr>
                <w:sz w:val="19"/>
                <w:szCs w:val="19"/>
                <w:color w:val="auto"/>
              </w:rPr>
            </w:pPr>
          </w:p>
        </w:tc>
        <w:tc>
          <w:tcPr>
            <w:tcW w:w="996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 OF GALERA</w:t>
            </w:r>
          </w:p>
        </w:tc>
        <w:tc>
          <w:tcPr>
            <w:tcW w:w="42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120" w:type="dxa"/>
            <w:vAlign w:val="bottom"/>
          </w:tcPr>
          <w:p>
            <w:pPr>
              <w:spacing w:after="0"/>
              <w:rPr>
                <w:sz w:val="19"/>
                <w:szCs w:val="19"/>
                <w:color w:val="auto"/>
              </w:rPr>
            </w:pPr>
          </w:p>
        </w:tc>
        <w:tc>
          <w:tcPr>
            <w:tcW w:w="60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SECURITY OWNERSHIP OF CERTAIN BENEFICIAL OWNERS OF GALERA</w:t>
            </w:r>
          </w:p>
        </w:tc>
        <w:tc>
          <w:tcPr>
            <w:tcW w:w="4380" w:type="dxa"/>
            <w:vAlign w:val="bottom"/>
            <w:gridSpan w:val="8"/>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INFORMATION REGARDING OBSIDIAN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5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 OF OBSIDIAN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23"/>
        </w:trPr>
        <w:tc>
          <w:tcPr>
            <w:tcW w:w="120" w:type="dxa"/>
            <w:vAlign w:val="bottom"/>
          </w:tcPr>
          <w:p>
            <w:pPr>
              <w:spacing w:after="0"/>
              <w:rPr>
                <w:sz w:val="19"/>
                <w:szCs w:val="19"/>
                <w:color w:val="auto"/>
              </w:rPr>
            </w:pPr>
          </w:p>
        </w:tc>
        <w:tc>
          <w:tcPr>
            <w:tcW w:w="24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MANAGEMENT OF OBSIDIAN</w:t>
            </w:r>
          </w:p>
        </w:tc>
        <w:tc>
          <w:tcPr>
            <w:tcW w:w="7600" w:type="dxa"/>
            <w:vAlign w:val="bottom"/>
            <w:tcBorders>
              <w:top w:val="single" w:sz="8" w:color="0000EE"/>
            </w:tcBorders>
            <w:gridSpan w:val="23"/>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OF OBSIDIAN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3"/>
        </w:trPr>
        <w:tc>
          <w:tcPr>
            <w:tcW w:w="120" w:type="dxa"/>
            <w:vAlign w:val="bottom"/>
          </w:tcPr>
          <w:p>
            <w:pPr>
              <w:spacing w:after="0"/>
              <w:rPr>
                <w:sz w:val="19"/>
                <w:szCs w:val="19"/>
                <w:color w:val="auto"/>
              </w:rPr>
            </w:pPr>
          </w:p>
        </w:tc>
        <w:tc>
          <w:tcPr>
            <w:tcW w:w="362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8"/>
              </w:rPr>
              <w:t>EXECUTIVE COMPENSATION OF OBSIDIAN</w:t>
            </w:r>
          </w:p>
        </w:tc>
        <w:tc>
          <w:tcPr>
            <w:tcW w:w="2500" w:type="dxa"/>
            <w:vAlign w:val="bottom"/>
            <w:tcBorders>
              <w:top w:val="single" w:sz="8" w:color="0000EE"/>
            </w:tcBorders>
            <w:gridSpan w:val="10"/>
          </w:tcPr>
          <w:p>
            <w:pPr>
              <w:spacing w:after="0"/>
              <w:rPr>
                <w:sz w:val="19"/>
                <w:szCs w:val="19"/>
                <w:color w:val="auto"/>
              </w:rPr>
            </w:pPr>
          </w:p>
        </w:tc>
        <w:tc>
          <w:tcPr>
            <w:tcW w:w="4260" w:type="dxa"/>
            <w:vAlign w:val="bottom"/>
            <w:gridSpan w:val="7"/>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DIRECTOR COMPENSATION OF OBSIDIAN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r>
      <w:tr>
        <w:trPr>
          <w:trHeight w:val="223"/>
        </w:trPr>
        <w:tc>
          <w:tcPr>
            <w:tcW w:w="120" w:type="dxa"/>
            <w:vAlign w:val="bottom"/>
          </w:tcPr>
          <w:p>
            <w:pPr>
              <w:spacing w:after="0"/>
              <w:rPr>
                <w:sz w:val="19"/>
                <w:szCs w:val="19"/>
                <w:color w:val="auto"/>
              </w:rPr>
            </w:pPr>
          </w:p>
        </w:tc>
        <w:tc>
          <w:tcPr>
            <w:tcW w:w="5460" w:type="dxa"/>
            <w:vAlign w:val="bottom"/>
            <w:tcBorders>
              <w:top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INFORMATION REGARDING PARENT</w:t>
            </w:r>
          </w:p>
        </w:tc>
        <w:tc>
          <w:tcPr>
            <w:tcW w:w="4920" w:type="dxa"/>
            <w:vAlign w:val="bottom"/>
            <w:gridSpan w:val="12"/>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SECURITY OWNERSHIP OF CERTAIN BENEFICIAL OWNERS OF PARENT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40" w:type="dxa"/>
            <w:vAlign w:val="bottom"/>
            <w:gridSpan w:val="10"/>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658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w:t>
            </w:r>
          </w:p>
        </w:tc>
        <w:tc>
          <w:tcPr>
            <w:tcW w:w="3800" w:type="dxa"/>
            <w:vAlign w:val="bottom"/>
            <w:gridSpan w:val="4"/>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3"/>
        </w:trPr>
        <w:tc>
          <w:tcPr>
            <w:tcW w:w="120" w:type="dxa"/>
            <w:vAlign w:val="bottom"/>
          </w:tcPr>
          <w:p>
            <w:pPr>
              <w:spacing w:after="0"/>
              <w:rPr>
                <w:sz w:val="19"/>
                <w:szCs w:val="19"/>
                <w:color w:val="auto"/>
              </w:rPr>
            </w:pPr>
          </w:p>
        </w:tc>
        <w:tc>
          <w:tcPr>
            <w:tcW w:w="360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DESCRIPTION OF PARENT CAPITAL STOCK</w:t>
            </w:r>
          </w:p>
        </w:tc>
        <w:tc>
          <w:tcPr>
            <w:tcW w:w="6780" w:type="dxa"/>
            <w:vAlign w:val="bottom"/>
            <w:gridSpan w:val="18"/>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23"/>
        </w:trPr>
        <w:tc>
          <w:tcPr>
            <w:tcW w:w="120" w:type="dxa"/>
            <w:vAlign w:val="bottom"/>
          </w:tcPr>
          <w:p>
            <w:pPr>
              <w:spacing w:after="0"/>
              <w:rPr>
                <w:sz w:val="19"/>
                <w:szCs w:val="19"/>
                <w:color w:val="auto"/>
              </w:rPr>
            </w:pPr>
          </w:p>
        </w:tc>
        <w:tc>
          <w:tcPr>
            <w:tcW w:w="36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COMPARISON OF STOCKHOLDERS’ RIGHTS</w:t>
            </w:r>
          </w:p>
        </w:tc>
        <w:tc>
          <w:tcPr>
            <w:tcW w:w="6720" w:type="dxa"/>
            <w:vAlign w:val="bottom"/>
            <w:gridSpan w:val="15"/>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3"/>
        </w:trPr>
        <w:tc>
          <w:tcPr>
            <w:tcW w:w="120" w:type="dxa"/>
            <w:vAlign w:val="bottom"/>
          </w:tcPr>
          <w:p>
            <w:pPr>
              <w:spacing w:after="0"/>
              <w:rPr>
                <w:sz w:val="19"/>
                <w:szCs w:val="19"/>
                <w:color w:val="auto"/>
              </w:rPr>
            </w:pPr>
          </w:p>
        </w:tc>
        <w:tc>
          <w:tcPr>
            <w:tcW w:w="14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8920" w:type="dxa"/>
            <w:vAlign w:val="bottom"/>
            <w:gridSpan w:val="28"/>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EXPERTS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380" w:type="dxa"/>
            <w:vAlign w:val="bottom"/>
            <w:gridSpan w:val="15"/>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HOUSEHOLDING</w:t>
            </w:r>
          </w:p>
        </w:tc>
        <w:tc>
          <w:tcPr>
            <w:tcW w:w="8960" w:type="dxa"/>
            <w:vAlign w:val="bottom"/>
            <w:gridSpan w:val="29"/>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0"/>
        </w:trPr>
        <w:tc>
          <w:tcPr>
            <w:tcW w:w="120" w:type="dxa"/>
            <w:vAlign w:val="bottom"/>
          </w:tcPr>
          <w:p>
            <w:pPr>
              <w:spacing w:after="0" w:line="20" w:lineRule="exact"/>
              <w:rPr>
                <w:sz w:val="1"/>
                <w:szCs w:val="1"/>
                <w:color w:val="auto"/>
              </w:rPr>
            </w:pPr>
          </w:p>
        </w:tc>
        <w:tc>
          <w:tcPr>
            <w:tcW w:w="3800" w:type="dxa"/>
            <w:vAlign w:val="bottom"/>
            <w:gridSpan w:val="20"/>
            <w:shd w:val="clear" w:color="auto" w:fill="0000EE"/>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760" w:type="dxa"/>
            <w:vAlign w:val="bottom"/>
            <w:gridSpan w:val="1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550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8"/>
              </w:rPr>
              <w:t>INDEX TO CONSOLIDATED FINANCIAL STATEMENTS OF GALERA</w:t>
            </w:r>
          </w:p>
        </w:tc>
        <w:tc>
          <w:tcPr>
            <w:tcW w:w="4880" w:type="dxa"/>
            <w:vAlign w:val="bottom"/>
            <w:gridSpan w:val="11"/>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23"/>
        </w:trPr>
        <w:tc>
          <w:tcPr>
            <w:tcW w:w="120" w:type="dxa"/>
            <w:vAlign w:val="bottom"/>
          </w:tcPr>
          <w:p>
            <w:pPr>
              <w:spacing w:after="0"/>
              <w:rPr>
                <w:sz w:val="19"/>
                <w:szCs w:val="19"/>
                <w:color w:val="auto"/>
              </w:rPr>
            </w:pPr>
          </w:p>
        </w:tc>
        <w:tc>
          <w:tcPr>
            <w:tcW w:w="10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INDEX TO CONSOLIDATED FINANCIAL STATEMENTS OF OBSIDIAN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u w:val="single" w:color="auto"/>
          <w:color w:val="0000EE"/>
        </w:rPr>
        <w:t>APPENDIX A - AGREEMENT AND PLAN OF MERGER</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APPENDIX B - CONTINGENT VALUE RIGHTS AGREEMENT</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APPENDIX C - OPINION OF LUCID CAPITAL MARKETS, LLC</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APPENDIX D - GALERA STOCKHOLDER SUPPORT AGREEMENT</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APPENDIX E - OBSIDIAN STOCKHOLDER SUPPORT AGREEMENT</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APPENDIX F - OBSIDIAN LOCK-UP AGREEMENT</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APPENDIX G - REGISTRATION RIGHTS AGREEMENT</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0000EE"/>
        </w:rPr>
        <w:t>APPENDIX H - SECURITIES PURCHASE AGREEMENT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This information statement/prospectus contains forward-looking statements within the meaning of federal securities laws concerning Galera, Obsidian, the combined company, the mergers and other matters that involve material risks, assumptions and uncertainties.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information statement/prospectus contains expressions of opinions, expectations, beliefs, plans, objectives, assumptions, or projections regarding future events or future results and therefore are, or may be deemed to be, “forward-looking statements.” All statements, other than statements of historical fact, included herein regarding Galera’s, Obsidian’s or the combined company’s strategy, future operations, financial position, future revenues, projected costs, plans, prospects and objectives are forward-looking statements. Words such as “anticipate,” “estimate,” “continue,” “expect,” “project,” “intend,” “plan,” “believe,” “target,” “objective,” “goal,” “positions,” “prospects,” “potential,” “will,” “would,” “should,” “could,” “may” and words and terms of similar substance are intended to identify forward-looking statements. All forward-looking statements are present expectations or forecasts of future events and are subject to a number of factors and uncertainties that could cause actual results to differ materially from those described in the forward-looking statements. Discussions containing these forward-looking statements may be found, among other places herein,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Management’s Discussion and Analysis of Financial Condition and Results of Operations of Galera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of Obsidian</w:t>
      </w:r>
      <w:r>
        <w:rPr>
          <w:rFonts w:ascii="Times New Roman" w:cs="Times New Roman" w:eastAsia="Times New Roman" w:hAnsi="Times New Roman"/>
          <w:sz w:val="18"/>
          <w:szCs w:val="18"/>
          <w:color w:val="auto"/>
        </w:rPr>
        <w:t>” beginning on pages 24, 206 and 266, respectively,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statement/prospectus. In addition to the factors discussed in those sections, the following factors, among others, could cause actual results to differ materially from those described in the forward-looking statements:</w:t>
      </w:r>
    </w:p>
    <w:p>
      <w:pPr>
        <w:spacing w:after="0" w:line="95" w:lineRule="exact"/>
        <w:rPr>
          <w:sz w:val="20"/>
          <w:szCs w:val="20"/>
          <w:color w:val="auto"/>
        </w:rPr>
      </w:pPr>
    </w:p>
    <w:p>
      <w:pPr>
        <w:ind w:left="1080" w:right="520" w:hanging="424"/>
        <w:spacing w:after="0" w:line="289"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timing, progress, results and cost of OBX-115, as well as research and development programs and current and future preclinical and clinical studies, including statements regarding the timing of initiation and completion of studies or trials and related preparatory work, the period during which the results of the trials will become available and our current and future programs;</w:t>
      </w:r>
    </w:p>
    <w:p>
      <w:pPr>
        <w:spacing w:after="0" w:line="63" w:lineRule="exact"/>
        <w:rPr>
          <w:rFonts w:ascii="Times New Roman" w:cs="Times New Roman" w:eastAsia="Times New Roman" w:hAnsi="Times New Roman"/>
          <w:sz w:val="17"/>
          <w:szCs w:val="17"/>
          <w:color w:val="auto"/>
        </w:rPr>
      </w:pPr>
    </w:p>
    <w:p>
      <w:pPr>
        <w:ind w:left="1080" w:right="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identify research priorities and efficiently discover and develop product candidates, including by applying learnings from one program to other programs and from one modality to other modalities;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the potential to successfully manufacture drug substances, delivery vehicles,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preclinical studies and clinical trials to demonstrate safety and efficacy of product candidates, and other positive results;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and the potential safety, efficacy and therapeutic effects of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and likelihood of regulatory filings and approvals, including timing of Investigational New Drug applications and final U.S. Food and Drug Administration (“FDA”) approval of current product candidates or any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foreign regulatory filings and approvals;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number of patients that will enroll and the ability to initiate, recruit and enroll patients in and conduct and successfully complete clinical trials at the projected pace;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scale-up manufacturing and processing approaches to appropriately address anticipated commercial needs, which will require significant resources;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and further develop the specific shipping, storage, handling and administration of OBX-115 at the clinical sites;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third-party strategic collaborators to continue research and development activities relating to development candidates and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funding for operations necessary to complete further development and commercialization of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regulatory approval of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commercialize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any business model, and any strategic plans with respect to business, product candidates, and technology;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and maintenance of protections for intellectual property rights covering product candidates (current or future), including the extensions of existing patent terms where available, the validity of intellectual property rights held by third parties, and the ability not to infringe, misappropriate or otherwise violate any third-party intellectual property rights;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future expenses, revenues and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development and commercialization of product candidates and any other approved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product candidates and the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produce products or product candidates with advantages in turnaround times or manufacturing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period of time for which cash, cash equivalents, and marketable securities will be sufficient to fund future operating expenses and capital expenditure requirements;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use of the proceeds from the concurrent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competitors and the pharmaceutical industry;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foregoing list of factors is not exhaustive. Although these forward-looking statements are based on assumptions that Galera and Obsidian believe are reasonable when made, Galera and Obsidian caution you that forward-looking statements are not guarantees of future performance and that actual results of operations, financial condition and liquidity, and industry developments may differ materially from statements made in or suggested by the forward-looking statements contained in this information statement/prospectus. You are cautioned not to place undue reliance on the forward-looking statements, which speak only as of the date of this information statement/prospectus. Except as required by applicable law, none of Galera, Obsidian or Parent undertake to update these forward-looking statements to reflect facts, circumstances, assumptions or events that occur after the date the forward-looking statements are made. In the event that a party does update any forward-looking statement, no inference should be made that the parties will make additional updates with respect to that statement, related matters or any other forward-looking statements.</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factors that could cause actual results to differ materially from those described in the forward-looking statements, please see the reports that Galera has filed with the SEC as described in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356 of this information statement/prospectus.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7" w:lineRule="exact"/>
        <w:rPr>
          <w:sz w:val="20"/>
          <w:szCs w:val="20"/>
          <w:color w:val="auto"/>
        </w:rPr>
      </w:pPr>
    </w:p>
    <w:p>
      <w:pPr>
        <w:ind w:left="120" w:right="4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answers are intended to briefly address some commonly asked questions that stockholders of Galera may have regarding the transactions contemplated by the merger agreement (the “transactions”). You should read carefully the remainder of this information statement/prospectus because the information in this section does not provide all the information that might be important to you with respect to the transactions. Additional important information is also contained in the appendices to this information statement/prospectus and elsewhere. See the section entitled “Where You Can Find More Information” beginning on page 356 of this information statement/prospectus.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31" w:lineRule="exact"/>
        <w:rPr>
          <w:sz w:val="20"/>
          <w:szCs w:val="20"/>
          <w:color w:val="auto"/>
        </w:rPr>
      </w:pPr>
    </w:p>
    <w:p>
      <w:pPr>
        <w:ind w:left="1080" w:hanging="532"/>
        <w:spacing w:after="0"/>
        <w:tabs>
          <w:tab w:leader="none" w:pos="10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Galera stockholders receiving this information statement/prospectus?</w:t>
      </w:r>
    </w:p>
    <w:p>
      <w:pPr>
        <w:spacing w:after="0" w:line="135" w:lineRule="exact"/>
        <w:rPr>
          <w:sz w:val="20"/>
          <w:szCs w:val="20"/>
          <w:color w:val="auto"/>
        </w:rPr>
      </w:pPr>
    </w:p>
    <w:p>
      <w:pPr>
        <w:ind w:left="1080" w:right="120" w:hanging="532"/>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April 14, 2026, Galera entered into the merger agreement with Obsidian, Parent, Merger Sub 1 and Merger Sub 2. A copy of the merger agreement is attached to this information statement/prospectus as </w:t>
      </w:r>
      <w:r>
        <w:rPr>
          <w:rFonts w:ascii="Times New Roman" w:cs="Times New Roman" w:eastAsia="Times New Roman" w:hAnsi="Times New Roman"/>
          <w:sz w:val="18"/>
          <w:szCs w:val="18"/>
          <w:b w:val="1"/>
          <w:bCs w:val="1"/>
          <w:u w:val="single" w:color="auto"/>
          <w:color w:val="auto"/>
        </w:rPr>
        <w:t>Appendix A</w:t>
      </w:r>
      <w:r>
        <w:rPr>
          <w:rFonts w:ascii="Times New Roman" w:cs="Times New Roman" w:eastAsia="Times New Roman" w:hAnsi="Times New Roman"/>
          <w:sz w:val="18"/>
          <w:szCs w:val="18"/>
          <w:color w:val="auto"/>
        </w:rPr>
        <w:t>. Pursuant to the merger agreement, (1) Merger Sub 1 will merge with and into Obsidian, with Obsidian surviving the merger as the surviving corporation and a wholly-owned subsidiary of Parent and (2) Merger Sub 2 will merge with and into Galera, with Galera surviving the Galera merger as the surviving corporation and a wholly-owned subsidiary of Parent.</w:t>
      </w:r>
    </w:p>
    <w:p>
      <w:pPr>
        <w:spacing w:after="0" w:line="75" w:lineRule="exact"/>
        <w:rPr>
          <w:rFonts w:ascii="Times New Roman" w:cs="Times New Roman" w:eastAsia="Times New Roman" w:hAnsi="Times New Roman"/>
          <w:sz w:val="18"/>
          <w:szCs w:val="18"/>
          <w:color w:val="auto"/>
        </w:rPr>
      </w:pPr>
    </w:p>
    <w:p>
      <w:pPr>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approximately 54% of the outstanding shares of Galera common stock as of July 2, 2026, executed a written consent in lieu of a meeting, adopting the merger agreement and the transactions contemplated thereby (the “Galera written consent”). As a result, no additional stockholder vote or special meeting is required in connection with the mergers.</w:t>
      </w:r>
    </w:p>
    <w:p>
      <w:pPr>
        <w:spacing w:after="0" w:line="67" w:lineRule="exact"/>
        <w:rPr>
          <w:rFonts w:ascii="Times New Roman" w:cs="Times New Roman" w:eastAsia="Times New Roman" w:hAnsi="Times New Roman"/>
          <w:sz w:val="18"/>
          <w:szCs w:val="18"/>
          <w:color w:val="auto"/>
        </w:rPr>
      </w:pPr>
    </w:p>
    <w:p>
      <w:pPr>
        <w:ind w:left="1100" w:right="1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document constitutes both an information statement of Galera and a prospectus of Parent. It is an information statement because Galera is required to provide its stockholders with notice of the Galera written consent. It is a prospectus because Parent is offering shares of Parent common stock to Galera stockholders and Obsidian stockholders in exchange for outstanding shares of Galera common stock and Obsidian common stock, as applicable, as consideration for the mergers and provide important details about Parent and the rights of Galera stockholders and Obsidian stockholders as potential stockholders of Parent.</w:t>
      </w:r>
    </w:p>
    <w:p>
      <w:pPr>
        <w:spacing w:after="0" w:line="75" w:lineRule="exact"/>
        <w:rPr>
          <w:rFonts w:ascii="Times New Roman" w:cs="Times New Roman" w:eastAsia="Times New Roman" w:hAnsi="Times New Roman"/>
          <w:sz w:val="18"/>
          <w:szCs w:val="18"/>
          <w:color w:val="auto"/>
        </w:rPr>
      </w:pPr>
    </w:p>
    <w:p>
      <w:pPr>
        <w:ind w:left="1100" w:right="3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information statement/prospectus also constitutes notice to you of the availability of appraisal rights in connection with the Galera merger under Section 262 of the DGCL (“Section 262”), the full text of which may be accessed without subscription or cost at the following publicly available website: </w:t>
      </w:r>
      <w:r>
        <w:rPr>
          <w:rFonts w:ascii="Times New Roman" w:cs="Times New Roman" w:eastAsia="Times New Roman" w:hAnsi="Times New Roman"/>
          <w:sz w:val="18"/>
          <w:szCs w:val="18"/>
          <w:i w:val="1"/>
          <w:iCs w:val="1"/>
          <w:color w:val="auto"/>
        </w:rPr>
        <w:t>https://delcode.delaware.gov/title8/c001/sc09/#262</w:t>
      </w:r>
      <w:r>
        <w:rPr>
          <w:rFonts w:ascii="Times New Roman" w:cs="Times New Roman" w:eastAsia="Times New Roman" w:hAnsi="Times New Roman"/>
          <w:sz w:val="18"/>
          <w:szCs w:val="18"/>
          <w:color w:val="auto"/>
        </w:rPr>
        <w:t xml:space="preserve"> and is expressly incorporated herein by reference.</w:t>
      </w:r>
    </w:p>
    <w:p>
      <w:pPr>
        <w:spacing w:after="0" w:line="324" w:lineRule="exact"/>
        <w:rPr>
          <w:sz w:val="20"/>
          <w:szCs w:val="20"/>
          <w:color w:val="auto"/>
        </w:rPr>
      </w:pPr>
    </w:p>
    <w:p>
      <w:pPr>
        <w:ind w:left="1080" w:hanging="532"/>
        <w:spacing w:after="0"/>
        <w:tabs>
          <w:tab w:leader="none" w:pos="10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Galera Board approve the merger agreement?</w:t>
      </w:r>
    </w:p>
    <w:p>
      <w:pPr>
        <w:spacing w:after="0" w:line="135" w:lineRule="exact"/>
        <w:rPr>
          <w:sz w:val="20"/>
          <w:szCs w:val="20"/>
          <w:color w:val="auto"/>
        </w:rPr>
      </w:pPr>
    </w:p>
    <w:p>
      <w:pPr>
        <w:ind w:left="1080" w:right="40" w:hanging="532"/>
        <w:spacing w:after="0" w:line="254"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After careful consideration, the Galera Board (i) determined that the transactions contemplated by the merger agreement are fair to, advisable and in the best interests of Galera and its stockholders; (ii) determined that the merger agreement and the transactions contemplated thereby and the other actions contemplated by the merger agreement are advisable; (iii) determined that it is in the best interests of Galera and its stockholders to recommend, upon the terms and subject to the conditions set forth in the merger agreement, that the stockholders of the Company vote to approve the Galera merger; (iv) approved the transactions contemplated by the merger agreement, as fair to and in the best interests of Galera and its stockholders; (v) adopted and declared advisable the merger agreement and the consummation by Galera of the transactions contemplated by the merger agreement on the terms and subject to the conditions set forth in the merger agreement; and (vi) recommended, on the terms and subject to the conditions set forth in the merger agreement, that the stockholders of Galera vote to approve the Galera merger.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40"/>
        <w:spacing w:after="0" w:line="312" w:lineRule="auto"/>
        <w:rPr>
          <w:sz w:val="20"/>
          <w:szCs w:val="20"/>
          <w:color w:val="auto"/>
        </w:rPr>
      </w:pPr>
      <w:r>
        <w:rPr>
          <w:rFonts w:ascii="Times New Roman" w:cs="Times New Roman" w:eastAsia="Times New Roman" w:hAnsi="Times New Roman"/>
          <w:sz w:val="17"/>
          <w:szCs w:val="17"/>
          <w:color w:val="auto"/>
        </w:rPr>
        <w:t>For the factors considered by the Galera Board in reaching its decision to approve the Galera merger and the merger agreement, see the section entitled “</w:t>
      </w:r>
      <w:r>
        <w:rPr>
          <w:rFonts w:ascii="Times New Roman" w:cs="Times New Roman" w:eastAsia="Times New Roman" w:hAnsi="Times New Roman"/>
          <w:sz w:val="17"/>
          <w:szCs w:val="17"/>
          <w:i w:val="1"/>
          <w:iCs w:val="1"/>
          <w:color w:val="auto"/>
        </w:rPr>
        <w:t>The Mergers—Galera’s Reasons for the Mergers</w:t>
      </w:r>
      <w:r>
        <w:rPr>
          <w:rFonts w:ascii="Times New Roman" w:cs="Times New Roman" w:eastAsia="Times New Roman" w:hAnsi="Times New Roman"/>
          <w:sz w:val="17"/>
          <w:szCs w:val="17"/>
          <w:color w:val="auto"/>
        </w:rPr>
        <w:t>” beginning on page 119 of this information statement/prospectus.</w:t>
      </w:r>
    </w:p>
    <w:p>
      <w:pPr>
        <w:spacing w:after="0" w:line="284" w:lineRule="exact"/>
        <w:rPr>
          <w:sz w:val="20"/>
          <w:szCs w:val="20"/>
          <w:color w:val="auto"/>
        </w:rPr>
      </w:pPr>
    </w:p>
    <w:p>
      <w:pPr>
        <w:ind w:left="1080" w:hanging="532"/>
        <w:spacing w:after="0"/>
        <w:tabs>
          <w:tab w:leader="none" w:pos="10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Galera and Obsidian proposing the mergers?</w:t>
      </w:r>
    </w:p>
    <w:p>
      <w:pPr>
        <w:spacing w:after="0" w:line="135" w:lineRule="exact"/>
        <w:rPr>
          <w:sz w:val="20"/>
          <w:szCs w:val="20"/>
          <w:color w:val="auto"/>
        </w:rPr>
      </w:pPr>
    </w:p>
    <w:p>
      <w:pPr>
        <w:ind w:left="1080" w:right="100" w:hanging="532"/>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Galera Board and the Obsidian Board believe that the mergers will benefit Galera stockholders and Obsidian stockholders, respectively, by creating a combined company that will be able to leverage the combined company’s business model and growth potential as a publicly listed company, and, where applicable, its cash resources.</w:t>
      </w:r>
    </w:p>
    <w:p>
      <w:pPr>
        <w:spacing w:after="0" w:line="65" w:lineRule="exact"/>
        <w:rPr>
          <w:rFonts w:ascii="Times New Roman" w:cs="Times New Roman" w:eastAsia="Times New Roman" w:hAnsi="Times New Roman"/>
          <w:sz w:val="18"/>
          <w:szCs w:val="18"/>
          <w:color w:val="auto"/>
        </w:rPr>
      </w:pPr>
    </w:p>
    <w:p>
      <w:pPr>
        <w:ind w:left="1100" w:right="5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details on the reasons for the mergers, see the section entitled “</w:t>
      </w:r>
      <w:r>
        <w:rPr>
          <w:rFonts w:ascii="Times New Roman" w:cs="Times New Roman" w:eastAsia="Times New Roman" w:hAnsi="Times New Roman"/>
          <w:sz w:val="18"/>
          <w:szCs w:val="18"/>
          <w:i w:val="1"/>
          <w:iCs w:val="1"/>
          <w:color w:val="auto"/>
        </w:rPr>
        <w:t>The Mergers—Galera’s Reasons for 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Obsidian’s Reasons for the Mergers</w:t>
      </w:r>
      <w:r>
        <w:rPr>
          <w:rFonts w:ascii="Times New Roman" w:cs="Times New Roman" w:eastAsia="Times New Roman" w:hAnsi="Times New Roman"/>
          <w:sz w:val="18"/>
          <w:szCs w:val="18"/>
          <w:color w:val="auto"/>
        </w:rPr>
        <w:t>” beginning on pages 119 and 122, respectively, of this information statement/prospectus.</w:t>
      </w:r>
    </w:p>
    <w:p>
      <w:pPr>
        <w:spacing w:after="0" w:line="305" w:lineRule="exact"/>
        <w:rPr>
          <w:sz w:val="20"/>
          <w:szCs w:val="20"/>
          <w:color w:val="auto"/>
        </w:rPr>
      </w:pPr>
    </w:p>
    <w:p>
      <w:pPr>
        <w:ind w:left="1080" w:hanging="532"/>
        <w:spacing w:after="0"/>
        <w:tabs>
          <w:tab w:leader="none" w:pos="10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mergers?</w:t>
      </w:r>
    </w:p>
    <w:p>
      <w:pPr>
        <w:spacing w:after="0" w:line="135" w:lineRule="exact"/>
        <w:rPr>
          <w:sz w:val="20"/>
          <w:szCs w:val="20"/>
          <w:color w:val="auto"/>
        </w:rPr>
      </w:pPr>
    </w:p>
    <w:p>
      <w:pPr>
        <w:ind w:left="1080" w:hanging="532"/>
        <w:spacing w:after="0" w:line="25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acquire (1) Obsidian, by merging Merger Sub 1 with and into Obsidian, with Obsidian surviving the merger as a wholly-owned subsidiary of Parent and (2) Galera, by merging Merger Sub 2 with and into Galera, with Galera surviving the merger as a wholly-owned subsidiary of Parent. At the Obsidian merger effective time, each outstanding share of Obsidian common stock (including those resulting from the conversion of the Obsidian preferred stock, the Obsidian Banc of California, Inc. warrants, and Obsidian common stock issued in connection with any interim permitted financings, but excluding dissenting shares and certain excluded shares as described in the accompanying information statement/prospectus) will be converted into the right to receive a number of shares of Parent common stock, calculated as described in the accompanying information statement/prospectus (the “Obsidian merger consideration”). Immediately following the Obsidian merger effective time, at the Galera merger effective time, each outstanding share of Galera common stock (including those resulting from the conversion of the Galera preferred stock and the Galera pre-funded warrants, but excluding dissenting shares and certain excluded shares as described in the enclosed information statement/prospectus) will be converted into the right to receive a number of shares of Parent common stock calculated as described in the accompanying information statement/prospectus (the “Galera merger consideration” and, together with the Obsidian merger consideration, the “merger consideration”). No cash consideration will be received by Galera or Obsidian stockholders in the mergers, including any cash that otherwise would be received for fractional shares. With respect to fractional shares, no fraction of a share of Parent common stock will be issued in the mergers; however, in lieu of fractional shares, each Obsidian or Galera stockholder who would otherwise be entitled to a fraction of a share of Parent common stock (after aggregating all fractional shares of Parent common stock that otherwise would be received by such holder) will be automatically converted into the right to receive one full additional share of Parent common stock.</w:t>
      </w:r>
    </w:p>
    <w:p>
      <w:pPr>
        <w:spacing w:after="0" w:line="85" w:lineRule="exact"/>
        <w:rPr>
          <w:rFonts w:ascii="Times New Roman" w:cs="Times New Roman" w:eastAsia="Times New Roman" w:hAnsi="Times New Roman"/>
          <w:sz w:val="18"/>
          <w:szCs w:val="18"/>
          <w:color w:val="auto"/>
        </w:rPr>
      </w:pPr>
    </w:p>
    <w:p>
      <w:pPr>
        <w:ind w:left="1100" w:right="1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combined company that pre-closing Galera security holders will own as of the closing of the mergers is subject to adjustment based on the valuation of Galera immediately prior to the closing. The valuation of Galera is subject to a dollar-for-dollar adjustment if Final Galera net cash (as defined in the merger agreement) is above or below the Galera target net cash of $1.8 million, provided that any Permitted Galera Bridge Financing will not cause the Final Galera net cash (as defined in the merger agreement) to exceed $1.8 million.</w:t>
      </w:r>
    </w:p>
    <w:p>
      <w:pPr>
        <w:spacing w:after="0" w:line="75" w:lineRule="exact"/>
        <w:rPr>
          <w:rFonts w:ascii="Times New Roman" w:cs="Times New Roman" w:eastAsia="Times New Roman" w:hAnsi="Times New Roman"/>
          <w:sz w:val="18"/>
          <w:szCs w:val="18"/>
          <w:color w:val="auto"/>
        </w:rPr>
      </w:pPr>
    </w:p>
    <w:p>
      <w:pPr>
        <w:ind w:left="110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every $200,000 decrease in the Final Galera net cash (as defined in the merger agreement) below $(2.00) million, pre-closing Galera security holders (other than those investors participating in the concurrent financing) would own approximately 2.5 basis points (or two and one half hundredths of a percentage point) less, and pre-closing Obsidian security holders and investors in the concurrent financing, collectively, would own approximately 2.5 basis points (or two and one half hundredths of a</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100"/>
        <w:spacing w:after="0" w:line="255" w:lineRule="auto"/>
        <w:rPr>
          <w:sz w:val="20"/>
          <w:szCs w:val="20"/>
          <w:color w:val="auto"/>
        </w:rPr>
      </w:pPr>
      <w:r>
        <w:rPr>
          <w:rFonts w:ascii="Times New Roman" w:cs="Times New Roman" w:eastAsia="Times New Roman" w:hAnsi="Times New Roman"/>
          <w:sz w:val="18"/>
          <w:szCs w:val="18"/>
          <w:color w:val="auto"/>
        </w:rPr>
        <w:t>percentage point) more, of the outstanding shares of Parent common stock at closing. Final Galera net cash as defined in the merger agreement can be, and likely will be, a negative number and the amount of the adjustment described above is not capped. As an illustration, if the Final Galera net cash is $(2.00) million, the valuation of Galera would be $10.00 million, and (assuming gross proceeds of $350.0 million from the concurrent financing), the pre-closing Galera security holders (other than the investors participating in the concurrent financing) would own approximately 1.29% of the combined company, the pre-closing Obsidian security holders would own approximately 53.46% of the combined company, and investors in the concurrent financing would own approximately 45.25% of the combined company, in each case on a fully-diluted basis, using the treasury stock method.</w:t>
      </w:r>
    </w:p>
    <w:p>
      <w:pPr>
        <w:spacing w:after="0" w:line="8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 of June 22, 2026, the Galera exchange ratio is estimated to be approximately 0.7515 (after giving effect to the Galera Reverse Stock</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Split (as defined below) and assuming a Galera Reverse Stock Split ratio of 1:200). This estimate is subject to adjustment prior to closing</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for the number of outstanding shares of Parent common stock and Galera common stock, in each case as of immediately prior to the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effective time, and the Final Galera net cash (and as a result, Galera stockholders could own more or less of the combined company than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may be implied by the assumed Galera exchange ratio). The assumed Galera exchange ratio is based on (a) a valuation of Galera at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$10.00 million, subject to adjustment if Final Galera net cash exceeds or falls below $(2.00) million (with any such difference resulting in</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dollar-for-dollar adjustment to Galera’s valuation), and (b) the assumed Galera Reverse Stock Split ratio noted above, although Galera’s</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board of directors may instead effect the Galera Reverse Stock Split at another ratio within the approved range of 1:75 to 1:200, which</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would result in a corresponding adjustment to the Galera exchange ratio.</w:t>
      </w:r>
    </w:p>
    <w:p>
      <w:pPr>
        <w:spacing w:after="0" w:line="99" w:lineRule="exact"/>
        <w:rPr>
          <w:sz w:val="20"/>
          <w:szCs w:val="20"/>
          <w:color w:val="auto"/>
        </w:rPr>
      </w:pPr>
    </w:p>
    <w:p>
      <w:pPr>
        <w:ind w:left="1100" w:right="100"/>
        <w:spacing w:after="0" w:line="261" w:lineRule="auto"/>
        <w:rPr>
          <w:sz w:val="20"/>
          <w:szCs w:val="20"/>
          <w:color w:val="auto"/>
        </w:rPr>
      </w:pPr>
      <w:r>
        <w:rPr>
          <w:rFonts w:ascii="Times New Roman" w:cs="Times New Roman" w:eastAsia="Times New Roman" w:hAnsi="Times New Roman"/>
          <w:sz w:val="18"/>
          <w:szCs w:val="18"/>
          <w:color w:val="auto"/>
        </w:rPr>
        <w:t>As of June 22, 2026, the Obsidian exchange ratio is estimated to be approximately 0.1375 (after giving effect to the Galera Reverse Stock Split and assuming a Galera Reverse Stock Split ratio of 1:200). This estimate is subject to adjustment prior to closing for the number of outstanding shares of Galera common stock and Obsidian common stock, in each case as of immediately prior to the effective time. The assumed Obsidian exchange ratio is based on a valuation of Obsidian at $413.5 million.</w:t>
      </w:r>
    </w:p>
    <w:p>
      <w:pPr>
        <w:spacing w:after="0" w:line="72" w:lineRule="exact"/>
        <w:rPr>
          <w:sz w:val="20"/>
          <w:szCs w:val="20"/>
          <w:color w:val="auto"/>
        </w:rPr>
      </w:pPr>
    </w:p>
    <w:p>
      <w:pPr>
        <w:ind w:left="1100"/>
        <w:spacing w:after="0" w:line="256" w:lineRule="auto"/>
        <w:rPr>
          <w:sz w:val="20"/>
          <w:szCs w:val="20"/>
          <w:color w:val="auto"/>
        </w:rPr>
      </w:pPr>
      <w:r>
        <w:rPr>
          <w:rFonts w:ascii="Times New Roman" w:cs="Times New Roman" w:eastAsia="Times New Roman" w:hAnsi="Times New Roman"/>
          <w:sz w:val="18"/>
          <w:szCs w:val="18"/>
          <w:color w:val="auto"/>
        </w:rPr>
        <w:t>The estimated aggregate number of shares of Parent common stock that Parent expects to issue to Galera’s securityholders at the closing of the Galera merger is 781,649 shares, reflecting an expected per share value of $12.00, assuming the Galera merger occurred as of June 22, 2026 (after giving effect to the Galera preferred stock conversion, the assumed Galera Reverse Stock Split ratio and the assumed Galera exchange ratio). The estimated aggregate number of shares of Parent common stock that Parent expects to issue to Obsidian’s securityholders at the closing of the Obsidian merger is 31,647,468 shares, reflecting an expected per share value of $12.00, assuming the Obsidian merger occurred as of June 22, 2026, the assumed Galera Reverse Stock Split ratio and the assumed Obsidian exchange ratio.</w:t>
      </w:r>
    </w:p>
    <w:p>
      <w:pPr>
        <w:spacing w:after="0" w:line="332" w:lineRule="exact"/>
        <w:rPr>
          <w:sz w:val="20"/>
          <w:szCs w:val="20"/>
          <w:color w:val="auto"/>
        </w:rPr>
      </w:pPr>
    </w:p>
    <w:p>
      <w:pPr>
        <w:ind w:left="1080" w:hanging="532"/>
        <w:spacing w:after="0"/>
        <w:tabs>
          <w:tab w:leader="none" w:pos="10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you expect to complete the mergers?</w:t>
      </w:r>
    </w:p>
    <w:p>
      <w:pPr>
        <w:spacing w:after="0" w:line="135" w:lineRule="exact"/>
        <w:rPr>
          <w:sz w:val="20"/>
          <w:szCs w:val="20"/>
          <w:color w:val="auto"/>
        </w:rPr>
      </w:pPr>
    </w:p>
    <w:p>
      <w:pPr>
        <w:ind w:left="1080" w:right="240" w:hanging="532"/>
        <w:spacing w:after="0" w:line="289" w:lineRule="auto"/>
        <w:tabs>
          <w:tab w:leader="none" w:pos="10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expect to complete the mergers and the concurrent financing by the third quarter of 2026. However, we cannot assure you when or if the mergers or the concurrent financing will occur. The conditions to the mergers are described in the section entitled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 Agreement—Mutual Conditions to Completion of the Mergers</w:t>
      </w:r>
      <w:r>
        <w:rPr>
          <w:rFonts w:ascii="Times New Roman" w:cs="Times New Roman" w:eastAsia="Times New Roman" w:hAnsi="Times New Roman"/>
          <w:sz w:val="17"/>
          <w:szCs w:val="17"/>
          <w:color w:val="auto"/>
        </w:rPr>
        <w:t>” beginning on page 161 of this information statement/prospectus.</w:t>
      </w:r>
    </w:p>
    <w:p>
      <w:pPr>
        <w:spacing w:after="0" w:line="302"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CVRs?</w:t>
      </w:r>
    </w:p>
    <w:p>
      <w:pPr>
        <w:spacing w:after="0" w:line="135" w:lineRule="exact"/>
        <w:rPr>
          <w:sz w:val="20"/>
          <w:szCs w:val="20"/>
          <w:color w:val="auto"/>
        </w:rPr>
      </w:pPr>
    </w:p>
    <w:p>
      <w:pPr>
        <w:ind w:left="1080" w:right="120" w:hanging="532"/>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mergers and immediately prior to the Galera merger effective time, Parent and Obsidian will enter into the CVR agreement with Equiniti Trust Company, LLC (“Rights Agent”), pursuant to which Galera stockholders of record as of immediately prior to the Galera merger effective time (“CVR Holders”) will receive CVRs for each outstanding share of Galera common stock held by such stockholder as of such date. The CVRs represent (1) the right to receive a pro rata portion of 80%</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20"/>
        <w:spacing w:after="0" w:line="261" w:lineRule="auto"/>
        <w:rPr>
          <w:sz w:val="20"/>
          <w:szCs w:val="20"/>
          <w:color w:val="auto"/>
        </w:rPr>
      </w:pPr>
      <w:r>
        <w:rPr>
          <w:rFonts w:ascii="Times New Roman" w:cs="Times New Roman" w:eastAsia="Times New Roman" w:hAnsi="Times New Roman"/>
          <w:sz w:val="18"/>
          <w:szCs w:val="18"/>
          <w:color w:val="auto"/>
        </w:rPr>
        <w:t>of any potential future net proceeds received by Parent or its affiliates from the development, commercialization, licensing, sale or other disposition of the Legacy Product, or related intellectual property during the five years following the closing of the mergers and (2) the right to receive a pro rata portion of 95% of any potential future net proceeds received by Parent or its affiliates from the Supportive-Care Product Divestiture during the ten years following the closing.</w:t>
      </w:r>
    </w:p>
    <w:p>
      <w:pPr>
        <w:spacing w:after="0" w:line="72"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If any amounts become payable pursuant to the CVRs, the Rights Agent will distribute such amounts to the CVR Holders in accordance with the terms of the CVR agreement. There can be no assurance that the CVR Holders will receive any payments with respect to the CVR agreement.</w:t>
      </w:r>
    </w:p>
    <w:p>
      <w:pPr>
        <w:spacing w:after="0" w:line="68"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The CVRs are solely contractual rights and do not constitute equity or ownership interests in Parent, Galera, Obsidian or any of their respective affiliates, and Parent, Galera and Obsidian will cooperate, including by making changes to the CVR agreement, as necessary, to ensure that the CVRs are not subject to registration under the Securities Act, the Exchange Act, or applicable state securities or “blue sky” laws. The CVRs are not transferable except in accordance with the terms of the CVR agreement.</w:t>
      </w:r>
    </w:p>
    <w:p>
      <w:pPr>
        <w:spacing w:after="0" w:line="72" w:lineRule="exact"/>
        <w:rPr>
          <w:sz w:val="20"/>
          <w:szCs w:val="20"/>
          <w:color w:val="auto"/>
        </w:rPr>
      </w:pPr>
    </w:p>
    <w:p>
      <w:pPr>
        <w:ind w:left="1100" w:right="22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CVR agreement is qualified in its entirety by reference to the full text of the CVR Agreement, which is attached to this information statement/prospectus as </w:t>
      </w:r>
      <w:r>
        <w:rPr>
          <w:rFonts w:ascii="Times New Roman" w:cs="Times New Roman" w:eastAsia="Times New Roman" w:hAnsi="Times New Roman"/>
          <w:sz w:val="18"/>
          <w:szCs w:val="18"/>
          <w:b w:val="1"/>
          <w:bCs w:val="1"/>
          <w:u w:val="single" w:color="auto"/>
          <w:color w:val="auto"/>
        </w:rPr>
        <w:t>Appendix B</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mergers are not completed?</w:t>
      </w:r>
    </w:p>
    <w:p>
      <w:pPr>
        <w:spacing w:after="0" w:line="135" w:lineRule="exact"/>
        <w:rPr>
          <w:sz w:val="20"/>
          <w:szCs w:val="20"/>
          <w:color w:val="auto"/>
        </w:rPr>
      </w:pPr>
    </w:p>
    <w:p>
      <w:pPr>
        <w:ind w:left="1080" w:right="40" w:hanging="532"/>
        <w:spacing w:after="0" w:line="25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mergers are not completed, holders of Obsidian common stock and Galera common stock will not receive any consideration for their shares in connection with the Obsidian merger or the Galera merger and holders of Galera common stock will not receive any CVRs. Instead, Galera will remain an independent public company and Galera common stock would be expected to continue to be quoted on the OTCQB. In addition, in certain circumstances, a termination fee may be required to be paid by Galera or Obsidian. See the section entitled “</w:t>
      </w:r>
      <w:r>
        <w:rPr>
          <w:rFonts w:ascii="Times New Roman" w:cs="Times New Roman" w:eastAsia="Times New Roman" w:hAnsi="Times New Roman"/>
          <w:sz w:val="18"/>
          <w:szCs w:val="18"/>
          <w:i w:val="1"/>
          <w:iCs w:val="1"/>
          <w:color w:val="auto"/>
        </w:rPr>
        <w:t>The Merger Agreement—Termination and Termination Fees</w:t>
      </w:r>
      <w:r>
        <w:rPr>
          <w:rFonts w:ascii="Times New Roman" w:cs="Times New Roman" w:eastAsia="Times New Roman" w:hAnsi="Times New Roman"/>
          <w:sz w:val="18"/>
          <w:szCs w:val="18"/>
          <w:color w:val="auto"/>
        </w:rPr>
        <w:t>” beginning on page 163 of this information statement/prospectus for a discussion of the circumstances under which a termination fee will be required to be paid.</w:t>
      </w:r>
    </w:p>
    <w:p>
      <w:pPr>
        <w:spacing w:after="0" w:line="332" w:lineRule="exact"/>
        <w:rPr>
          <w:sz w:val="20"/>
          <w:szCs w:val="20"/>
          <w:color w:val="auto"/>
        </w:rPr>
      </w:pPr>
    </w:p>
    <w:p>
      <w:pPr>
        <w:ind w:left="1080" w:hanging="532"/>
        <w:spacing w:after="0"/>
        <w:tabs>
          <w:tab w:leader="none" w:pos="10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Galera merger expected to be taxable to Galera stockholders?</w:t>
      </w:r>
    </w:p>
    <w:p>
      <w:pPr>
        <w:spacing w:after="0" w:line="135" w:lineRule="exact"/>
        <w:rPr>
          <w:sz w:val="20"/>
          <w:szCs w:val="20"/>
          <w:color w:val="auto"/>
        </w:rPr>
      </w:pPr>
    </w:p>
    <w:p>
      <w:pPr>
        <w:ind w:left="1080" w:hanging="532"/>
        <w:spacing w:after="0" w:line="253"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except for any gain recognized in connection with the issuance of the CVRs. Galera and Obsidian each intend that the merger will qualify as a transaction described in Section 351 and Section 368(a) of the Code. Thus, subject to the limitations and qualifications described in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beginning on page 176 of this information statement/prospectus, U.S. holders of Galera common stock (“Galera U.S. holders”) will not recognize gain or loss upon the exchange of their Galera common stock for Parent common stock in the Galera merger except for the receipt of the CVRs. The issuance of the CVRs to Galera U.S. holders is expected to be treated as additional consideration paid with respect to such Galera common stock in connection with the Galera merger. As a result, Galera U.S. holders are expected to recognize gain (but not loss) with respect to their shares of Galera common stock held, in an amount equal to the lesser of (i) any gain realized with respect to such shares and (ii) the fair market value of the CVRs. For a more detailed summary of the material U.S. federal income tax consequences of the mergers and the CVRs, see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Consequences of 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Material U.S. Federal Income Tax Consequences of the Receipt of CVRs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beginning on pages 176 and 180, respectively, of this information statement/prospectus. For a more detailed discussion of the risks related to the U.S. federal income tax treatment, see the risk factors under “</w:t>
      </w:r>
      <w:r>
        <w:rPr>
          <w:rFonts w:ascii="Times New Roman" w:cs="Times New Roman" w:eastAsia="Times New Roman" w:hAnsi="Times New Roman"/>
          <w:sz w:val="18"/>
          <w:szCs w:val="18"/>
          <w:i w:val="1"/>
          <w:iCs w:val="1"/>
          <w:color w:val="auto"/>
        </w:rPr>
        <w:t>Risks Related to the Mergers</w:t>
      </w:r>
      <w:r>
        <w:rPr>
          <w:rFonts w:ascii="Times New Roman" w:cs="Times New Roman" w:eastAsia="Times New Roman" w:hAnsi="Times New Roman"/>
          <w:sz w:val="18"/>
          <w:szCs w:val="18"/>
          <w:color w:val="auto"/>
        </w:rPr>
        <w:t>” beginning on page 24 of this information statement/prospectus.</w:t>
      </w:r>
    </w:p>
    <w:p>
      <w:pPr>
        <w:spacing w:after="0" w:line="332"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the Obsidian merger expected to be taxable to Obsidian stockholders?</w:t>
      </w:r>
    </w:p>
    <w:p>
      <w:pPr>
        <w:spacing w:after="0" w:line="135" w:lineRule="exact"/>
        <w:rPr>
          <w:sz w:val="20"/>
          <w:szCs w:val="20"/>
          <w:color w:val="auto"/>
        </w:rPr>
      </w:pPr>
    </w:p>
    <w:p>
      <w:pPr>
        <w:ind w:left="1080" w:right="60" w:hanging="532"/>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Galera and Obsidian each intend that the merger will qualify as a transaction described in Section 351 and Section 368(a) of the Code. Thus, subject to the limitations and qualifications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100" w:right="140"/>
        <w:spacing w:after="0" w:line="257" w:lineRule="auto"/>
        <w:rPr>
          <w:sz w:val="20"/>
          <w:szCs w:val="20"/>
          <w:color w:val="auto"/>
        </w:rPr>
      </w:pPr>
      <w:r>
        <w:rPr>
          <w:rFonts w:ascii="Times New Roman" w:cs="Times New Roman" w:eastAsia="Times New Roman" w:hAnsi="Times New Roman"/>
          <w:sz w:val="18"/>
          <w:szCs w:val="18"/>
          <w:color w:val="auto"/>
        </w:rPr>
        <w:t>described in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beginning on page 176 of this information statement/prospectus, U.S. holders of Obsidian common stock will not recognize gain or loss upon the exchange of their Obsidian common stock for Parent common stock in the Obsidian merger. For a more detailed summary of the material U.S. federal income tax consequences of the mergers, see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beginning on page 176 of this information statement/prospectus. For a more detailed discussion of the risks related to the U.S. federal income tax treatment, see the risk factors under “</w:t>
      </w:r>
      <w:r>
        <w:rPr>
          <w:rFonts w:ascii="Times New Roman" w:cs="Times New Roman" w:eastAsia="Times New Roman" w:hAnsi="Times New Roman"/>
          <w:sz w:val="18"/>
          <w:szCs w:val="18"/>
          <w:i w:val="1"/>
          <w:iCs w:val="1"/>
          <w:color w:val="auto"/>
        </w:rPr>
        <w:t>Risks Related to the Mergers</w:t>
      </w:r>
      <w:r>
        <w:rPr>
          <w:rFonts w:ascii="Times New Roman" w:cs="Times New Roman" w:eastAsia="Times New Roman" w:hAnsi="Times New Roman"/>
          <w:sz w:val="18"/>
          <w:szCs w:val="18"/>
          <w:color w:val="auto"/>
        </w:rPr>
        <w:t>” beginning on page 24 of this information statement/prospectus.</w:t>
      </w:r>
    </w:p>
    <w:p>
      <w:pPr>
        <w:spacing w:after="0" w:line="329"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receipt of CVRs by Galera U.S. holders?</w:t>
      </w:r>
    </w:p>
    <w:p>
      <w:pPr>
        <w:spacing w:after="0" w:line="135" w:lineRule="exact"/>
        <w:rPr>
          <w:sz w:val="20"/>
          <w:szCs w:val="20"/>
          <w:color w:val="auto"/>
        </w:rPr>
      </w:pPr>
    </w:p>
    <w:p>
      <w:pPr>
        <w:ind w:left="1080" w:right="40" w:hanging="532"/>
        <w:spacing w:after="0" w:line="25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CVRs to Galera U.S. holders is expected to be treated as additional consideration paid with respect to such Galera common stock in connection with the Galera merger. As a result, Galera U.S. holders are expected to recognize gain (but not loss) with respect to their shares of Galera common stock held, in an amount equal to the lesser of (i) any gain realized with respect to such shares and (ii) the fair market value of the CVRs. Please review the information in the section entitled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Receipt of CVRs</w:t>
      </w:r>
      <w:r>
        <w:rPr>
          <w:rFonts w:ascii="Times New Roman" w:cs="Times New Roman" w:eastAsia="Times New Roman" w:hAnsi="Times New Roman"/>
          <w:sz w:val="18"/>
          <w:szCs w:val="18"/>
          <w:color w:val="auto"/>
        </w:rPr>
        <w:t>” beginning on page 180 of this information statement/prospectus for a more complete description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material U.S. federal income tax consequences of the receipt of CVRs to Galera U.S. holders, including possible alternative treatments.</w:t>
      </w:r>
    </w:p>
    <w:p>
      <w:pPr>
        <w:spacing w:after="0" w:line="332" w:lineRule="exact"/>
        <w:rPr>
          <w:sz w:val="20"/>
          <w:szCs w:val="20"/>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Galera stockholders have appraisal or dissenters’ rights?</w:t>
      </w:r>
    </w:p>
    <w:p>
      <w:pPr>
        <w:spacing w:after="0" w:line="135" w:lineRule="exact"/>
        <w:rPr>
          <w:sz w:val="20"/>
          <w:szCs w:val="20"/>
          <w:color w:val="auto"/>
        </w:rPr>
      </w:pPr>
    </w:p>
    <w:p>
      <w:pPr>
        <w:ind w:left="1080" w:hanging="532"/>
        <w:spacing w:after="0" w:line="25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Under applicable Delaware law, Galera stockholders that did not execute the Galera written consent have the right to dissent from the Galera merger and request to receive the “fair value” of their shares of Galera common stock in cash. Perfection of dissenters’ rights is complex. The procedures for exercising dissenters’ rights is described in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beginning on page 182 of this information statement/prospectus. Additionally, the full text of the applicable provisions of the DGCL relative to dissenters’ rights may be accessed without subscription or cost at the following publicly available website: https://delcode.delaware.gov/title8/c001/sc09/#262 and is expressly incorporated herein by reference.</w:t>
      </w:r>
    </w:p>
    <w:p>
      <w:pPr>
        <w:spacing w:after="0" w:line="332"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Whom should Galera stockholders contact with questions about the mergers?</w:t>
      </w:r>
    </w:p>
    <w:p>
      <w:pPr>
        <w:spacing w:after="0" w:line="135" w:lineRule="exact"/>
        <w:rPr>
          <w:sz w:val="20"/>
          <w:szCs w:val="20"/>
          <w:color w:val="auto"/>
        </w:rPr>
      </w:pPr>
    </w:p>
    <w:p>
      <w:pPr>
        <w:ind w:left="1080" w:right="50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Galera stockholder has any questions about this information statement/prospectus or the mergers, please contact Joel Sussman at jsussman@galeratx.com.</w:t>
      </w:r>
    </w:p>
    <w:p>
      <w:pPr>
        <w:spacing w:after="0" w:line="306"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concurrent financing?</w:t>
      </w:r>
    </w:p>
    <w:p>
      <w:pPr>
        <w:spacing w:after="0" w:line="135" w:lineRule="exact"/>
        <w:rPr>
          <w:sz w:val="20"/>
          <w:szCs w:val="20"/>
          <w:color w:val="auto"/>
        </w:rPr>
      </w:pPr>
    </w:p>
    <w:p>
      <w:pPr>
        <w:ind w:left="1080" w:right="20" w:hanging="532"/>
        <w:spacing w:after="0" w:line="255"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2026, Galera entered into a subscription agreement with certain investors, pursuant to which Galera agreed to sell, and such investors agreed to purchase, shares of Galera Series C preferred stock for an aggregate purchase price of approximately $350.0 million (less any proceeds received by Obsidian in connection with a Permitted Obsidian Bridge Financing), prior to the closing of the mergers. The closing of the concurrent financing is conditioned upon the satisfaction or waiver of each of the conditions to the closing of the mergers (other than those conditions which, by their nature, are to be satisfied at the closing of the transactions contemplated by the merger agreement), as well as certain other conditions. The concurrent financing is more fully described in the section titled “</w:t>
      </w:r>
      <w:r>
        <w:rPr>
          <w:rFonts w:ascii="Times New Roman" w:cs="Times New Roman" w:eastAsia="Times New Roman" w:hAnsi="Times New Roman"/>
          <w:sz w:val="18"/>
          <w:szCs w:val="18"/>
          <w:i w:val="1"/>
          <w:iCs w:val="1"/>
          <w:color w:val="auto"/>
        </w:rPr>
        <w:t>Agreements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Mergers—Concurrent Financing</w:t>
      </w:r>
      <w:r>
        <w:rPr>
          <w:rFonts w:ascii="Times New Roman" w:cs="Times New Roman" w:eastAsia="Times New Roman" w:hAnsi="Times New Roman"/>
          <w:sz w:val="18"/>
          <w:szCs w:val="18"/>
          <w:color w:val="auto"/>
        </w:rPr>
        <w:t>” beginning on page 174 of this information statement/prospectus.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information about Galera is available on the Internet?</w:t>
      </w:r>
    </w:p>
    <w:p>
      <w:pPr>
        <w:spacing w:after="0" w:line="133" w:lineRule="exact"/>
        <w:rPr>
          <w:sz w:val="20"/>
          <w:szCs w:val="20"/>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this information statement/prospectus is available for download free of charge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0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Additionally, the Galera website address is </w:t>
      </w:r>
      <w:r>
        <w:rPr>
          <w:rFonts w:ascii="Times New Roman" w:cs="Times New Roman" w:eastAsia="Times New Roman" w:hAnsi="Times New Roman"/>
          <w:sz w:val="18"/>
          <w:szCs w:val="18"/>
          <w:i w:val="1"/>
          <w:iCs w:val="1"/>
          <w:color w:val="auto"/>
        </w:rPr>
        <w:t>www.galeratx.com</w:t>
      </w:r>
      <w:r>
        <w:rPr>
          <w:rFonts w:ascii="Times New Roman" w:cs="Times New Roman" w:eastAsia="Times New Roman" w:hAnsi="Times New Roman"/>
          <w:sz w:val="18"/>
          <w:szCs w:val="18"/>
          <w:color w:val="auto"/>
        </w:rPr>
        <w:t>, which is used to distribute important information about Galera. At the “Investors” tab of that website (under the link “SEC Filings”), Galera makes available, free of charge, its Annual Reports on Form 10-K, Quarterly Reports on Form 10-Q, Current Reports on Form 8-K, proxy statements, ownership reports on Forms 3, 4 and 5 and any amendments to those reports as soon as practicable after they are electronically filed with the SEC.</w:t>
      </w:r>
    </w:p>
    <w:p>
      <w:pPr>
        <w:spacing w:after="0" w:line="7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from the Galera website is not incorporated by reference into this information statement/prospectus.</w:t>
      </w:r>
    </w:p>
    <w:p>
      <w:pPr>
        <w:spacing w:after="0" w:line="370"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Galera stockholders need to do now?</w:t>
      </w:r>
    </w:p>
    <w:p>
      <w:pPr>
        <w:spacing w:after="0" w:line="135" w:lineRule="exact"/>
        <w:rPr>
          <w:sz w:val="20"/>
          <w:szCs w:val="20"/>
          <w:color w:val="auto"/>
        </w:rPr>
      </w:pPr>
    </w:p>
    <w:p>
      <w:pPr>
        <w:ind w:left="1080" w:right="4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you have carefully read this document, you do not need to take any action to approve the mergers because the merger agreement has already been adopted by the requisite stockholder approval through the Galera written consent.</w:t>
      </w:r>
    </w:p>
    <w:p>
      <w:pPr>
        <w:spacing w:after="0" w:line="53" w:lineRule="exact"/>
        <w:rPr>
          <w:rFonts w:ascii="Times New Roman" w:cs="Times New Roman" w:eastAsia="Times New Roman" w:hAnsi="Times New Roman"/>
          <w:sz w:val="18"/>
          <w:szCs w:val="18"/>
          <w:color w:val="auto"/>
        </w:rPr>
      </w:pPr>
    </w:p>
    <w:p>
      <w:pPr>
        <w:jc w:val="both"/>
        <w:ind w:left="110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need to do anything at this time. After the completion of the Galera merger, Parent will cause its exchange agent to send you instructions for receiving the Galera merger consideration and exchanging shares of Galera common stock for shares of Parent common stock.</w:t>
      </w:r>
    </w:p>
    <w:p>
      <w:pPr>
        <w:spacing w:after="0" w:line="320"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mergers are completed, will the Parent common stock be listed for trading?</w:t>
      </w:r>
    </w:p>
    <w:p>
      <w:pPr>
        <w:spacing w:after="0" w:line="135" w:lineRule="exact"/>
        <w:rPr>
          <w:sz w:val="20"/>
          <w:szCs w:val="20"/>
          <w:color w:val="auto"/>
        </w:rPr>
      </w:pPr>
    </w:p>
    <w:p>
      <w:pPr>
        <w:ind w:left="1080" w:right="14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shares of Parent common stock you will receive in the mergers are expected to be listed on Nasdaq following the completion of the mergers. Until the mergers are consummated, the Parent common stock will not be listed on any securities exchange.</w:t>
      </w:r>
    </w:p>
    <w:p>
      <w:pPr>
        <w:spacing w:after="0" w:line="53" w:lineRule="exact"/>
        <w:rPr>
          <w:rFonts w:ascii="Times New Roman" w:cs="Times New Roman" w:eastAsia="Times New Roman" w:hAnsi="Times New Roman"/>
          <w:sz w:val="18"/>
          <w:szCs w:val="18"/>
          <w:color w:val="auto"/>
        </w:rPr>
      </w:pPr>
    </w:p>
    <w:p>
      <w:pPr>
        <w:ind w:left="110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mergers is subject to, among other conditions, the Parent common stock being approved for listing on Nasdaq, subject to official notice of issuance. There can be no assurance such listing condition will be met or that Parent will obtain such approval from Nasdaq. If such listing condition is not met or if such approval is not obtained, the mergers will not be consummated unless the condition is waived. The Nasdaq condition set forth in the merger agreement is not expected to be waived by the applicable parties.</w:t>
      </w:r>
    </w:p>
    <w:p>
      <w:pPr>
        <w:spacing w:after="0" w:line="71" w:lineRule="exact"/>
        <w:rPr>
          <w:rFonts w:ascii="Times New Roman" w:cs="Times New Roman" w:eastAsia="Times New Roman" w:hAnsi="Times New Roman"/>
          <w:sz w:val="18"/>
          <w:szCs w:val="18"/>
          <w:color w:val="auto"/>
        </w:rPr>
      </w:pPr>
    </w:p>
    <w:p>
      <w:pPr>
        <w:ind w:left="1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Parent common stock received in the mergers are expected to be freely transferable under applicable securities laws, except for any shares of Parent common stock subject to the lock-up agreements entered into by certain executive officers, directors and stockholders of Obsidian.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right="160" w:firstLine="426"/>
        <w:spacing w:after="0" w:line="290" w:lineRule="auto"/>
        <w:rPr>
          <w:sz w:val="20"/>
          <w:szCs w:val="20"/>
          <w:color w:val="auto"/>
        </w:rPr>
      </w:pPr>
      <w:r>
        <w:rPr>
          <w:rFonts w:ascii="Times New Roman" w:cs="Times New Roman" w:eastAsia="Times New Roman" w:hAnsi="Times New Roman"/>
          <w:sz w:val="17"/>
          <w:szCs w:val="17"/>
          <w:i w:val="1"/>
          <w:iCs w:val="1"/>
          <w:color w:val="auto"/>
        </w:rPr>
        <w:t>This summary highlights information contained elsewhere in this information statement/prospectus and may not contain all the information that is important to you. You should read carefully the entire information statement/prospectus, including the appendices to this information statement/prospectus, as this section does not provide all the information that might be important to you with respect to the transactions.</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 to the Merger Agreement</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Galera</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 Lindenwood Drive, Suite 225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Telephone: (610) 725-1500</w:t>
      </w:r>
    </w:p>
    <w:p>
      <w:pPr>
        <w:spacing w:after="0" w:line="207"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Galera Therapeutics, Inc. is a biopharmaceutical company that historically was focused on developing a portfolio of small molecule superoxide dismutase (“SOD”) mimetics to improve radiotherapy in cancer, primarily by reducing one of the most common side effects of radiotherapy, severe oral mucositis (“SOM”). Galera’s portfolio is currently comprised of a pan-NOS inhibitor. Its lead program is a Phase 1/2 trial of the pan-NOS inhibitor in combination with nab-paclitaxel and alpelisib for MpBC. This is an investigator-sponsored trial that is funded by a National Institutes of Health (“NIH”) grant to investigators at the Methodist Hospital in Houston, Texas (“Houston Methodist”), including the drug supply for the trial. In 2025, the Phase 2a portion of the trial was reached and two additional sites were added: the University of Texas MD Anderson Cancer Center and the NIH Clinical Center. Assuming Galera is successful in securing additional capital, a second trial for this agent is being planned in TNBC in collaboration with the I-SPY 2 consortium.</w:t>
      </w:r>
    </w:p>
    <w:p>
      <w:pPr>
        <w:spacing w:after="0" w:line="192"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As of December 31, 2025, Galera had three employees. With its limited resources, Galera continues to concentrate on developing therapies for breast cancer with toxicity reducing indications. Galera also continues to consider partnerships and alternative ways for advancing these indications.</w:t>
      </w:r>
    </w:p>
    <w:p>
      <w:pPr>
        <w:spacing w:after="0" w:line="176"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Galera common stock is quoted on OTCQB under the symbol “GRTX.” As a result of the mergers, Galera common stock will no longer trade on the OTCQB.</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Obsidian</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OBSIDIAN THERAPEUTICS,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1030 Massachusetts Avenue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Cambridge, Massachusetts 02138</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Telephone: (781) 806-6245</w:t>
      </w:r>
    </w:p>
    <w:p>
      <w:pPr>
        <w:spacing w:after="0" w:line="207" w:lineRule="exact"/>
        <w:rPr>
          <w:sz w:val="20"/>
          <w:szCs w:val="20"/>
          <w:color w:val="auto"/>
        </w:rPr>
      </w:pPr>
    </w:p>
    <w:p>
      <w:pPr>
        <w:ind w:left="300" w:right="40" w:firstLine="426"/>
        <w:spacing w:after="0" w:line="224" w:lineRule="auto"/>
        <w:rPr>
          <w:sz w:val="20"/>
          <w:szCs w:val="20"/>
          <w:color w:val="auto"/>
        </w:rPr>
      </w:pPr>
      <w:r>
        <w:rPr>
          <w:rFonts w:ascii="Times New Roman" w:cs="Times New Roman" w:eastAsia="Times New Roman" w:hAnsi="Times New Roman"/>
          <w:sz w:val="18"/>
          <w:szCs w:val="18"/>
          <w:color w:val="auto"/>
        </w:rPr>
        <w:t>Obsidian Therapeutics, Inc. is a clinical-stage biopharmaceutical company harnessing novel protein-regulation technology to develop engineered tumor infiltrating lymphocyte (“TIL”) cell therapies for the treatment of patients with solid tumors. Obsidian’s proprietary cytoDRiVE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is highly versatile and allows Obsidian to leverage drug responsive domains (“DRDs”) to control protein function, with an initial focus on TIL cell therapies developed from this platform (“cytoTILs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Obsidian’s lead product candidate, OBX-115, is a novel, genetically engineered, autologous TIL cell therapy currently in a Phase 2 clinical trial for the treatment of advanced melanoma and a Phase 1 clinical trial for the treatment of non-small cell lung cancer, or NSCLC. OBX-115 is designed with regulatable membrane-bound IL15 (“mbIL15”) which drives TIL persistence, eliminates the need to dose toxic interleukin-2 (“IL2”) and enables outpatient administration of</w:t>
      </w:r>
    </w:p>
    <w:p>
      <w:pPr>
        <w:spacing w:after="0" w:line="3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821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6821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56" w:lineRule="auto"/>
        <w:rPr>
          <w:sz w:val="20"/>
          <w:szCs w:val="20"/>
          <w:color w:val="auto"/>
        </w:rPr>
      </w:pPr>
      <w:r>
        <w:rPr>
          <w:rFonts w:ascii="Times New Roman" w:cs="Times New Roman" w:eastAsia="Times New Roman" w:hAnsi="Times New Roman"/>
          <w:sz w:val="18"/>
          <w:szCs w:val="18"/>
          <w:color w:val="auto"/>
        </w:rPr>
        <w:t>low-dose lymphodepletion. OBX-115 can be manufactured using tumor tissue procurement from an outpatient, minimally invasive core needle biopsy. Across a cohort of fifteen patients with treatment-resistant or refractory melanoma in Obsidian’s Phase 1/2 clinical trial, OBX-115 administration at the recommended Phase 2 dose demonstrated a 67% confirmed objective response rate (“ORR”) and significant tumor burden reduction, including two confirmed complete responses (“CRs”). OBX-115 has been granted Fast Track and Regenerative Medicine Advanced Therapy (“RMAT”) designations from the FDA for the treatment of patients with unresectable or metastatic melanoma that is resistant to immune checkpoint inhibitor (“ICI”) therapy.</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Parent</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GAZELLE PARENT,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 Lindenwood Drive, Suite 225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Telephone: (610) 725-1500</w:t>
      </w:r>
    </w:p>
    <w:p>
      <w:pPr>
        <w:spacing w:after="0" w:line="207"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Gazelle Parent, Inc. is a Delaware corporation that was formed by Galera on April 10, 2026, solely for the purpose of effecting the transactions contemplated by the merger agreement. Parent will not conduct any activities prior to the closing of the mergers other than those incidental to its formation and the matters contemplated by the merger agreement. As of the completion of the mergers, Galera and Obsidian will each become wholly-owned subsidiaries of Parent.</w:t>
      </w:r>
    </w:p>
    <w:p>
      <w:pPr>
        <w:spacing w:after="0" w:line="180"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Parent common stock is expected to be listed on Nasdaq under the symbol “OBX.” The business of Parent will be the combined businesses currently conducted by Galera and Obsidian. Upon closing of the mergers, Parent will be renamed “Obsidian Therapeutics, Inc.”</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Sub 1</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ONYX MERGERSUB,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 Gazelle Parent,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 Lindenwood Drive, Suite 225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Telephone: (610) 725-1500</w:t>
      </w:r>
    </w:p>
    <w:p>
      <w:pPr>
        <w:spacing w:after="0" w:line="207"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Onyx MergerSub, Inc., which we refer to as Merger Sub 1, is a Delaware corporation and wholly-owned subsidiary of Parent that was formed on April 10, 2026, solely for the purpose of effecting the Obsidian merger. Merger Sub 1 will not conduct any activities other than those incidental to its formation and the matters contemplated by the merger agreement. Pursuant to the merger agreement, Merger Sub 1 will be merged with and into Obsidian, with Obsidian surviving the Obsidian merger as a wholly-owned subsidiary of Parent.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Sub 2</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GAZELLE MERGER SUBSIDIARY,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 Gazelle Parent, Inc.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101 Lindenwood Drive, Suite 225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Telephone: (610) 725-1500</w:t>
      </w:r>
    </w:p>
    <w:p>
      <w:pPr>
        <w:spacing w:after="0" w:line="207" w:lineRule="exact"/>
        <w:rPr>
          <w:sz w:val="20"/>
          <w:szCs w:val="20"/>
          <w:color w:val="auto"/>
        </w:rPr>
      </w:pPr>
    </w:p>
    <w:p>
      <w:pPr>
        <w:jc w:val="both"/>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Gazelle Merger Subsidiary, Inc., which we refer to as Merger Sub 2, is a Delaware corporation and wholly-owned subsidiary of Parent that was formed on April 10, 2026, solely for the purpose of effecting the Galera merger. Merger Sub 2 will not conduct any activities other than those incidental to its formation and the matters contemplated by the merger agreement. Pursuant to the merger agreement, Merger Sub 2 will be merged with and into Galera, with Galera surviving the Galera merger as a wholly-owned subsidiary of Parent.</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56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6560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Mergers and the Merger Agreement</w:t>
      </w:r>
    </w:p>
    <w:p>
      <w:pPr>
        <w:spacing w:after="0" w:line="121"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this information statement/prospectus, on April 14, 2026, Galera entered into the merger agreement with Obsidian, Parent, Merger Sub 1 and Merger Sub 2, pursuant to which Galera and Obsidian will enter into a business combination and operate under Parent, a new company incorporated in Delaware. The terms and conditions of the mergers are contained in the merger agreement, which is attached to this information statement/prospectus as </w:t>
      </w:r>
      <w:r>
        <w:rPr>
          <w:rFonts w:ascii="Times New Roman" w:cs="Times New Roman" w:eastAsia="Times New Roman" w:hAnsi="Times New Roman"/>
          <w:sz w:val="18"/>
          <w:szCs w:val="18"/>
          <w:b w:val="1"/>
          <w:bCs w:val="1"/>
          <w:u w:val="single" w:color="auto"/>
          <w:color w:val="auto"/>
        </w:rPr>
        <w:t>Appendix A</w:t>
      </w:r>
      <w:r>
        <w:rPr>
          <w:rFonts w:ascii="Times New Roman" w:cs="Times New Roman" w:eastAsia="Times New Roman" w:hAnsi="Times New Roman"/>
          <w:sz w:val="18"/>
          <w:szCs w:val="18"/>
          <w:color w:val="auto"/>
        </w:rPr>
        <w:t>. Galera encourages you to read the merger agreement carefully, because it is the legal document that governs the mergers.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 of the Mergers</w:t>
      </w:r>
    </w:p>
    <w:p>
      <w:pPr>
        <w:spacing w:after="0" w:line="121"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(i) Merger Sub 1 will merge with and into Obsidian with Obsidian surviving the Obsidian merger as a wholly-owned subsidiary of Parent and (ii) Merger Sub 2 will merge with and into Galera with Galera surviving the Galera merger as a wholly-owned subsidiary of Parent.</w:t>
      </w:r>
    </w:p>
    <w:p>
      <w:pPr>
        <w:spacing w:after="0" w:line="176" w:lineRule="exact"/>
        <w:rPr>
          <w:sz w:val="20"/>
          <w:szCs w:val="20"/>
          <w:color w:val="auto"/>
        </w:rPr>
      </w:pPr>
    </w:p>
    <w:p>
      <w:pPr>
        <w:ind w:left="300" w:right="640" w:firstLine="426"/>
        <w:spacing w:after="0" w:line="282" w:lineRule="auto"/>
        <w:rPr>
          <w:sz w:val="20"/>
          <w:szCs w:val="20"/>
          <w:color w:val="auto"/>
        </w:rPr>
      </w:pPr>
      <w:r>
        <w:rPr>
          <w:rFonts w:ascii="Times New Roman" w:cs="Times New Roman" w:eastAsia="Times New Roman" w:hAnsi="Times New Roman"/>
          <w:sz w:val="18"/>
          <w:szCs w:val="18"/>
          <w:color w:val="auto"/>
        </w:rPr>
        <w:t>Following the completion of the mergers, the business of Parent will be the combined businesses currently conducted by Galera and Obsidian.</w:t>
      </w:r>
    </w:p>
    <w:p>
      <w:pPr>
        <w:spacing w:after="0" w:line="16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organization of Parent, Galera and Obsidian after the mergers and the concurrent financing is illustrated below (assuming proceeds from the concurrent financing of $350.0 million), with illustrative ownership percentages calculated on a fully-diluted basis, using the treasury stock method, and subject to certain assumptions, including (i) a valuation for Galera of $10.00 million (assuming Galera Net Cash of $(2.00) million as of the closing), (ii) a valuation Obsidian of $413.5 million, and (iii) the relative capitalization of Galera and Obsidian: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Ratios in the Mergers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Galera Exchange Ratio</w:t>
      </w:r>
    </w:p>
    <w:p>
      <w:pPr>
        <w:spacing w:after="0" w:line="121"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Immediately following the Obsidian merger effective time but immediately prior to the Galera merger effective time, all Galera preferred stock will be converted into Galera common stock (the “Galera preferred stock conversion”). The estimated number of shares of Parent common stock expected to be issued upon conversion of the Galera Series C preferred stock to be issued in the concurrent financing is 29,166,667 shares, assuming such conversion occurred as of June 22, 2026.</w:t>
      </w:r>
    </w:p>
    <w:p>
      <w:pPr>
        <w:spacing w:after="0" w:line="180" w:lineRule="exact"/>
        <w:rPr>
          <w:sz w:val="20"/>
          <w:szCs w:val="20"/>
          <w:color w:val="auto"/>
        </w:rPr>
      </w:pPr>
    </w:p>
    <w:p>
      <w:pPr>
        <w:ind w:left="300" w:right="260" w:firstLine="426"/>
        <w:spacing w:after="0" w:line="282" w:lineRule="auto"/>
        <w:rPr>
          <w:sz w:val="20"/>
          <w:szCs w:val="20"/>
          <w:color w:val="auto"/>
        </w:rPr>
      </w:pPr>
      <w:r>
        <w:rPr>
          <w:rFonts w:ascii="Times New Roman" w:cs="Times New Roman" w:eastAsia="Times New Roman" w:hAnsi="Times New Roman"/>
          <w:sz w:val="18"/>
          <w:szCs w:val="18"/>
          <w:color w:val="auto"/>
        </w:rPr>
        <w:t>Each outstanding Galera ITM option will automatically become fully vested and be net exercised at the Galera merger effective time into shares of Parent common stock. Each outstanding Galera option that is not a Galera ITM option will be cancelled for no consideration.</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320" w:top="455" w:right="7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848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5848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Prior to the Galera merger effective time, the Galera Pre-Funded Warrants will be exchanged for shares of Galera common stock. At the Galera merger effective time, each outstanding Galera Exchangeable Warrant will become a warrant to purchase shares of Parent common stock, and each outstanding Galera Terminable Warrant will be automatically terminated.</w:t>
      </w:r>
    </w:p>
    <w:p>
      <w:pPr>
        <w:spacing w:after="0" w:line="176"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The percentage of the combined company that pre-closing Galera security holders will own as of the closing of the mergers is subject to adjustment based on the valuation of Galera immediately prior to the closing. The valuation of Galera is subject to a dollar-for-dollar adjustment if Final Galera net cash (as defined in the merger agreement) is above or below the Galera target net cash of $1.8 million, provided that any Permitted Galera Bridge Financing will not cause the Final Galera net cash (as defined in the merger agreement) to exceed $1.8 million.</w:t>
      </w:r>
    </w:p>
    <w:p>
      <w:pPr>
        <w:spacing w:after="0" w:line="180"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For every $200,000 decrease in the Final Galera net cash (as defined in the merger agreement) below $(2.00) million, pre-closing Galera security holders (other than those investors participating in the concurrent financing) would own approximately 2.5 basis points (or two and one half hundredths of a percentage point) less, and pre-closing Obsidian security holders and investors in the concurrent financing, collectively, would own approximately 2.5 basis points (or two and one half hundredths of a percentage point) more, of the outstanding shares of Parent common stock at closing. Final Galera net cash as defined in the merger agreement can be a negative number and the amount of the adjustment described above is not capped. As an illustration, if the Final Galera net cash is $(2.00) million, the valuation of Galera would be $10 million, and (assuming gross proceeds of $350.0 million from the concurrent financing), the pre-closing Galera security holders (other than the investors participating in the concurrent financing) would own approximately 1.29% of the combined company, the pre-closing Obsidian security holders would own approximately 53.46% of the combined company, and investors in the concurrent financing would own approximately 45.25% of the combined company, in each case on a fully-diluted basis, using the treasury stock method.</w:t>
      </w:r>
    </w:p>
    <w:p>
      <w:pPr>
        <w:spacing w:after="0" w:line="194"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As of June 22, 2026, the Galera exchange ratio is estimated to be approximately 0.7515 (after giving effect to the Galera Reverse Stock Split and assuming a Galera Reverse Stock Split ratio of 1:200). This estimate is subject to adjustment prior to closing for the number of outstanding shares of Parent common stock and Galera common stock, in each case as of immediately prior to the effective time, and Final Galera net cash (and as a result, Galera stockholders could own more or less of the combined company than may be implied by the assumed Galera exchange ratio). The assumed Galera exchange ratio is based on (a) a valuation of Galera at $10.00 million, subject to adjustment if Final Galera net cash exceeds or falls below $(2.00) million (with any such difference resulting in a dollar-for-dollar adjustment to Galera’s valuation), and (b) the assumed Galera Reverse Stock Split ratio noted above, although Galera’s board of directors may instead effect the Galera Reverse Stock Split at another ratio within the approved range of 1:75 to 1:200, which would result in a corresponding adjustment to the Galera exchange ratio.</w:t>
      </w:r>
    </w:p>
    <w:p>
      <w:pPr>
        <w:spacing w:after="0" w:line="192"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estimated aggregate number of shares of common stock that Parent expects to issue to Galera’s securityholders at the closing of the Galera merger is 781,649 shares, reflecting an expected per share value of $12.00, assuming the Galera merger occurred as of June 22, 2026 (after giving effect to the Galera preferred stock conversion and the assumed Galera Reverse Stock Split ratio).</w:t>
      </w:r>
    </w:p>
    <w:p>
      <w:pPr>
        <w:spacing w:after="0" w:line="176" w:lineRule="exact"/>
        <w:rPr>
          <w:sz w:val="20"/>
          <w:szCs w:val="20"/>
          <w:color w:val="auto"/>
        </w:rPr>
      </w:pPr>
    </w:p>
    <w:p>
      <w:pPr>
        <w:jc w:val="both"/>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In addition, an aggregate of 90,522 shares of Parent common stock are expected to be reserved for issuance upon the conversion or exercise of outstanding Galera options, warrants and other convertible securities that will be assumed by Parent upon completion of the Galera merger, in each case subject to adjustment as described in this information statement/prospectus.</w:t>
      </w:r>
    </w:p>
    <w:p>
      <w:pPr>
        <w:spacing w:after="0" w:line="174" w:lineRule="exact"/>
        <w:rPr>
          <w:sz w:val="20"/>
          <w:szCs w:val="20"/>
          <w:color w:val="auto"/>
        </w:rPr>
      </w:pPr>
    </w:p>
    <w:p>
      <w:pPr>
        <w:ind w:left="300" w:right="48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regarding the Galera exchange ratio, see the section entitled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Galera Exchange Ratio</w:t>
      </w:r>
      <w:r>
        <w:rPr>
          <w:rFonts w:ascii="Times New Roman" w:cs="Times New Roman" w:eastAsia="Times New Roman" w:hAnsi="Times New Roman"/>
          <w:sz w:val="18"/>
          <w:szCs w:val="18"/>
          <w:color w:val="auto"/>
        </w:rPr>
        <w:t>” beginning on page 152 of this information statement/prospectus.</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Obsidian Exchange Ratio</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At the Obsidian merger effective time, each share of Obsidian common stock will be converted into the right to receive a number of shares of Parent common stock equal to the Obsidian exchange ratio, which is calculated by dividing the Obsidian merger shares by the number of Obsidian outstanding shares. The Obsidian equity value is $413.5 million. The Obsidian exchange ratio will not be determined until the closing of the mergers.</w:t>
      </w:r>
    </w:p>
    <w:p>
      <w:pPr>
        <w:spacing w:after="0" w:line="180" w:lineRule="exact"/>
        <w:rPr>
          <w:sz w:val="20"/>
          <w:szCs w:val="20"/>
          <w:color w:val="auto"/>
        </w:rPr>
      </w:pPr>
    </w:p>
    <w:p>
      <w:pPr>
        <w:ind w:left="300" w:right="220" w:firstLine="426"/>
        <w:spacing w:after="0" w:line="282" w:lineRule="auto"/>
        <w:rPr>
          <w:sz w:val="20"/>
          <w:szCs w:val="20"/>
          <w:color w:val="auto"/>
        </w:rPr>
      </w:pPr>
      <w:r>
        <w:rPr>
          <w:rFonts w:ascii="Times New Roman" w:cs="Times New Roman" w:eastAsia="Times New Roman" w:hAnsi="Times New Roman"/>
          <w:sz w:val="18"/>
          <w:szCs w:val="18"/>
          <w:color w:val="auto"/>
        </w:rPr>
        <w:t>Immediately prior to the Obsidian merger effective time, all outstanding Obsidian preferred stock will be converted into Obsidian common stock (the “Obsidian preferred stock conversion”).</w:t>
      </w:r>
    </w:p>
    <w:p>
      <w:pPr>
        <w:spacing w:after="0" w:line="162"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Each outstanding Obsidian option will be assumed and converted into an option to acquire shares of Parent common stock on the same terms and conditions, with the number of shares and exercise price adjusted to reflect the Obsidian exchange ratio.</w:t>
      </w:r>
    </w:p>
    <w:p>
      <w:pPr>
        <w:spacing w:after="0" w:line="162"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Immediately prior to the Obsidian merger effective time, the Obsidian Banc of California, Inc. warrants will be deemed automatically exercised and will terminate in full.</w:t>
      </w:r>
    </w:p>
    <w:p>
      <w:pPr>
        <w:spacing w:after="0" w:line="162" w:lineRule="exact"/>
        <w:rPr>
          <w:sz w:val="20"/>
          <w:szCs w:val="20"/>
          <w:color w:val="auto"/>
        </w:rPr>
      </w:pPr>
    </w:p>
    <w:p>
      <w:pPr>
        <w:ind w:left="300" w:right="200" w:firstLine="426"/>
        <w:spacing w:after="0" w:line="256" w:lineRule="auto"/>
        <w:rPr>
          <w:sz w:val="20"/>
          <w:szCs w:val="20"/>
          <w:color w:val="auto"/>
        </w:rPr>
      </w:pPr>
      <w:r>
        <w:rPr>
          <w:rFonts w:ascii="Times New Roman" w:cs="Times New Roman" w:eastAsia="Times New Roman" w:hAnsi="Times New Roman"/>
          <w:sz w:val="18"/>
          <w:szCs w:val="18"/>
          <w:color w:val="auto"/>
        </w:rPr>
        <w:t>As of June 22, 2026, the Obsidian exchange ratio is estimated to be approximately 0.1375 (after giving effect to the Galera Reverse Stock Split and assuming a Galera Reverse Stock Split ratio of 1:200). This estimate is subject to adjustment prior to closing for the number of outstanding shares of Parent common stock and Obsidian common stock, in each case as of immediately prior to the effective time. The assumed Obsidian exchange ratio is based on a valuation of Obsidian at $413.5 million. The estimated aggregate number of shares of common stock that Parent expects to issue to Obsidian’s securityholders at the closing of the Obsidian merger is 31,647,468 shares, reflecting an expected per share value of $12.00, assuming the Obsidian merger occurred as of May 19, 2026.</w:t>
      </w:r>
    </w:p>
    <w:p>
      <w:pPr>
        <w:spacing w:after="0" w:line="187"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In addition, an aggregate of 5,315,255 shares of Parent common stock are expected to be reserved for issuance upon the conversion or exercise of outstanding Obsidian options, warrants and other convertible securities that will be assumed by Parent upon completion of the Obsidian merger, in each case subject to adjustment as described in this information statement/prospectus.</w:t>
      </w:r>
    </w:p>
    <w:p>
      <w:pPr>
        <w:spacing w:after="0" w:line="174" w:lineRule="exact"/>
        <w:rPr>
          <w:sz w:val="20"/>
          <w:szCs w:val="20"/>
          <w:color w:val="auto"/>
        </w:rPr>
      </w:pPr>
    </w:p>
    <w:p>
      <w:pPr>
        <w:ind w:left="300" w:right="30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regarding the Obsidian exchange ratio, see the section entitled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Obsidian Exchange Ratio</w:t>
      </w:r>
      <w:r>
        <w:rPr>
          <w:rFonts w:ascii="Times New Roman" w:cs="Times New Roman" w:eastAsia="Times New Roman" w:hAnsi="Times New Roman"/>
          <w:sz w:val="18"/>
          <w:szCs w:val="18"/>
          <w:color w:val="auto"/>
        </w:rPr>
        <w:t>” beginning on page 150 of this information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CVRs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Prior to the Galera merger effective time, Parent, Obsidian and the Rights Agent will enter into the CVR agreement, pursuant to which Galera common stockholders of record as of the close of business on the last business day prior to the Galera merger effective time (but, for clarity, after the conversion of all Galera Series B preferred stock into Galera common stock) will receive CVRs representing the right to receive contingent cash payments upon the occurrence of certain events. There are two types of CVRs: (i) one CVR with respect to the Legacy Product Agreement and (ii) one CVR with respect to the Supportive-Care Product Agreement, for each such outstanding share of Galera common stock. The CVRs with respect to the Legacy Product Agreement relate to tilarginine, Galera’s legacy product candidate, and entitle holders to receive a pro rata portion of 80% of the net proceeds received by Parent or its affiliates under any Legacy Product Agreement during the applicable CVR period, determined in accordance with GAAP and consisting of gross cash proceeds less permitted deductions (as defined in the CVR Agreement), excluding amounts paid for research, development or manufacturing activities, loan proceeds, patent-related reimbursements, non-cash consideration unless and until converted to cash, and any amounts received after the applicable expiration date (the “CVR Proceeds”), with such period expiring on the fifth anniversary of the closing. The CVRs with respect to the Supportive-Care Product Agreement relate to small</w:t>
      </w:r>
    </w:p>
    <w:p>
      <w:pPr>
        <w:spacing w:after="0" w:line="31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 xml:space="preserve">molecules known as GC4419, GC4711 and related compounds, and entitle holders to receive a pro rata portion of 95% of the CVR Proceeds received by Parent or its affiliates under the Supportive-Care Product Agreement, with such period expiring on the tenth anniversary of the closing. In each case, each holder will be entitled to receive its pro rata portion of the applicable percentage of CVR Proceeds, calculated by multiplying such percentage by a fraction equal to the total number of CVRs of the applicable type held by such holder divided by the total number of CVRs of the applicable type held by all holders, less applicable tax withholding (the “CVR Payment Amount”). A copy of the form of CVR Agreement is included as </w:t>
      </w:r>
      <w:r>
        <w:rPr>
          <w:rFonts w:ascii="Times New Roman" w:cs="Times New Roman" w:eastAsia="Times New Roman" w:hAnsi="Times New Roman"/>
          <w:sz w:val="18"/>
          <w:szCs w:val="18"/>
          <w:b w:val="1"/>
          <w:bCs w:val="1"/>
          <w:u w:val="single" w:color="auto"/>
          <w:color w:val="auto"/>
        </w:rPr>
        <w:t>Appendix B</w:t>
      </w:r>
      <w:r>
        <w:rPr>
          <w:rFonts w:ascii="Times New Roman" w:cs="Times New Roman" w:eastAsia="Times New Roman" w:hAnsi="Times New Roman"/>
          <w:sz w:val="18"/>
          <w:szCs w:val="18"/>
          <w:color w:val="auto"/>
        </w:rPr>
        <w:t xml:space="preserve"> to this information statement/prospectus.</w:t>
      </w:r>
    </w:p>
    <w:p>
      <w:pPr>
        <w:spacing w:after="0" w:line="187" w:lineRule="exact"/>
        <w:rPr>
          <w:sz w:val="20"/>
          <w:szCs w:val="20"/>
          <w:color w:val="auto"/>
        </w:rPr>
      </w:pPr>
    </w:p>
    <w:p>
      <w:pPr>
        <w:jc w:val="both"/>
        <w:ind w:left="300" w:right="300" w:firstLine="426"/>
        <w:spacing w:after="0" w:line="312" w:lineRule="auto"/>
        <w:rPr>
          <w:sz w:val="20"/>
          <w:szCs w:val="20"/>
          <w:color w:val="auto"/>
        </w:rPr>
      </w:pPr>
      <w:r>
        <w:rPr>
          <w:rFonts w:ascii="Times New Roman" w:cs="Times New Roman" w:eastAsia="Times New Roman" w:hAnsi="Times New Roman"/>
          <w:sz w:val="17"/>
          <w:szCs w:val="17"/>
          <w:color w:val="auto"/>
        </w:rPr>
        <w:t>If the CVR Payment Amounts become payable, the Rights Agent will distribute such amounts to the CVR Holders in accordance with the terms of the CVR Agreement. There can be no assurance that the CVR Holders will receive any payments with respect to the CVR Agreement.</w:t>
      </w:r>
    </w:p>
    <w:p>
      <w:pPr>
        <w:spacing w:after="0" w:line="14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Parent or in any constituent company to the mergers. No interest will accrue on any amounts payable in respect of the CVRs.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Concurrent Financing</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Concurrently with entering into the merger agreement, Parent and Galera entered into the subscription agreement with certain qualified institutional buyers and/or accredited investors (the “2026 Galera PIPE Investors”). Pursuant to the subscription agreement, and subject to the terms and conditions therein, Galera agreed to sell, and the 2026 Galera PIPE Investors agreed to purchase, immediately prior to the Obsidian merger effective time, shares of Galera Series C preferred stock, for an aggregate purchase price of $350.0 million. In the event Obsidian consummates a Permitted Obsidian Bridge Financing prior to the Obsidian merger effective time and a 2026 Galera PIPE Investor funds a portion of such Permitted Obsidian Bridge Financing, such 2026 Galera PIPE Investor’s aggregate purchase amount under the subscription agreement will be reduced dollar for dollar by an amount equal to such 2026 Galera PIPE Investor’s Permitted Obsidian Bridge Financing funding amount. Shares of Galera Series C preferred stock issued pursuant to the concurrent financing will be converted into shares of Galera common stock immediately after they are issued and then, in accordance with the terms of the merger agreement, will be converted into shares of Parent common stock at the Galera merger effective time. The closing of the concurrent financing is anticipated to occur on or about the date of the closing of the mergers, subject to the satisfaction of customary closing conditions.</w:t>
      </w:r>
    </w:p>
    <w:p>
      <w:pPr>
        <w:spacing w:after="0" w:line="192"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In connection with the concurrent financing, Parent and Galera also entered into a registration rights agreement (the “2026 PIPE Registration Rights Agreement”) with the 2026 Galera PIPE Investors in connection with the concurrent financing. Pursuant to the 2026 PIPE Registration Rights Agreement, the combined company will prepare and file a resale registration statement with the SEC within 30 calendar days following the closing. The combined company will use its reasonable best efforts to cause such registration statement to become effective at the earliest possible date.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 Support Agreements</w:t>
      </w:r>
    </w:p>
    <w:p>
      <w:pPr>
        <w:spacing w:after="0" w:line="121" w:lineRule="exact"/>
        <w:rPr>
          <w:sz w:val="20"/>
          <w:szCs w:val="20"/>
          <w:color w:val="auto"/>
        </w:rPr>
      </w:pPr>
    </w:p>
    <w:p>
      <w:pPr>
        <w:ind w:left="300" w:right="160" w:firstLine="426"/>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the executive officers and directors and certain other stockholders of Galera holding approximately 51.1% of the outstanding Galera capital stock (the “Galera supporting stockholders”) entered into support agreements (the “Galera Support Agreements”) in favor of Obsidian, providing, among other things, that such officers, directors and stockholders will vote all of their eligible shares of Galera capital stock, among other things: (i) in favor of approving the mergers, the Required Galera Stockholder Approval and the other actions contemplated by the merger agreement and (ii) against any proposal or offer for, or consummation of, any transaction that would result in a change in control of 20% or more of the outstanding voting securities of Galera or any</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spacing w:after="0" w:line="282" w:lineRule="auto"/>
        <w:rPr>
          <w:sz w:val="20"/>
          <w:szCs w:val="20"/>
          <w:color w:val="auto"/>
        </w:rPr>
      </w:pPr>
      <w:r>
        <w:rPr>
          <w:rFonts w:ascii="Times New Roman" w:cs="Times New Roman" w:eastAsia="Times New Roman" w:hAnsi="Times New Roman"/>
          <w:sz w:val="18"/>
          <w:szCs w:val="18"/>
          <w:color w:val="auto"/>
        </w:rPr>
        <w:t>of its subsidiaries, or any other action that would reasonably be expected to interfere with, delay, impede, postpone, discourage or adversely affect the consummation of the transactions.</w:t>
      </w:r>
    </w:p>
    <w:p>
      <w:pPr>
        <w:spacing w:after="0" w:line="162"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officers and directors and certain other stockholders of Obsidian holding approximately 62.8% of the outstanding Obsidian capital stock (the “Obsidian supporting stockholders,” and together with the Galera supporting stockholders, the “supporting stockholders”) entered into support agreements (the “Obsidian Support Agreements” and, together with the Galera Support Agreements, the “Support Agreements”) in favor of Obsidian, providing, among other things, that such officers, directors and stockholders will vote all of their shares of Obsidian capital stock, among other things: (i) in favor of approving the mergers, the Required Obsidian Stockholder Approval and the other actions contemplated by the merger agreement and (ii) against any proposal or offer for, or consummation of, any transaction that would result in a change in control of 20% or more of the outstanding voting securities of Obsidian or any of its subsidiaries, or any other action that would reasonably be expected to interfere with, delay, impede, postpone, discourage or adversely affect the consummation of the transactions.</w:t>
      </w:r>
    </w:p>
    <w:p>
      <w:pPr>
        <w:spacing w:after="0" w:line="188"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The Support Agreements also provide that the supporting stockholders will grant an irrevocable proxy to vote said shares in accordance with the applicable Support Agreement and each supporting stockholder has undertaken not to transfer, pledge, or otherwise dispose of any such shares or grant any proxies or enter into any voting arrangements inconsistent with the applicable Support Agreement, subject to limited exceptions for certain permitted transfers. In the event of a Galera Board Adverse Recommendation Change or Obsidian Board Adverse Recommendation Change made in compliance with the terms of the merger agreement, the aggregate number of shares subject to the applicable Support Agreements will be automatically reduced on a pro rata basis such that the number of shares held collectively by all such holders will represent in the aggregate 25% of the outstanding shares of the applicable company’s common stock.</w:t>
      </w:r>
    </w:p>
    <w:p>
      <w:pPr>
        <w:spacing w:after="0" w:line="187" w:lineRule="exact"/>
        <w:rPr>
          <w:sz w:val="20"/>
          <w:szCs w:val="20"/>
          <w:color w:val="auto"/>
        </w:rPr>
      </w:pPr>
    </w:p>
    <w:p>
      <w:pPr>
        <w:ind w:left="300" w:right="90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regarding the Support Agreements, see the section entitled “</w:t>
      </w:r>
      <w:r>
        <w:rPr>
          <w:rFonts w:ascii="Times New Roman" w:cs="Times New Roman" w:eastAsia="Times New Roman" w:hAnsi="Times New Roman"/>
          <w:sz w:val="18"/>
          <w:szCs w:val="18"/>
          <w:i w:val="1"/>
          <w:iCs w:val="1"/>
          <w:color w:val="auto"/>
        </w:rPr>
        <w:t>Agreements Related to the Mergers—Support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beginning on page 169 of this information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Concurrently with the execution of the merger agreement, certain executive officers and directors of Obsidian entered into lock-up agreements (the “Lock-Up Agreements”), as a condition and inducement to Galera’s willingness to enter into the merger agreement, pursuant to which, subject to specified exceptions, such persons accepted certain restrictions on transfers of shares of Parent common stock (including shares received in the mergers and shares issuable upon exercise of options, warrants or convertible securities) for the 180-day period following the Galera merger effective time. The Obsidian stockholders who have executed Lock-Up Agreements as of April 14, 2026 owned, in the aggregate, over 50% of the outstanding shares of Obsidian common stock (on an as-converted basis).</w:t>
      </w:r>
    </w:p>
    <w:p>
      <w:pPr>
        <w:spacing w:after="0" w:line="187" w:lineRule="exact"/>
        <w:rPr>
          <w:sz w:val="20"/>
          <w:szCs w:val="20"/>
          <w:color w:val="auto"/>
        </w:rPr>
      </w:pPr>
    </w:p>
    <w:p>
      <w:pPr>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Lock-Up Agreements and the obligations of the parties thereto will automatically terminate upon the earlier of (i) Obsidian advising the applicable holder in writing that it has determined not to proceed with the transactions or (ii) the merger agreement being validly terminated pursuant to its terms.</w:t>
      </w:r>
    </w:p>
    <w:p>
      <w:pPr>
        <w:spacing w:after="0" w:line="174" w:lineRule="exact"/>
        <w:rPr>
          <w:sz w:val="20"/>
          <w:szCs w:val="20"/>
          <w:color w:val="auto"/>
        </w:rPr>
      </w:pPr>
    </w:p>
    <w:p>
      <w:pPr>
        <w:ind w:left="300" w:right="76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regarding the Lock-Up Agreements, see the section entitled “</w:t>
      </w:r>
      <w:r>
        <w:rPr>
          <w:rFonts w:ascii="Times New Roman" w:cs="Times New Roman" w:eastAsia="Times New Roman" w:hAnsi="Times New Roman"/>
          <w:sz w:val="18"/>
          <w:szCs w:val="18"/>
          <w:i w:val="1"/>
          <w:iCs w:val="1"/>
          <w:color w:val="auto"/>
        </w:rPr>
        <w:t>Agreements Related to the Mergers—Lock-Up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beginning on page 171 of this information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Parent Equity Awards</w:t>
      </w:r>
    </w:p>
    <w:p>
      <w:pPr>
        <w:spacing w:after="0" w:line="121" w:lineRule="exact"/>
        <w:rPr>
          <w:sz w:val="20"/>
          <w:szCs w:val="20"/>
          <w:color w:val="auto"/>
        </w:rPr>
      </w:pPr>
    </w:p>
    <w:p>
      <w:pPr>
        <w:jc w:val="both"/>
        <w:ind w:left="300" w:right="200" w:firstLine="426"/>
        <w:spacing w:after="0" w:line="266" w:lineRule="auto"/>
        <w:rPr>
          <w:sz w:val="20"/>
          <w:szCs w:val="20"/>
          <w:color w:val="auto"/>
        </w:rPr>
      </w:pPr>
      <w:r>
        <w:rPr>
          <w:rFonts w:ascii="Times New Roman" w:cs="Times New Roman" w:eastAsia="Times New Roman" w:hAnsi="Times New Roman"/>
          <w:sz w:val="18"/>
          <w:szCs w:val="18"/>
          <w:color w:val="auto"/>
        </w:rPr>
        <w:t>In connection with the mergers, and prior to the closing, Parent will adopt the Gazelle Parent, Inc., 2026 Equity Incentive Plan (the “Parent Equity Incentive Plan”). In addition to the Obsidian equity awards that will be converted upon completion of the Obsidian merger and the Galera equity awards that will be converted upon</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40"/>
        <w:spacing w:after="0" w:line="261" w:lineRule="auto"/>
        <w:rPr>
          <w:sz w:val="20"/>
          <w:szCs w:val="20"/>
          <w:color w:val="auto"/>
        </w:rPr>
      </w:pPr>
      <w:r>
        <w:rPr>
          <w:rFonts w:ascii="Times New Roman" w:cs="Times New Roman" w:eastAsia="Times New Roman" w:hAnsi="Times New Roman"/>
          <w:sz w:val="18"/>
          <w:szCs w:val="18"/>
          <w:color w:val="auto"/>
        </w:rPr>
        <w:t>completion of the Galera merger, the combined company will be permitted to issue new equity-based compensation for services rendered to the combined company or any of its participating subsidiaries in the form of stock options, restricted stock awards, restricted stock units, stock appreciation rights, dividend equivalents, performance awards and stock payments (or any combination thereof) granted under the Parent Equity Incentive Plan. No awards may be granted under the Parent Equity Incentive Plan prior to the Galera merger effective time.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Galera’s Financial Advisor</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On April 13, 2026, Galera’s financial advisor in connection with the mergers, delivered an oral opinion to the Galera Board, which was subsequently confirmed in a written opinion dated the same date, to the effect that, as of such date and subject to the procedures followed, assumptions made, matters considered, and qualifications and limitations on the review undertaken by Lucid Capital Markets, LLC (“Lucid”) as set forth in such opinion, the Galera exchange ratio and the Obsidian exchange ratio were fair, from a financial point of view, to the holders of Galera common stock.</w:t>
      </w:r>
    </w:p>
    <w:p>
      <w:pPr>
        <w:spacing w:after="0" w:line="179" w:lineRule="exact"/>
        <w:rPr>
          <w:sz w:val="20"/>
          <w:szCs w:val="20"/>
          <w:color w:val="auto"/>
        </w:rPr>
      </w:pPr>
    </w:p>
    <w:p>
      <w:pPr>
        <w:ind w:left="300" w:firstLine="426"/>
        <w:spacing w:after="0" w:line="262" w:lineRule="auto"/>
        <w:rPr>
          <w:sz w:val="20"/>
          <w:szCs w:val="20"/>
          <w:color w:val="auto"/>
        </w:rPr>
      </w:pPr>
      <w:r>
        <w:rPr>
          <w:rFonts w:ascii="Times New Roman" w:cs="Times New Roman" w:eastAsia="Times New Roman" w:hAnsi="Times New Roman"/>
          <w:sz w:val="18"/>
          <w:szCs w:val="18"/>
          <w:color w:val="auto"/>
        </w:rPr>
        <w:t xml:space="preserve">The full text of Lucid’s opinion, dated April 13, 2026, is attached as </w:t>
      </w:r>
      <w:r>
        <w:rPr>
          <w:rFonts w:ascii="Times New Roman" w:cs="Times New Roman" w:eastAsia="Times New Roman" w:hAnsi="Times New Roman"/>
          <w:sz w:val="18"/>
          <w:szCs w:val="18"/>
          <w:b w:val="1"/>
          <w:bCs w:val="1"/>
          <w:u w:val="single" w:color="auto"/>
          <w:color w:val="auto"/>
        </w:rPr>
        <w:t>Appendix C</w:t>
      </w:r>
      <w:r>
        <w:rPr>
          <w:rFonts w:ascii="Times New Roman" w:cs="Times New Roman" w:eastAsia="Times New Roman" w:hAnsi="Times New Roman"/>
          <w:sz w:val="18"/>
          <w:szCs w:val="18"/>
          <w:color w:val="auto"/>
        </w:rPr>
        <w:t xml:space="preserve"> to this information statement/prospectus, and the full text of the opinion is incorporated herein by reference. You should read the opinion as well as the section entitled “</w:t>
      </w:r>
      <w:r>
        <w:rPr>
          <w:rFonts w:ascii="Times New Roman" w:cs="Times New Roman" w:eastAsia="Times New Roman" w:hAnsi="Times New Roman"/>
          <w:sz w:val="18"/>
          <w:szCs w:val="18"/>
          <w:i w:val="1"/>
          <w:iCs w:val="1"/>
          <w:color w:val="auto"/>
        </w:rPr>
        <w:t>The Mergers—Opinion of Galera’s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beginning on page 128 of this information statement/prospectus, in their entirety to understand the procedures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made, matters considered, and qualifications and limitations on the review undertaken by Lucid.</w:t>
      </w:r>
    </w:p>
    <w:p>
      <w:pPr>
        <w:spacing w:after="0" w:line="180"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Lucid’s opinion was for the information of, and was directed to, the Galera Board (in its capacity as such) in connection with its consideration of the financial terms of the mergers.</w:t>
      </w:r>
    </w:p>
    <w:p>
      <w:pPr>
        <w:spacing w:after="0" w:line="162"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The opinion addressed only the fairness, from a financial point of view, as of the date of the opinion, to the Galera stockholders of the Galera exchange ratio and the Obsidian exchange ratio. It did not address the underlying business decision of Galera to engage in the mergers or enter into the merger agreement or constitute a recommendation to the Galera Board in connection with the mergers, and it does not constitute a recommendation regarding whether or not any such Galera stockholder should exercise any dissenters’ or appraisal rights that may be available to such stockholder. Lucid received a fee for its services, none of which was contingent upon consummation of the mergers.</w:t>
      </w:r>
    </w:p>
    <w:p>
      <w:pPr>
        <w:spacing w:after="0" w:line="181" w:lineRule="exact"/>
        <w:rPr>
          <w:sz w:val="20"/>
          <w:szCs w:val="20"/>
          <w:color w:val="auto"/>
        </w:rPr>
      </w:pPr>
    </w:p>
    <w:p>
      <w:pPr>
        <w:ind w:left="300" w:right="40" w:firstLine="426"/>
        <w:spacing w:after="0" w:line="284" w:lineRule="auto"/>
        <w:rPr>
          <w:sz w:val="20"/>
          <w:szCs w:val="20"/>
          <w:color w:val="auto"/>
        </w:rPr>
      </w:pPr>
      <w:r>
        <w:rPr>
          <w:rFonts w:ascii="Times New Roman" w:cs="Times New Roman" w:eastAsia="Times New Roman" w:hAnsi="Times New Roman"/>
          <w:sz w:val="18"/>
          <w:szCs w:val="18"/>
          <w:color w:val="auto"/>
        </w:rPr>
        <w:t>For further information, please see the section entitled “</w:t>
      </w:r>
      <w:r>
        <w:rPr>
          <w:rFonts w:ascii="Times New Roman" w:cs="Times New Roman" w:eastAsia="Times New Roman" w:hAnsi="Times New Roman"/>
          <w:sz w:val="18"/>
          <w:szCs w:val="18"/>
          <w:i w:val="1"/>
          <w:iCs w:val="1"/>
          <w:color w:val="auto"/>
        </w:rPr>
        <w:t>The Mergers—Opinion of Galera’s Financial Advisor</w:t>
      </w:r>
      <w:r>
        <w:rPr>
          <w:rFonts w:ascii="Times New Roman" w:cs="Times New Roman" w:eastAsia="Times New Roman" w:hAnsi="Times New Roman"/>
          <w:sz w:val="18"/>
          <w:szCs w:val="18"/>
          <w:color w:val="auto"/>
        </w:rPr>
        <w:t>” beginning on page 128 of this information statement/prospectus.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Mergers</w:t>
      </w:r>
    </w:p>
    <w:p>
      <w:pPr>
        <w:spacing w:after="0" w:line="22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Galera and Obsidian each intend that, subject to the limitations and qualifications described in “</w:t>
      </w:r>
      <w:r>
        <w:rPr>
          <w:rFonts w:ascii="Times New Roman" w:cs="Times New Roman" w:eastAsia="Times New Roman" w:hAnsi="Times New Roman"/>
          <w:sz w:val="18"/>
          <w:szCs w:val="18"/>
          <w:i w:val="1"/>
          <w:iCs w:val="1"/>
          <w:color w:val="auto"/>
        </w:rPr>
        <w:t>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Mergers</w:t>
      </w:r>
      <w:r>
        <w:rPr>
          <w:rFonts w:ascii="Times New Roman" w:cs="Times New Roman" w:eastAsia="Times New Roman" w:hAnsi="Times New Roman"/>
          <w:sz w:val="18"/>
          <w:szCs w:val="18"/>
          <w:color w:val="auto"/>
        </w:rPr>
        <w:t>” beginning on page 176 of this information statement/prospectus, (i) the Obsidian merger taken together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Galera merger will qualify as a transaction described in Section 351 of the Code, (ii) the Galera merger, by itself, will qualify as a transaction described in Section 368(a), (iii) the Obsidian merger, by itself, will qualify as a transaction described in Section 368(a) of the Code, and (iv) U.S. holders of Galera common stock and Obsidian common stock will not recognize gain or loss upon the exchange of their Galera common stock or Obsidian membership interests for Parent common stock in the Galera merger or Obsidian merger except for the receipt of CVRs. The issuance of the CVRs to Galera U.S. holders is expected to be treated as additional consideration paid with respect to such Galera common stock in connection with the Galera merger. As a result, Galera U.S. holders are expected to recognize gain (but not loss) with respect to their shares of Galera common stock held, in an amount equal to the lesser of (i) any gain realized with respect to such shares and (ii) the fair market value of the CVRs.</w:t>
      </w:r>
    </w:p>
    <w:p>
      <w:pPr>
        <w:spacing w:after="0" w:line="3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33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643318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more information, please see the section entitled “</w:t>
      </w:r>
      <w:r>
        <w:rPr>
          <w:rFonts w:ascii="Times New Roman" w:cs="Times New Roman" w:eastAsia="Times New Roman" w:hAnsi="Times New Roman"/>
          <w:sz w:val="18"/>
          <w:szCs w:val="18"/>
          <w:i w:val="1"/>
          <w:iCs w:val="1"/>
          <w:color w:val="auto"/>
        </w:rPr>
        <w:t>Material U.S. Federal Income Tax Consequences of 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Material U.S.</w:t>
      </w:r>
    </w:p>
    <w:p>
      <w:pPr>
        <w:spacing w:after="0" w:line="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Federal Income Tax Consequences of the Receipt of CVRs</w:t>
      </w:r>
      <w:r>
        <w:rPr>
          <w:rFonts w:ascii="Times New Roman" w:cs="Times New Roman" w:eastAsia="Times New Roman" w:hAnsi="Times New Roman"/>
          <w:sz w:val="17"/>
          <w:szCs w:val="17"/>
          <w:color w:val="auto"/>
        </w:rPr>
        <w:t>” beginning on pages 178 and 180 of this information statement/prospectus, respectively.</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You should carefully consider all of the information contained in this information statement/prospectus, including the risk factors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24 of this information statement/prospectus and the risk factors described in Galera’s Annual Report on Form 10-K for the year ended December 31, 2025 and other reports that Galera files with the SEC. Please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356 of this information statement/prospectus.</w:t>
      </w:r>
    </w:p>
    <w:p>
      <w:pPr>
        <w:spacing w:after="0" w:line="180" w:lineRule="exact"/>
        <w:rPr>
          <w:sz w:val="20"/>
          <w:szCs w:val="20"/>
          <w:color w:val="auto"/>
        </w:rPr>
      </w:pPr>
    </w:p>
    <w:p>
      <w:pPr>
        <w:ind w:left="300" w:right="60" w:firstLine="426"/>
        <w:spacing w:after="0" w:line="282" w:lineRule="auto"/>
        <w:rPr>
          <w:sz w:val="20"/>
          <w:szCs w:val="20"/>
          <w:color w:val="auto"/>
        </w:rPr>
      </w:pPr>
      <w:r>
        <w:rPr>
          <w:rFonts w:ascii="Times New Roman" w:cs="Times New Roman" w:eastAsia="Times New Roman" w:hAnsi="Times New Roman"/>
          <w:sz w:val="18"/>
          <w:szCs w:val="18"/>
          <w:color w:val="auto"/>
        </w:rPr>
        <w:t>The following is only a summary of the principal risks that are applicable to the mergers, Parent following the closing of the mergers, Galera and Obsidian, respectively.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Mergers</w:t>
      </w:r>
    </w:p>
    <w:p>
      <w:pPr>
        <w:spacing w:after="0" w:line="135" w:lineRule="exact"/>
        <w:rPr>
          <w:sz w:val="20"/>
          <w:szCs w:val="20"/>
          <w:color w:val="auto"/>
        </w:rPr>
      </w:pPr>
    </w:p>
    <w:p>
      <w:pPr>
        <w:ind w:left="1240" w:right="20" w:hanging="415"/>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Galera exchange ratio will not be adjusted based on the market price of Galera common stock, so the Galera merger consideration received at closing may have a greater or lesser value than at the time the merger agreement was signed.</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mergers is subject to certain conditions, some of which are outside of the parties’ control, and if these conditions are not satisfied or waived, the mergers will not be completed.</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Galera and Obsidian complete the mergers, the combined company will need to raise additional capital by issuing equity securities or additional debt or through licensing arrangements, which may cause significant dilution to the combined company’s stockholders or restrict the combined company’s operations.</w:t>
      </w:r>
    </w:p>
    <w:p>
      <w:pPr>
        <w:spacing w:after="0" w:line="81" w:lineRule="exact"/>
        <w:rPr>
          <w:rFonts w:ascii="Times New Roman" w:cs="Times New Roman" w:eastAsia="Times New Roman" w:hAnsi="Times New Roman"/>
          <w:sz w:val="18"/>
          <w:szCs w:val="18"/>
          <w:color w:val="auto"/>
        </w:rPr>
      </w:pPr>
    </w:p>
    <w:p>
      <w:pPr>
        <w:ind w:left="1240" w:right="80" w:hanging="415"/>
        <w:spacing w:after="0" w:line="266"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mergers are not completed, the Galera Board may decide to pursue a liquidation and dissolution of Galera. In such an event and in light of Galera’s current capital resource constraints, it is unlikely that substantial resources would be available for distributions to Galera’s stockholders.</w:t>
      </w:r>
    </w:p>
    <w:p>
      <w:pPr>
        <w:spacing w:after="0" w:line="81"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merger agreement may discourage third parties from submitting competing proposals, including proposals that may be superior to the transactions.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stockholders may not receive any payment on the CVRs, and the CVRs may expire valueless.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could file lawsuits relating to the mergers.</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the Combined Company</w:t>
      </w:r>
    </w:p>
    <w:p>
      <w:pPr>
        <w:spacing w:after="0" w:line="135" w:lineRule="exact"/>
        <w:rPr>
          <w:sz w:val="20"/>
          <w:szCs w:val="20"/>
          <w:color w:val="auto"/>
        </w:rPr>
      </w:pPr>
    </w:p>
    <w:p>
      <w:pPr>
        <w:ind w:left="1240" w:right="280" w:hanging="415"/>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Parent common stock is expected to be volatile, and the market price of the Parent common stock may decline following the mergers.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may incur losses for the foreseeable future and might never achieve profitability.</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will incur additional costs and increased demands upon management as a result of complying with the laws and regulations affecting public companies.</w:t>
      </w:r>
    </w:p>
    <w:p>
      <w:pPr>
        <w:spacing w:after="0" w:line="67" w:lineRule="exact"/>
        <w:rPr>
          <w:rFonts w:ascii="Times New Roman" w:cs="Times New Roman" w:eastAsia="Times New Roman" w:hAnsi="Times New Roman"/>
          <w:sz w:val="18"/>
          <w:szCs w:val="18"/>
          <w:color w:val="auto"/>
        </w:rPr>
      </w:pPr>
    </w:p>
    <w:p>
      <w:pPr>
        <w:ind w:left="1240" w:right="20" w:hanging="415"/>
        <w:spacing w:after="0" w:line="289" w:lineRule="auto"/>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pro forma condensed combined financial information for Galera and Obsidian included in this information statement/prospectus is preliminary, and the combined company’s actual financial position and operations after the mergers may differ materially from the unaudited pro forma condensed combined financial information included in this information statement/prospectus.</w:t>
      </w:r>
    </w:p>
    <w:p>
      <w:pPr>
        <w:spacing w:after="0" w:line="2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320" w:top="455" w:right="6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620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962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and Obsidian do not anticipate that the combined company will pay any cash dividends in the foreseeable future.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by existing stockholders could cause the Parent common stock price to decline.</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Galera</w:t>
      </w:r>
    </w:p>
    <w:p>
      <w:pPr>
        <w:spacing w:after="0" w:line="135" w:lineRule="exact"/>
        <w:rPr>
          <w:sz w:val="20"/>
          <w:szCs w:val="20"/>
          <w:color w:val="auto"/>
        </w:rPr>
      </w:pPr>
    </w:p>
    <w:p>
      <w:pPr>
        <w:ind w:left="1240" w:right="420" w:hanging="415"/>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has incurred significant losses since its inception and it expects to require substantial additional capital for the foreseeable future.</w:t>
      </w:r>
    </w:p>
    <w:p>
      <w:pPr>
        <w:spacing w:after="0" w:line="67" w:lineRule="exact"/>
        <w:rPr>
          <w:rFonts w:ascii="Times New Roman" w:cs="Times New Roman" w:eastAsia="Times New Roman" w:hAnsi="Times New Roman"/>
          <w:sz w:val="18"/>
          <w:szCs w:val="18"/>
          <w:color w:val="auto"/>
        </w:rPr>
      </w:pPr>
    </w:p>
    <w:p>
      <w:pPr>
        <w:ind w:left="1240" w:right="440" w:hanging="415"/>
        <w:spacing w:after="0" w:line="266"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is heavily dependent on the success of its product candidate, tilarginine, which has not received regulatory approval. If development of Galera’s product candidate is unsuccessful, Galera may be unable to obtain required regulatory approvals and be unable to commercialize its product candidate on a timely basis, if at all.</w:t>
      </w:r>
    </w:p>
    <w:p>
      <w:pPr>
        <w:spacing w:after="0" w:line="81"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relies, and will continue to rely, on third parties to conduct clinical trials for its product candidate, and those third parties may not perform satisfactorily, including failing to meet deadlines for the completion of such trials.</w:t>
      </w:r>
    </w:p>
    <w:p>
      <w:pPr>
        <w:spacing w:after="0" w:line="67" w:lineRule="exact"/>
        <w:rPr>
          <w:rFonts w:ascii="Times New Roman" w:cs="Times New Roman" w:eastAsia="Times New Roman" w:hAnsi="Times New Roman"/>
          <w:sz w:val="18"/>
          <w:szCs w:val="18"/>
          <w:color w:val="auto"/>
        </w:rPr>
      </w:pPr>
    </w:p>
    <w:p>
      <w:pPr>
        <w:ind w:left="1240" w:right="140" w:hanging="415"/>
        <w:spacing w:after="0" w:line="312" w:lineRule="auto"/>
        <w:tabs>
          <w:tab w:leader="none" w:pos="12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biopharmaceutical industries are subject to extensive regulatory obligations and policies that may be subject to significant and abrupt change, including due to judicial challenges, election cycles, and resulting regulatory updates and changes in policy priorities.</w:t>
      </w:r>
    </w:p>
    <w:p>
      <w:pPr>
        <w:spacing w:after="0" w:line="45" w:lineRule="exact"/>
        <w:rPr>
          <w:rFonts w:ascii="Times New Roman" w:cs="Times New Roman" w:eastAsia="Times New Roman" w:hAnsi="Times New Roman"/>
          <w:sz w:val="17"/>
          <w:szCs w:val="17"/>
          <w:color w:val="auto"/>
        </w:rPr>
      </w:pPr>
    </w:p>
    <w:p>
      <w:pPr>
        <w:ind w:left="1240" w:right="20" w:hanging="415"/>
        <w:spacing w:after="0" w:line="282"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is highly dependent on its key personnel, and if Galera is not successful in attracting and retaining highly qualified personnel, it may not be able to successfully implement its business strategy.</w:t>
      </w:r>
    </w:p>
    <w:p>
      <w:pPr>
        <w:spacing w:after="0" w:line="67" w:lineRule="exact"/>
        <w:rPr>
          <w:rFonts w:ascii="Times New Roman" w:cs="Times New Roman" w:eastAsia="Times New Roman" w:hAnsi="Times New Roman"/>
          <w:sz w:val="18"/>
          <w:szCs w:val="18"/>
          <w:color w:val="auto"/>
        </w:rPr>
      </w:pPr>
    </w:p>
    <w:p>
      <w:pPr>
        <w:ind w:left="1240" w:right="280" w:hanging="415"/>
        <w:spacing w:after="0" w:line="261"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Galera are unable to adequately protect its proprietary technology and product candidate, if the scope of the patent protection obtained is not sufficiently broad, or if the terms of Galera’s patents are insufficient to protect its product candidate for an adequate amount of time, its competitors could develop and commercialize technology and products similar or identical to Galera’s, and Galera’s ability to successfully commercialize its product candidate may be materially impaired.</w:t>
      </w:r>
    </w:p>
    <w:p>
      <w:pPr>
        <w:spacing w:after="0" w:line="85" w:lineRule="exact"/>
        <w:rPr>
          <w:rFonts w:ascii="Times New Roman" w:cs="Times New Roman" w:eastAsia="Times New Roman" w:hAnsi="Times New Roman"/>
          <w:sz w:val="18"/>
          <w:szCs w:val="18"/>
          <w:color w:val="auto"/>
        </w:rPr>
      </w:pPr>
    </w:p>
    <w:p>
      <w:pPr>
        <w:ind w:left="1240" w:right="540" w:hanging="415"/>
        <w:spacing w:after="0" w:line="266"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commercialization of Galera’s product candidate will depend in part on the extent to which third-party payors, including governmental authorities and private health insurers, provide coverage and adequate reimbursement levels, as well as implement pricing policies favorable for Galera’s product candidate.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Obsidian</w:t>
      </w:r>
    </w:p>
    <w:p>
      <w:pPr>
        <w:spacing w:after="0" w:line="135" w:lineRule="exact"/>
        <w:rPr>
          <w:sz w:val="20"/>
          <w:szCs w:val="20"/>
          <w:color w:val="auto"/>
        </w:rPr>
      </w:pPr>
    </w:p>
    <w:p>
      <w:pPr>
        <w:ind w:left="1240" w:hanging="415"/>
        <w:spacing w:after="0" w:line="312" w:lineRule="auto"/>
        <w:tabs>
          <w:tab w:leader="none" w:pos="124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Obsidian is a clinical-stage biopharmaceutical company and has incurred significant financial losses since inception and anticipate that it will continue to incur significant financial losses for the foreseeable future. Obsidian may never achieve or maintain profitability.</w:t>
      </w:r>
    </w:p>
    <w:p>
      <w:pPr>
        <w:spacing w:after="0" w:line="45" w:lineRule="exact"/>
        <w:rPr>
          <w:rFonts w:ascii="Times New Roman" w:cs="Times New Roman" w:eastAsia="Times New Roman" w:hAnsi="Times New Roman"/>
          <w:sz w:val="17"/>
          <w:szCs w:val="17"/>
          <w:color w:val="auto"/>
        </w:rPr>
      </w:pPr>
    </w:p>
    <w:p>
      <w:pPr>
        <w:ind w:left="1240" w:right="40" w:hanging="415"/>
        <w:spacing w:after="0" w:line="266"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mergers and concurrent financing are successful, Obsidian will require additional funding in order to finance operations. If Obsidian is unable to raise capital when needed, or on acceptable terms, Obsidian could be forced to delay, reduce, or eliminate its product development programs or commercialization efforts.</w:t>
      </w:r>
    </w:p>
    <w:p>
      <w:pPr>
        <w:spacing w:after="0" w:line="81"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Raising additional capital may cause dilution to Obsidian stockholders, restrict operations, or require Obsidian to relinquish rights to its product candidate.</w:t>
      </w:r>
    </w:p>
    <w:p>
      <w:pPr>
        <w:spacing w:after="0" w:line="67" w:lineRule="exact"/>
        <w:rPr>
          <w:rFonts w:ascii="Times New Roman" w:cs="Times New Roman" w:eastAsia="Times New Roman" w:hAnsi="Times New Roman"/>
          <w:sz w:val="18"/>
          <w:szCs w:val="18"/>
          <w:color w:val="auto"/>
        </w:rPr>
      </w:pPr>
    </w:p>
    <w:p>
      <w:pPr>
        <w:ind w:left="1240" w:right="420" w:hanging="415"/>
        <w:spacing w:after="0" w:line="266"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Obsidian’s business is highly dependent on the success of its product candidate, OBX-115. If Obsidian is unable to successfully complete clinical development, obtain regulatory approval for or commercialize its product candidate, or if Obsidian experiences delays in doing so, Obsidian’s business will be materially harmed.</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84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120" w:hanging="415"/>
        <w:spacing w:after="0" w:line="258"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relies, and expect to continue to rely, on third parties, including independent clinical investigators, CROs and contract development manufacturing organizations (“CDMOs”) to conduct certain aspects of Obsidian’s preclinical studies and clinical trials. If these third parties do not successfully carry out their contractual duties, comply with applicable regulatory requirements or meet expected deadlines, Obsidian may not be able to obtain regulatory approval for or commercialize its current and future product candidates and Obsidian’s business could be substantially harmed.</w:t>
      </w:r>
    </w:p>
    <w:p>
      <w:pPr>
        <w:spacing w:after="0" w:line="88" w:lineRule="exact"/>
        <w:rPr>
          <w:rFonts w:ascii="Times New Roman" w:cs="Times New Roman" w:eastAsia="Times New Roman" w:hAnsi="Times New Roman"/>
          <w:sz w:val="18"/>
          <w:szCs w:val="18"/>
          <w:color w:val="auto"/>
        </w:rPr>
      </w:pPr>
    </w:p>
    <w:p>
      <w:pPr>
        <w:ind w:left="1240" w:hanging="415"/>
        <w:spacing w:after="0" w:line="261"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Obsidian is unable to obtain and maintain patent protection for any products it develops and for its technology, or if the scope of the patent protection obtained is not sufficiently broad, Obsidian’s competitors could develop and commercialize products and technology similar or identical to Obsidian’s, and Obsidian’s ability to successfully commercialize any product candidates it may develop and its technology may be adversely affected.</w:t>
      </w:r>
    </w:p>
    <w:p>
      <w:pPr>
        <w:spacing w:after="0" w:line="85"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is highly dependent on its key personnel, and if Obsidian is not successful in attracting and retaining highly qualified personnel, it may not be able to successfully implement its business strategy</w:t>
      </w:r>
    </w:p>
    <w:p>
      <w:pPr>
        <w:spacing w:after="0" w:line="3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Directors and Executive Officers in the Mergers that Differ from Your Interests</w:t>
      </w:r>
    </w:p>
    <w:p>
      <w:pPr>
        <w:spacing w:after="0" w:line="121" w:lineRule="exact"/>
        <w:rPr>
          <w:sz w:val="20"/>
          <w:szCs w:val="20"/>
          <w:color w:val="auto"/>
        </w:rPr>
      </w:pPr>
    </w:p>
    <w:p>
      <w:pPr>
        <w:ind w:left="300" w:right="20" w:firstLine="426"/>
        <w:spacing w:after="0" w:line="253" w:lineRule="auto"/>
        <w:rPr>
          <w:sz w:val="20"/>
          <w:szCs w:val="20"/>
          <w:color w:val="auto"/>
        </w:rPr>
      </w:pPr>
      <w:r>
        <w:rPr>
          <w:rFonts w:ascii="Times New Roman" w:cs="Times New Roman" w:eastAsia="Times New Roman" w:hAnsi="Times New Roman"/>
          <w:sz w:val="18"/>
          <w:szCs w:val="18"/>
          <w:color w:val="auto"/>
        </w:rPr>
        <w:t xml:space="preserve">Some of the directors and executive officers of Galera and Obsidian have interests in the mergers that differ from, or are in addition to, their interests as Galera or Obsidian stockholders. These interests exist because of, among other things, employment or severance agreements that the executive officers entered into with Galera, Obsidian or Parent, rights that these executive officers and directors have under benefit plans including equity plans and deferred compensation plans, agreements or arrangements with Parent to continue or serve as employees, consultants and/or directors following the mergers, and rights to indemnification and directors and officers insurance following the mergers. The employment and severance agreements provide certain executive officers with severance benefits if their employment is terminated in connection with the mergers. The aggregate compensation that certain Galera and Obsidian directors and named executive officers or their affiliates may receive as a result of the mergers is described in greater detail in the section entitled </w:t>
      </w:r>
      <w:r>
        <w:rPr>
          <w:rFonts w:ascii="Times New Roman" w:cs="Times New Roman" w:eastAsia="Times New Roman" w:hAnsi="Times New Roman"/>
          <w:sz w:val="18"/>
          <w:szCs w:val="18"/>
          <w:i w:val="1"/>
          <w:iCs w:val="1"/>
          <w:color w:val="auto"/>
        </w:rPr>
        <w:t>“The Mergers—Interests of Obsidian’s Directors and Executive Officers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Obsidian Merger” and “—Interests of Galera Directors and Executive Officers in the Galera Merger” </w:t>
      </w:r>
      <w:r>
        <w:rPr>
          <w:rFonts w:ascii="Times New Roman" w:cs="Times New Roman" w:eastAsia="Times New Roman" w:hAnsi="Times New Roman"/>
          <w:sz w:val="18"/>
          <w:szCs w:val="18"/>
          <w:color w:val="auto"/>
        </w:rPr>
        <w:t>beginning on pages 126 and 144,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of this information statement/prospectus.</w:t>
      </w:r>
    </w:p>
    <w:p>
      <w:pPr>
        <w:spacing w:after="0" w:line="194" w:lineRule="exact"/>
        <w:rPr>
          <w:sz w:val="20"/>
          <w:szCs w:val="20"/>
          <w:color w:val="auto"/>
        </w:rPr>
      </w:pPr>
    </w:p>
    <w:p>
      <w:pPr>
        <w:ind w:left="300" w:firstLine="426"/>
        <w:spacing w:after="0" w:line="274" w:lineRule="auto"/>
        <w:rPr>
          <w:sz w:val="20"/>
          <w:szCs w:val="20"/>
          <w:color w:val="auto"/>
        </w:rPr>
      </w:pPr>
      <w:r>
        <w:rPr>
          <w:rFonts w:ascii="Times New Roman" w:cs="Times New Roman" w:eastAsia="Times New Roman" w:hAnsi="Times New Roman"/>
          <w:sz w:val="17"/>
          <w:szCs w:val="17"/>
          <w:color w:val="auto"/>
        </w:rPr>
        <w:t xml:space="preserve">Further, as of May 19, 2026, Galera directors and executive officers owned, in the aggregate, 18,018,518 shares of Galera common stock and 10,528,672 shares of Galera common stock underlying Galera options, and Obsidian directors and executive officers owned, in the aggregate, 30,937 shares of Obsidian common stock and 23,183,848 shares of Obsidian common stock underlying Obsidian options, all of which will be converted and/or adjusted prior to the mergers. The treatment of these securities is set forth in the merger agreement and described in greater detail in the section entitled </w:t>
      </w:r>
      <w:r>
        <w:rPr>
          <w:rFonts w:ascii="Times New Roman" w:cs="Times New Roman" w:eastAsia="Times New Roman" w:hAnsi="Times New Roman"/>
          <w:sz w:val="17"/>
          <w:szCs w:val="17"/>
          <w:i w:val="1"/>
          <w:iCs w:val="1"/>
          <w:color w:val="auto"/>
        </w:rPr>
        <w:t>“The Mergers—Interests of Obsidian’s Directors and Executive Officers in the Obsidian Merger” and “—Interests of Galera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Directors and Executive Officers in the Galera Merger” </w:t>
      </w:r>
      <w:r>
        <w:rPr>
          <w:rFonts w:ascii="Times New Roman" w:cs="Times New Roman" w:eastAsia="Times New Roman" w:hAnsi="Times New Roman"/>
          <w:sz w:val="17"/>
          <w:szCs w:val="17"/>
          <w:color w:val="auto"/>
        </w:rPr>
        <w:t>beginning on pages 126 and 144, respectively, of this information statement/prospectus.</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of the Mergers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obligations of the parties to the merger agreement to complete the mergers depend on a number of conditions being satisfied or waived.</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These conditions include but are not limited to:</w:t>
      </w:r>
    </w:p>
    <w:p>
      <w:pPr>
        <w:spacing w:after="0" w:line="112" w:lineRule="exact"/>
        <w:rPr>
          <w:sz w:val="20"/>
          <w:szCs w:val="20"/>
          <w:color w:val="auto"/>
        </w:rPr>
      </w:pPr>
    </w:p>
    <w:p>
      <w:pPr>
        <w:ind w:left="1240" w:right="400" w:hanging="415"/>
        <w:spacing w:after="0" w:line="266" w:lineRule="auto"/>
        <w:tabs>
          <w:tab w:leader="none" w:pos="12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temporary restraining order, preliminary or permanent injunction or other order by any court of competent jurisdiction or other Governmental Authority of competent jurisdiction preventing the consummation of the transactions, and the absence of any law having the effect of making the consummation of the transactions illegal;</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320" w:top="455" w:right="6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217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Galera of the Required Galera Stockholder Approval and by Obsidian of the Required Obsidian Stockholder Approval;</w:t>
      </w:r>
    </w:p>
    <w:p>
      <w:pPr>
        <w:spacing w:after="0" w:line="130"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listing of the shares of Parent common stock on Nasdaq and the approval for listing (subject to final notice of issuance) on Nasdaq of the shares of Parent common stock to be issued in the mergers pursuant to the merger agreement;</w:t>
      </w:r>
    </w:p>
    <w:p>
      <w:pPr>
        <w:spacing w:after="0" w:line="67" w:lineRule="exact"/>
        <w:rPr>
          <w:rFonts w:ascii="Times New Roman" w:cs="Times New Roman" w:eastAsia="Times New Roman" w:hAnsi="Times New Roman"/>
          <w:sz w:val="18"/>
          <w:szCs w:val="18"/>
          <w:color w:val="auto"/>
        </w:rPr>
      </w:pPr>
    </w:p>
    <w:p>
      <w:pPr>
        <w:ind w:left="1240" w:right="20" w:hanging="415"/>
        <w:spacing w:after="0" w:line="281" w:lineRule="auto"/>
        <w:tabs>
          <w:tab w:leader="none" w:pos="12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full force and effect of the subscription agreement, without any termination, rescission or material adverse modification, the satisfaction or waiver of all conditions to the funding thereunder (other than those to be satisfied at closing), and the receipt by Galera of cash proceeds of not less than $350.0 million (less any interim permitted financings), or the receipt thereof substantially simultaneously with closing, in connection with the consummation of the transactions contemplated by the subscription agreement;</w:t>
      </w:r>
    </w:p>
    <w:p>
      <w:pPr>
        <w:spacing w:after="0" w:line="69" w:lineRule="exact"/>
        <w:rPr>
          <w:rFonts w:ascii="Times New Roman" w:cs="Times New Roman" w:eastAsia="Times New Roman" w:hAnsi="Times New Roman"/>
          <w:sz w:val="17"/>
          <w:szCs w:val="17"/>
          <w:color w:val="auto"/>
        </w:rPr>
      </w:pPr>
    </w:p>
    <w:p>
      <w:pPr>
        <w:jc w:val="both"/>
        <w:ind w:left="1240" w:right="120" w:hanging="415"/>
        <w:spacing w:after="0" w:line="266"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registration statement filed on Form S-4 of which this information statement/prospectus is a part, the absence of any stop order suspending the effectiveness thereof, and the absence of any proceedings initiated or threatened by the SEC for that purpose;</w:t>
      </w:r>
    </w:p>
    <w:p>
      <w:pPr>
        <w:spacing w:after="0" w:line="81"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fundamental representations and warranties of each of Galera and Obsidian as of the Galera merger effective time and Obsidian merger effective time, respectively, subject to the material adverse effect standard in the merger agreement;</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in all material respects of all obligations contained in the merger agreement required to be performed at or before the applicable effective time;</w:t>
      </w:r>
    </w:p>
    <w:p>
      <w:pPr>
        <w:spacing w:after="0" w:line="67"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Galera Material Adverse Effect (as defined below) or an Obsidian Material Adverse Effect (as defined below) since the date of the merger agreement;</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listing of the existing shares of Galera common stock on the OTCQB from the date of the merger agreement through the date of the closing; and</w:t>
      </w:r>
    </w:p>
    <w:p>
      <w:pPr>
        <w:spacing w:after="0" w:line="67" w:lineRule="exact"/>
        <w:rPr>
          <w:rFonts w:ascii="Times New Roman" w:cs="Times New Roman" w:eastAsia="Times New Roman" w:hAnsi="Times New Roman"/>
          <w:sz w:val="18"/>
          <w:szCs w:val="18"/>
          <w:color w:val="auto"/>
        </w:rPr>
      </w:pPr>
    </w:p>
    <w:p>
      <w:pPr>
        <w:ind w:left="1240" w:right="300" w:hanging="415"/>
        <w:spacing w:after="0" w:line="282" w:lineRule="auto"/>
        <w:tabs>
          <w:tab w:leader="none" w:pos="12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full force and effect of the Obsidian Lock-Up Agreement as of immediately following the Obsidian merger effective time.</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cannot be certain when, or if, the conditions to the mergers will be satisfied or waived, or that the mergers will be completed.</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Solicitation of Acquisition Proposals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merger agreement contains non-solicitation provisions prohibiting each of Galera and Obsidian from soliciting a competing transaction.</w:t>
      </w:r>
    </w:p>
    <w:p>
      <w:pPr>
        <w:spacing w:after="0" w:line="225"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Each of Galera and Obsidian have agreed that, during the pre-closing period, neither it nor any of its subsidiaries would, nor would it or any of its subsidiaries authorize any of its representatives to, directly or indirectly:</w:t>
      </w:r>
    </w:p>
    <w:p>
      <w:pPr>
        <w:spacing w:after="0" w:line="67" w:lineRule="exact"/>
        <w:rPr>
          <w:sz w:val="20"/>
          <w:szCs w:val="20"/>
          <w:color w:val="auto"/>
        </w:rPr>
      </w:pPr>
    </w:p>
    <w:p>
      <w:pPr>
        <w:ind w:left="1240" w:right="60" w:hanging="415"/>
        <w:spacing w:after="0" w:line="266"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assist, initiate, engage, or knowingly encourage, induce or facilitate the communication, making, submission or announcement of any Acquisition Proposal or Acquisition Inquiry or take any action that could reasonably be expected to lead to an Acquisition Proposal or Acquisition Inquiry;</w:t>
      </w:r>
    </w:p>
    <w:p>
      <w:pPr>
        <w:spacing w:after="0" w:line="81"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such party to any person or group (other than a party to the merger agreement or its representatives) in connection with or in response to an Acquisition Proposal or Acquisition Inquiry;</w:t>
      </w:r>
    </w:p>
    <w:p>
      <w:pPr>
        <w:spacing w:after="0" w:line="67"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encourage or participate in discussions or negotiations with any person or group with respect to any Acquisition Proposal or Acquisition Inquiry;</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320" w:top="455" w:right="6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56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or recommend any Acquisition Proposal (subject to Section 7.2 and Section 7.3 of the merger agreement);</w:t>
      </w:r>
    </w:p>
    <w:p>
      <w:pPr>
        <w:spacing w:after="0" w:line="130"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execute or enter into any letter of intent, agreement in principle, acquisition agreement or any other contract contemplating or otherwise relating to any Acquisition Transaction;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could reasonably be expected to lead to an Acquisition Proposal or Acquisition Inquiry;</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person from, or waive any provision of, any confidentiality agreement to which such party is a party, the release or waiver of which could reasonably be expected to lead to an Acquisition Proposal or Acquisition Inquiry; or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propose to do any of the following.</w:t>
      </w:r>
    </w:p>
    <w:p>
      <w:pPr>
        <w:spacing w:after="0" w:line="225" w:lineRule="exact"/>
        <w:rPr>
          <w:sz w:val="20"/>
          <w:szCs w:val="20"/>
          <w:color w:val="auto"/>
        </w:rPr>
      </w:pPr>
    </w:p>
    <w:p>
      <w:pPr>
        <w:ind w:left="300" w:right="20" w:firstLine="426"/>
        <w:spacing w:after="0" w:line="268" w:lineRule="auto"/>
        <w:rPr>
          <w:sz w:val="20"/>
          <w:szCs w:val="20"/>
          <w:color w:val="auto"/>
        </w:rPr>
      </w:pPr>
      <w:r>
        <w:rPr>
          <w:rFonts w:ascii="Times New Roman" w:cs="Times New Roman" w:eastAsia="Times New Roman" w:hAnsi="Times New Roman"/>
          <w:sz w:val="17"/>
          <w:szCs w:val="17"/>
          <w:color w:val="auto"/>
        </w:rPr>
        <w:t>Notwithstanding the foregoing and subject to compliance thereto, prior to obtaining the Required Galera Stockholder Approval, Galera may furnish nonpublic information regarding Galera and its subsidiaries to, and enter into discussions or negotiations with, any person in response to a bona fide, unsolicited, written Acquisition Proposal by such person which the Galera Board determines in good faith, after consultation with its financial advisors and outside legal counsel, constitutes, or is reasonably likely to result in, a Superior Offer (and is not withdrawn) if: (a) neither Galera nor any representative of Galera has breached the non-solicitation provisions of the merger agreement in any material respect, (b) the Galera Board concludes in good faith, after consulting with outside counsel, that the failure to take such action would reasonably be expected to constitute a violation of the Galera Board’s fiduciary duties under applicable law, (c) at least one business day prior to initially furnishing any such nonpublic information to, or enter into discussions with, such person, Galera receives from such person an executed acceptable confidentiality agreement and</w:t>
      </w:r>
    </w:p>
    <w:p>
      <w:pPr>
        <w:ind w:left="300" w:hanging="2"/>
        <w:spacing w:after="0" w:line="271" w:lineRule="auto"/>
        <w:tabs>
          <w:tab w:leader="none" w:pos="55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business day prior to furnishing any such nonpublic information to such person, Galera furnishes such nonpublic information to Obsidian (to the extent such information has not been previously furnished by Galera to Obsidian). Without limiting the generality of the foregoing, subject to the terms of the merger agreement, each party acknowledged and agreed that, in the event any representative of such party takes any action that, if taken by such party, would constitute a breach of the non-solicitation provisions of the merger agreement by such party, the taking of such action by such Representative will be deemed to constitute a breach of such provisions by such party for purposes of the merger agreement.</w:t>
      </w:r>
    </w:p>
    <w:p>
      <w:pPr>
        <w:spacing w:after="0" w:line="174"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Notwithstanding the foregoing and subject to the terms of the merger agreement, prior to obtaining the Required Obsidian Stockholder Approval, Obsidian may furnish nonpublic information regarding Obsidian and its subsidiaries to, and enter into discussions or negotiations with, any person in response to a bona fide, unsolicited, written Acquisition Proposal by such person which the Obsidian Board determines in good faith, after consultation with its financial advisors and outside legal counsel, constitutes, or is reasonably likely to result in, a Superior Offer (and is not withdrawn) if: (a) neither Obsidian nor any representative of Obsidian has breached the non-solicitation provisions of the merger agreement in any material respect, (b) the Obsidian Board concludes in good faith, after consulting with outside counsel, that the failure to take such action would reasonably be expected to constitute a violation of the Obsidian Board’s fiduciary duties under applicable law, (c) at least one business day prior to initially furnishing any such nonpublic information to, or enter into discussions with, such person, Obsidian receives from such person an executed acceptable confidentiality agreement and (d) at least one business day prior to furnishing any such nonpublic information to such person, Obsidian furnishes such nonpublic information to Galera (to the extent such information has not been previously furnished by Obsidian to Galera).</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Either Galera or Obsidian may terminate the Merger Agreement under certain circumstances, which would prevent the mergers from being consummated. For a more detailed discussion of the termination provisions in the merger agreement, see “</w:t>
      </w:r>
      <w:r>
        <w:rPr>
          <w:rFonts w:ascii="Times New Roman" w:cs="Times New Roman" w:eastAsia="Times New Roman" w:hAnsi="Times New Roman"/>
          <w:sz w:val="18"/>
          <w:szCs w:val="18"/>
          <w:i w:val="1"/>
          <w:iCs w:val="1"/>
          <w:color w:val="auto"/>
        </w:rPr>
        <w:t>The Merger Agreement—Termination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Termination Fees</w:t>
      </w:r>
      <w:r>
        <w:rPr>
          <w:rFonts w:ascii="Times New Roman" w:cs="Times New Roman" w:eastAsia="Times New Roman" w:hAnsi="Times New Roman"/>
          <w:sz w:val="18"/>
          <w:szCs w:val="18"/>
          <w:color w:val="auto"/>
        </w:rPr>
        <w:t>” beginning on page 163 of this information statement/prospectus.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905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 and Termination Fees</w:t>
      </w:r>
    </w:p>
    <w:p>
      <w:pPr>
        <w:spacing w:after="0" w:line="121"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Generally, each party is required to pay all fees and expenses incurred by it in connection with the mergers and the other transactions and agreements contemplated by the merger agreement. However, upon a termination of the merger agreement, a party will become obligated to pay to the other party a termination fee in certain circumstances.</w:t>
      </w:r>
    </w:p>
    <w:p>
      <w:pPr>
        <w:spacing w:after="0" w:line="17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merger agreement provides that, upon termination of the merger agreement under specified circumstances, a termination fee of</w:t>
      </w:r>
    </w:p>
    <w:p>
      <w:pPr>
        <w:spacing w:after="0" w:line="27" w:lineRule="exact"/>
        <w:rPr>
          <w:sz w:val="20"/>
          <w:szCs w:val="20"/>
          <w:color w:val="auto"/>
        </w:rPr>
      </w:pPr>
    </w:p>
    <w:p>
      <w:pPr>
        <w:ind w:left="300" w:right="80"/>
        <w:spacing w:after="0" w:line="250" w:lineRule="auto"/>
        <w:rPr>
          <w:sz w:val="20"/>
          <w:szCs w:val="20"/>
          <w:color w:val="auto"/>
        </w:rPr>
      </w:pPr>
      <w:r>
        <w:rPr>
          <w:rFonts w:ascii="Times New Roman" w:cs="Times New Roman" w:eastAsia="Times New Roman" w:hAnsi="Times New Roman"/>
          <w:sz w:val="18"/>
          <w:szCs w:val="18"/>
          <w:color w:val="auto"/>
        </w:rPr>
        <w:t>$1.25 million may become payable by Obsidian to Galera if the merger agreement is terminated by (a) Galera (i) as a result of a material breach of the merger agreement by Obsidian that has not been cured, (ii) if the Required Obsidian Stockholder Approval is not delivered to Galera within</w:t>
      </w:r>
    </w:p>
    <w:p>
      <w:pPr>
        <w:spacing w:after="0" w:line="1" w:lineRule="exact"/>
        <w:rPr>
          <w:sz w:val="20"/>
          <w:szCs w:val="20"/>
          <w:color w:val="auto"/>
        </w:rPr>
      </w:pPr>
    </w:p>
    <w:p>
      <w:pPr>
        <w:ind w:left="300" w:right="100"/>
        <w:spacing w:after="0" w:line="252" w:lineRule="auto"/>
        <w:rPr>
          <w:sz w:val="20"/>
          <w:szCs w:val="20"/>
          <w:color w:val="auto"/>
        </w:rPr>
      </w:pPr>
      <w:r>
        <w:rPr>
          <w:rFonts w:ascii="Times New Roman" w:cs="Times New Roman" w:eastAsia="Times New Roman" w:hAnsi="Times New Roman"/>
          <w:sz w:val="18"/>
          <w:szCs w:val="18"/>
          <w:color w:val="auto"/>
        </w:rPr>
        <w:t>15 days of the registration statement of which this information statement/prospectus forms a part becoming effective or (iii) the Obsidian Board or a committee thereof makes an Obsidian Board Adverse Recommendation Change or (b) by Obsidian concurrently with Obsidian’s entry into any Permitted Alternative Agreement (as defined below), subject to certain requirements set forth in the merger agreement. A termination fee of $0.75 million may become payable by Galera to Obsidian if the merger agreement is terminated (i) by Obsidian upon a material breach of the merger agreement by Galera or (ii) by Galera concurrently with Galera’s entry into any Permitted Alternative Agreement, subject to certain requirements set forth in the merger agreement.</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Parent common stock</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Shares of Parent common stock are not currently traded or quoted on a stock exchange or quotation system. It is a condition to the completion of the mergers that the shares of Parent common stock to be issued to Galera and Obsidian stockholders be approved for listing on Nasdaq, subject to official notice of issuance. There can be no assurance such listing condition will be met or that Parent will obtain such approval from Nasdaq. If such listing condition is not met or if such approval is not obtained, the mergers will not be consummated unless the condition is waived. The shares of Parent common stock to be issued in the mergers are expected to be listed on Nasdaq following the closing of the mergers. Until the Galera merger effective time, the Parent common stock will continue not to be traded or quoted on a stock exchange or quotation system.</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and Board of Directors of Parent After the Transaction</w:t>
      </w:r>
    </w:p>
    <w:p>
      <w:pPr>
        <w:spacing w:after="0" w:line="121" w:lineRule="exact"/>
        <w:rPr>
          <w:sz w:val="20"/>
          <w:szCs w:val="20"/>
          <w:color w:val="auto"/>
        </w:rPr>
      </w:pPr>
    </w:p>
    <w:p>
      <w:pPr>
        <w:ind w:left="300" w:right="240" w:firstLine="426"/>
        <w:spacing w:after="0" w:line="282" w:lineRule="auto"/>
        <w:rPr>
          <w:sz w:val="20"/>
          <w:szCs w:val="20"/>
          <w:color w:val="auto"/>
        </w:rPr>
      </w:pPr>
      <w:r>
        <w:rPr>
          <w:rFonts w:ascii="Times New Roman" w:cs="Times New Roman" w:eastAsia="Times New Roman" w:hAnsi="Times New Roman"/>
          <w:sz w:val="18"/>
          <w:szCs w:val="18"/>
          <w:color w:val="auto"/>
        </w:rPr>
        <w:t>Immediately after consummation of the mergers, the Parent Board will consist of six directors: Madan Jagasia, Maria Fardis, Peter Barrett, Heidi Hagen, Matt Norkunas and Robert Ross.</w:t>
      </w:r>
    </w:p>
    <w:p>
      <w:pPr>
        <w:spacing w:after="0" w:line="162"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Furthermore, immediately after consummation of the mergers, Madan Jagasia, Chief Executive Officer of Obsidian, will be Chief Executive Officer of Parent, Julie Feder, Chief Financial Officer of Obsidian, will be Chief Financial Officer of Parent, Dana Alexander, Chief Technical Officer of Obsidian, will be Chief Technical Officer of Parent, Parameswaran Hari, Chief Medical Officer of Obsidian, will be Chief Medical Officer of Parent, and Jennifer Peterson, Chief People Officer of Obsidian, will be Chief People Officer of Parent.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300" w:right="360" w:firstLine="426"/>
        <w:spacing w:after="0" w:line="261" w:lineRule="auto"/>
        <w:rPr>
          <w:sz w:val="20"/>
          <w:szCs w:val="20"/>
          <w:color w:val="auto"/>
        </w:rPr>
      </w:pPr>
      <w:r>
        <w:rPr>
          <w:rFonts w:ascii="Times New Roman" w:cs="Times New Roman" w:eastAsia="Times New Roman" w:hAnsi="Times New Roman"/>
          <w:sz w:val="18"/>
          <w:szCs w:val="18"/>
          <w:color w:val="auto"/>
        </w:rPr>
        <w:t>Galera stockholders are entitled to appraisal rights in connection with the Galera merger under Section 262, the full text of which may be accessed without subscription or cost at the following publicly available website: https://delcode.delaware.gov/title8/c001/sc09/#262 and is expressly incorporated herein by reference, as described in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beginning on page 182 of this information statement/prospectus.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320" w:top="455"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9899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9899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Comparison of Stockholders’ Rights</w:t>
      </w:r>
    </w:p>
    <w:p>
      <w:pPr>
        <w:spacing w:after="0" w:line="121" w:lineRule="exact"/>
        <w:rPr>
          <w:sz w:val="20"/>
          <w:szCs w:val="20"/>
          <w:color w:val="auto"/>
        </w:rPr>
      </w:pPr>
    </w:p>
    <w:p>
      <w:pPr>
        <w:ind w:left="300" w:firstLine="426"/>
        <w:spacing w:after="0" w:line="281" w:lineRule="auto"/>
        <w:rPr>
          <w:sz w:val="20"/>
          <w:szCs w:val="20"/>
          <w:color w:val="auto"/>
        </w:rPr>
      </w:pPr>
      <w:r>
        <w:rPr>
          <w:rFonts w:ascii="Times New Roman" w:cs="Times New Roman" w:eastAsia="Times New Roman" w:hAnsi="Times New Roman"/>
          <w:sz w:val="17"/>
          <w:szCs w:val="17"/>
          <w:color w:val="auto"/>
        </w:rPr>
        <w:t>Upon completion of the mergers, Galera stockholders will become stockholders of Parent and their rights will be governed by Delaware law and the governing corporate documents of Parent in effect at the Galera merger effective time. Galera stockholders will have different rights once they become Parent stockholders due to differences between the governing corporate documents of each of the entities. These differences are described in detail in the section entitled “</w:t>
      </w:r>
      <w:r>
        <w:rPr>
          <w:rFonts w:ascii="Times New Roman" w:cs="Times New Roman" w:eastAsia="Times New Roman" w:hAnsi="Times New Roman"/>
          <w:sz w:val="17"/>
          <w:szCs w:val="17"/>
          <w:i w:val="1"/>
          <w:iCs w:val="1"/>
          <w:color w:val="auto"/>
        </w:rPr>
        <w:t>Comparison of Stockholders’ Rights</w:t>
      </w:r>
      <w:r>
        <w:rPr>
          <w:rFonts w:ascii="Times New Roman" w:cs="Times New Roman" w:eastAsia="Times New Roman" w:hAnsi="Times New Roman"/>
          <w:sz w:val="17"/>
          <w:szCs w:val="17"/>
          <w:color w:val="auto"/>
        </w:rPr>
        <w:t>” beginning on page 332 of this information statement/prospectus.</w:t>
      </w:r>
    </w:p>
    <w:p>
      <w:pPr>
        <w:spacing w:after="0" w:line="286"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820"/>
          </w:cols>
          <w:pgMar w:left="320" w:top="455" w:right="7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Parent common stock involves risks, some of which are related to the mergers. In addition to the other information contained in or incorporated by reference into this information statement/ prospectus, including the matters addressed under the caption entitled “Cautionary Statement Regarding Forward-Looking Statements,” You should carefully consider the following risk factors. Please see the section entitled “Where You Can Find More Information” beginning on page 356 of this information statement/prospectus. These risk factors are not exhaustive, and investors are encouraged to perform their own investigation with respect to each of the businesses of Galera and Obsidian because these risks will relate to the combined business of Galera and Obsidian following the consummation of the mergers. The occurrence of one or more of the events or circumstances described in these risk factors, alone or in combination with other events or circumstances, may adversely affect the ability to complete or realize the anticipated benefits of the mergers, and may have a material adverse effect on the combined company, as well as the respective businesses of Galera and Obsidian, as well as their respective financial condition or results of operations. The risks discussed below may not prove to be exhaustive and are based on certain assumptions made by Galera and Obsidian which later may prove to be incorrect or incomplete. Galera, Obsidian and the combined company may face additional risks and uncertainties that are not presently known to Galera or Obsidian, or that are currently deemed immaterial, which may also impair their business or financial condition.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Mergers</w:t>
      </w:r>
    </w:p>
    <w:p>
      <w:pPr>
        <w:spacing w:after="0" w:line="117"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Galera exchange ratio will not be adjusted based on the market price of Galera common stock, so the Galera merger consideration received at closing may have a greater or lesser value than at the time the merger agreement was signed.</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At the Galera merger effective time, each share of Galera common stock outstanding immediately prior to the Galera merger effective time will be converted into the right to receive a number of shares of Parent common stock equal to the Galera exchange ratio. The Galera exchange ratio is based on a Galera equity value of $13.8 million, subject to dollar-for-dollar adjustment if the Final Galera net cash is above or below the Galera target net cash of $1.8 million (provided in no event will any Permitted Galera Bridge Financing cause the Final Galera net cash to be greater than $1.8 million), but will not be adjusted to reflect changes in the market price of Galera common stock. The Galera exchange ratio will not be determined until the closing of the Galera merger.</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illustrative post-closing ownership percentages described in this information statement/prospectus are based upon a number of assumptions, including (i) a valuation for Galera of $10.00 million (assuming Galera Net Cash of $(2.00) million as of the closing), (ii) a valuation for Obsidian of $413.5 million, and (iii) the relative capitalization of Galera and Obsidian. Any decrease in the amount of Galera Net Cash at closing will decrease the number of shares of Parent common stock that Galera stockholders will be entitled to receive pursuant to the merger agreement (and their corresponding post-closing ownership percentage).</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changes in the market price of Galera common stock before the completion of the Galera merger will not affect the number of shares of Parent common stock that Galera stockholders will be entitled to receive pursuant to the merger agreement. Therefore, if before the completion of the Galera merger the market price of Galera common stock increases from the market price on the date of the merger agreement, Galera stockholders could receive merger consideration with substantially less value relative to the then-current market price of Galera common stock than the parties had negotiated when they established the Galera exchange ratio. Similarly, if before the completion of the Galera merger the market price of Galera common stock declines, Galera stockholders could receive merger consideration with substantially more value relative to the then-current market price of Galera common stock. The merger agreement does not include a price-based termination right.</w:t>
      </w:r>
    </w:p>
    <w:p>
      <w:pPr>
        <w:spacing w:after="0" w:line="187"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For further information regarding the Galera exchange ratio, see the section entitled “</w:t>
      </w:r>
      <w:r>
        <w:rPr>
          <w:rFonts w:ascii="Times New Roman" w:cs="Times New Roman" w:eastAsia="Times New Roman" w:hAnsi="Times New Roman"/>
          <w:sz w:val="18"/>
          <w:szCs w:val="18"/>
          <w:i w:val="1"/>
          <w:iCs w:val="1"/>
          <w:color w:val="auto"/>
        </w:rPr>
        <w:t>The Merger Agreement—Merger Consideration—Galera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Ratio</w:t>
      </w:r>
      <w:r>
        <w:rPr>
          <w:rFonts w:ascii="Times New Roman" w:cs="Times New Roman" w:eastAsia="Times New Roman" w:hAnsi="Times New Roman"/>
          <w:sz w:val="18"/>
          <w:szCs w:val="18"/>
          <w:color w:val="auto"/>
        </w:rPr>
        <w:t>” beginning on page 152 of this information statement/prospectus.</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mergers may result in Galera or Obsidian paying a termination fee to the other party, which could harm the future business and operations of the applicable party.</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the mergers are not completed, each of Galera and Obsidian is subject to the following risks:</w:t>
      </w:r>
    </w:p>
    <w:p>
      <w:pPr>
        <w:spacing w:after="0" w:line="131" w:lineRule="exact"/>
        <w:rPr>
          <w:sz w:val="20"/>
          <w:szCs w:val="20"/>
          <w:color w:val="auto"/>
        </w:rPr>
      </w:pPr>
    </w:p>
    <w:p>
      <w:pPr>
        <w:ind w:left="1080" w:right="160" w:hanging="532"/>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by Obsidian due to Galera’s material breach, or by Galera upon Galera’s entry into a Permitted Alternative Agreement (as defined below) for a Superior Offer, Galera may be required to pay Obsidian a non-refundable termination fee of $500,000, plus up to $250,000 in reasonable and documented out-of-pocket third-party expenses incurred by Obsidian in connection with the transactions;</w:t>
      </w:r>
    </w:p>
    <w:p>
      <w:pPr>
        <w:spacing w:after="0" w:line="85" w:lineRule="exact"/>
        <w:rPr>
          <w:rFonts w:ascii="Times New Roman" w:cs="Times New Roman" w:eastAsia="Times New Roman" w:hAnsi="Times New Roman"/>
          <w:sz w:val="18"/>
          <w:szCs w:val="18"/>
          <w:color w:val="auto"/>
        </w:rPr>
      </w:pPr>
    </w:p>
    <w:p>
      <w:pPr>
        <w:jc w:val="both"/>
        <w:ind w:left="1080" w:right="180" w:hanging="532"/>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by Galera due to Obsidian’s material breach, due to an Obsidian Board Adverse Recommendation Change, or by Obsidian upon Obsidian’s entry into a Permitted Alternative Agreement for a Superior Offer, Obsidian may be required to pay Galera a non-refundable termination fee of $1,000,000, plus up to $250,000 in reasonable and documented out-of-pocket third-party expenses incurred by Galera in connection with the transactions;</w:t>
      </w:r>
    </w:p>
    <w:p>
      <w:pPr>
        <w:spacing w:after="0" w:line="85"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Galera common stock may decline and could fluctuate significantly; and</w:t>
      </w:r>
    </w:p>
    <w:p>
      <w:pPr>
        <w:spacing w:after="0" w:line="130"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mergers, such as financial advisor, legal and accounting fees, must be paid by the applicable party even if the mergers are not completed.</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parties to the merger agreement have acknowledged that each termination fee represents a good faith, fair estimate of the damages that the receiving party and its affiliates would suffer upon termination of the merger agreement, and that any amount payable pursuant to the termination fee provisions is not a penalty, but rather liquidated damages. The parties have further agreed that the payment of the applicable termination fee shall be the sole and exclusive remedy of a party following a termination of the merger agreement by the other party.</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merger agreement is terminated and the Galera Board or the Obsidian Board, as applicable, determines to seek another business combination, there can be no assurance that such party will be able to find a partner with whom a business combination would yield greater benefits than the benefits to be provided under the merger agreement.</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the conditions to the mergers are not satisfied or waived, the mergers may not occur.</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Even if the Required Galera Stockholder Approval and the Required Obsidian Stockholder Approval are obtained, specified conditions must be satisfied or waived to complete the mergers. These conditions include, among others: (i) the absence of any law or order prohibiting the consummation of the mergers; (ii) the effectiveness of the registration statement of which this information statement/prospectus forms a part; (iii) the approval for listing of the shares of Parent common stock to be issued in connection with the mergers on Nasdaq; (iv) the accuracy of the representations and warranties of each party, subject to specified materiality standards; (v) the performance in all material respects by each party of its obligations under the merger agreement; (vi) the receipt of the concurrent financing proceeds; and (vii) the absence of a material adverse effect with respect to each of Galera and Obsidian. These conditions are described in more detail in the section entitled “</w:t>
      </w:r>
      <w:r>
        <w:rPr>
          <w:rFonts w:ascii="Times New Roman" w:cs="Times New Roman" w:eastAsia="Times New Roman" w:hAnsi="Times New Roman"/>
          <w:sz w:val="18"/>
          <w:szCs w:val="18"/>
          <w:i w:val="1"/>
          <w:iCs w:val="1"/>
          <w:color w:val="auto"/>
        </w:rPr>
        <w:t>The Merger Agreement—Mutual Conditions to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beginning on page 161 of this information statement/prospectus.</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It is a condition of the consummation of the mergers that the shares of Parent common stock to be issued in connection with the mergers is approved for listing on Nasdaq, but such condition can be waived by the parties. If Nasdaq determines not to approve the listing application, Obsidian and Galera have not made a determination as to whether or not to waive this condition and, though they do not expect to waive this condition, they could decide to waive it and complete the merger in such circumstance. Accordingly, there can be no assurance such listing condition will be met.</w:t>
      </w:r>
    </w:p>
    <w:p>
      <w:pPr>
        <w:spacing w:after="0" w:line="180"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Obsidian and Galera agree to waive the requirement that the Nasdaq listing application be accepted for listing prior to the consummation of the mergers, and their respective boards of directors determine to proceed with the closing of the mergers, Nasdaq may determine not to approve the listing of Parent’s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based on a failure to satisfy the applicable initial listing criteria. Parent may appeal such determination to a Nasdaq hearings panel; however, there can be no assurance that such appeal would be successful. If Parent’s common stock is not listed on Nasdaq, there may be no established public trading market for such common stock, which would likely result in limited liquidity and increased volatility, and would adversely affect Parent’s ability to raise additional capital or to enter into strategic transactions. In addition, the absence of a Nasdaq listing would make it more difficult for stockholders to sell Parent’s common stock in the public market.</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Neither Galera nor Obsidian can assure you that all of the conditions to the consummation of the mergers will be satisfied or waived. If the conditions are not satisfied or waived, the mergers may not occur or the closing may be delayed, and each of Galera and Obsidian may lose some or all of the intended benefits of the mergers.</w:t>
      </w:r>
    </w:p>
    <w:p>
      <w:pPr>
        <w:spacing w:after="0" w:line="280"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Galera and Obsidian complete the mergers, the combined company will need to raise additional capital by issuing equity securities or additional debt or through licensing arrangements, which may cause significant dilution to the combined company’s stockholders or restrict the combined company’s operations.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the combined company when it is needed or may not be available on favorable terms. To the extent that the combined company raises additional capital by issuing equity securities, such financing will cause additional dilution to all securityholders of the combined company, including Galera’s pre-merger stockholders, Obsidian’s pre-merger stockholders and investors in the concurrent financing. It is also possible that the terms of any new equity securities may have preferences over the Parent common stock. Any debt financing the combined company enters into may involve covenants that restrict its operations. These restrictive covenants may include limitations on additional borrowing and specific restrictions on the use of the combined company’s assets, as well as prohibitions on its ability to create liens, pay dividends, redeem its stock or make investments. In addition, if the combined company raises additional funds through licensing arrangements, it may be necessary to grant licenses on terms that are not favorable to the combined company.</w:t>
      </w:r>
    </w:p>
    <w:p>
      <w:pPr>
        <w:spacing w:after="0" w:line="296" w:lineRule="exact"/>
        <w:rPr>
          <w:sz w:val="20"/>
          <w:szCs w:val="20"/>
          <w:color w:val="auto"/>
        </w:rPr>
      </w:pPr>
    </w:p>
    <w:p>
      <w:pPr>
        <w:jc w:val="both"/>
        <w:ind w:left="120" w:right="2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mergers are not completed, the Galera Board may decide to pursue a liquidation and dissolution of Galera. In such an event and in light of Galera’s current capital resource constraints, it is unlikely that substantial resources would be available for distributions to Galera’s stockholders.</w:t>
      </w:r>
    </w:p>
    <w:p>
      <w:pPr>
        <w:spacing w:after="0" w:line="28"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Although Galera has entered into the merger agreement, the closing may be delayed or may not occur at all. If for any reason the mergers are not completed, the Galera Board may elect to, among other things, attempt to complete another strategic transaction, attempt to sell or otherwise dispose of the various assets of Galera, or seek to continue to operate Galera’s business. Any of these alternatives would be costly and time-consuming and would require that Galera obtain additional near-term funding. Galera expects that it would be difficult to secure such funding in a timely manner, on favorable terms or at all.</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the mergers are not completed, the Galera Board may decide that it is in the best interests of Galera’s stockholders to dissolve the company and liquidate its assets. In that event, the amount of cash, if any, available for distribution to Galera’s stockholders would depend on the timing of such decision and the timing of such liquidation since the amount of cash available for distribution continues to decrease as Galera funds its operations and incurs fees and expenses related to the mergers. In addition, if the Galera Board were to approve and recommend, and Galera’s stockholders were to approve, a dissolution of Galera, it would be required under the DGCL to pay its outstanding obligations, as well as to make reasonable provision for contingent and unknown obligations, prior to making any distributions in liquidation to Galera’s stockholders. As a result of this requirement, a portion of Galera’s assets may need to be reserved pending the resolution of such obligations. In addition, Galera may be subject to litigation or other claims related to a liquidation and dissolution of the company. If a liquidation and dissolution were pursued, the Galera Board, in consultation with its advisors, would need to evaluate these matters and make a determination about a reasonable amount to reserve. Accordingly, in such a circumstance and in light of Galera’s current capital resources, it is highly unlikely that substantial resources, if any, would be available for distributions to Galera’s stockholders. Galera’s stockholders would likely lose all or a significant portion of their investment.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the merger agreement may discourage third parties from submitting competing proposals, including proposals that may be superior to the transactions.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terms of the merger agreement prohibit each of Galera and Obsidian from soliciting competing proposals or cooperating with persons making unsolicited takeover proposals, except in limited circumstances as described in further detail in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Agreement—Non-Solicitation</w:t>
      </w:r>
      <w:r>
        <w:rPr>
          <w:rFonts w:ascii="Times New Roman" w:cs="Times New Roman" w:eastAsia="Times New Roman" w:hAnsi="Times New Roman"/>
          <w:sz w:val="18"/>
          <w:szCs w:val="18"/>
          <w:color w:val="auto"/>
        </w:rPr>
        <w:t>” beginning on page 159 of this information statement/prospectus. In addition, if the merger agreement is terminated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circumstances, Galera may be required to pay Obsidian a non-refundable termination fee of $500,000, plus up to $250,000 in reasonable and documented out-of-pocket third party expenses incurred by Obsidian in connection with the transactions (the “Galera Termination Fee”) and Obsidian may be required to pay Galera a non-refundable termination fee of $1,000,000, plus up to $250,000 in reasonable and documented out-of-pocket third party expenses incurred by Galera in connection with the transactions (the “Obsidian Termination Fee”). These termination fees may discourage third parties from submitting competing proposals to Galera or Obsidian or their respective stockholders, and may cause the Galera Board or the Obsidian Board to be less inclined to recommend a competing proposal.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Galera stockholders may not receive any payment on the CVRs, and the CVRs may expire valueless.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The right of Galera stockholders to receive any future payment on or derive any value from the CVRs will be contingent solely upon the occurrence of certain milestone events within the time periods specified in the CVR Agreement and the consideration received being greater than the amounts permitted to be withheld or deducted under the CVR Agreement. Specifically, payments under the CVRs with respect to the Legacy Product Agreement are contingent upon CVR Proceeds being received by Parent or its affiliates under any Legacy Product Agreement prior to the fifth anniversary of the closing, and payments under the CVRs with respect to the Supportive-Care Agreement are contingent upon CVR Proceeds being received by Parent or its affiliates under the Supportive-Care Agreement prior to the tenth anniversary of the closing. There is no guarantee that Parent will receive any proceeds under either CVR Product Agreement within the applicable time periods. In the event that no CVR Proceeds are received within the applicable time periods, no payments will be made under the CVR Agreement, and the CVRs will expire valueless.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Stockholders could file lawsuits relating to the mergers.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of the date of this information statement/prospectus, there are no pending lawsuits challenging the mergers. However, potential plaintiffs may file lawsuits challenging the mergers. The outcome of any future litigation is uncertain. Such litigation, if not resolved, could prevent or delay consummation of the mergers and result in substantial costs to Galera, Obsidian, or the combined company, including any costs associated with the indemnification of directors and officers. One of the closing conditions is the absence of any order or legal requirement that restrains, enjoins, or otherwise prevents the consummation of the mergers. Therefore, if a plaintiff were successful in obtaining an injunction prohibiting the consummation of the mergers on the agreed-upon terms, then such injunction may prevent the mergers from being consummated, or from being consummated within the expected time frame.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Combined Company</w:t>
      </w:r>
    </w:p>
    <w:p>
      <w:pPr>
        <w:spacing w:after="0" w:line="119"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Following completion of the mergers, the combined company will be susceptible to many of the risks described in the sections titled “</w:t>
      </w:r>
      <w:r>
        <w:rPr>
          <w:rFonts w:ascii="Times New Roman" w:cs="Times New Roman" w:eastAsia="Times New Roman" w:hAnsi="Times New Roman"/>
          <w:sz w:val="18"/>
          <w:szCs w:val="18"/>
          <w:i w:val="1"/>
          <w:iCs w:val="1"/>
          <w:color w:val="auto"/>
        </w:rPr>
        <w:t>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Relating to Galera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Risks Relating to Obsidian</w:t>
      </w:r>
      <w:r>
        <w:rPr>
          <w:rFonts w:ascii="Times New Roman" w:cs="Times New Roman" w:eastAsia="Times New Roman" w:hAnsi="Times New Roman"/>
          <w:sz w:val="18"/>
          <w:szCs w:val="18"/>
          <w:color w:val="auto"/>
        </w:rPr>
        <w:t>” beginning on pages 31 and 52, respectively, of this information statement/prospectus.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extent any of the events in the risks described in those sections occur, the potential benefits of the mergers may not be realized and the results of operations and financial condition of the combined company could be adversely affected in a material way. This could cause the market price of the Parent common stock to decline.</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Parent common stock is expected to be volatile, and the market price of the Parent common stock may drop following the mergers.</w:t>
      </w:r>
    </w:p>
    <w:p>
      <w:pPr>
        <w:spacing w:after="0" w:line="5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market price of the Parent common stock following the mergers could be subject to significant fluctuations. Some of the factors that may cause the market price of the Parent common stock to fluctuate include:</w:t>
      </w:r>
    </w:p>
    <w:p>
      <w:pPr>
        <w:spacing w:after="0" w:line="67" w:lineRule="exact"/>
        <w:rPr>
          <w:sz w:val="20"/>
          <w:szCs w:val="20"/>
          <w:color w:val="auto"/>
        </w:rPr>
      </w:pPr>
    </w:p>
    <w:p>
      <w:pPr>
        <w:ind w:left="1080" w:right="56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the combined company’s product candidates, or those of the combined company’s competitors or the combined company’s existing or future collaborators;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the combined company may provide to the public;</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130"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combined company does not achieve the perceived benefits of the mergers as rapidly or to the extent anticipated by financial or industry analysts;</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the combined company or its competitors;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the combined company’s product candidates, clinical studies, manufacturing process or sales and marketing terms;</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the combined company’s ability to obtain patent protection for its technologies;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the combined company’s business, or if they issue adverse or misleading opinions regarding its business and stock;</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or 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securities by the combined company or its securityholders in the future;</w:t>
      </w:r>
    </w:p>
    <w:p>
      <w:pPr>
        <w:spacing w:after="0" w:line="130" w:lineRule="exact"/>
        <w:rPr>
          <w:rFonts w:ascii="Times New Roman" w:cs="Times New Roman" w:eastAsia="Times New Roman" w:hAnsi="Times New Roman"/>
          <w:sz w:val="18"/>
          <w:szCs w:val="18"/>
          <w:color w:val="auto"/>
        </w:rPr>
      </w:pPr>
    </w:p>
    <w:p>
      <w:pPr>
        <w:ind w:left="1080" w:right="54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combined company fails to raise an adequate amount of capital to fund its operations or continued development of its product candidates;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the Parent common stock;</w:t>
      </w:r>
    </w:p>
    <w:p>
      <w:pPr>
        <w:spacing w:after="0" w:line="130" w:lineRule="exact"/>
        <w:rPr>
          <w:rFonts w:ascii="Times New Roman" w:cs="Times New Roman" w:eastAsia="Times New Roman" w:hAnsi="Times New Roman"/>
          <w:sz w:val="18"/>
          <w:szCs w:val="18"/>
          <w:color w:val="auto"/>
        </w:rPr>
      </w:pPr>
    </w:p>
    <w:p>
      <w:pPr>
        <w:ind w:left="1080" w:right="800" w:hanging="532"/>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competitors of new commercial products, clinical progress or lack thereof, significant contracts, commercial relationships or capital commitments;</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the products and services of the combined company;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the combined company’s financial results.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combined company may incur losses for the foreseeable future and might never achieve profitability.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are expected to result in substantial increased operating losses for at least the next several years. Even if the combined company does achieve profitability, it may not be able to sustain or increase profitability on a quarterly or annual basis.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80"/>
          </w:cols>
          <w:pgMar w:left="320" w:top="455"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incur additional costs and increased demands upon management as a result of complying with the laws and regulations affecting public companies.</w:t>
      </w:r>
    </w:p>
    <w:p>
      <w:pPr>
        <w:spacing w:after="0" w:line="51"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The combined company will incur significant legal, accounting and other expenses as a public company that Obsidian did not incur as a private company, including costs associated with public company reporting obligations under the Exchange Act. The combined company’s management team will consist of the executive officers of Obsidian prior to the mergers, some of whom have not previously managed and operated a public company.</w:t>
      </w:r>
    </w:p>
    <w:p>
      <w:pPr>
        <w:spacing w:after="0" w:line="2"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These executive officers and other personnel will need to devote substantial time to gaining expertise related to public company reporting requirements and compliance with applicable laws and regulations to ensure that the combined company complies with all of these requirements. Any changes the combined company makes to comply with these obligations may not be sufficient to allow it to satisfy its obligations as a public company on a timely basis, or at all. These reporting requirements, rules and regulations, coupled with the increase in potential litigation exposure associated with being a public company, could also make it more difficult for the combined company to attract and retain qualified persons to serve on the board of directors or on board committees or to serve as executive officers, or to obtain certain types of insurance, including directors’ and officers’ insurance, on acceptable terms.</w:t>
      </w:r>
    </w:p>
    <w:p>
      <w:pPr>
        <w:spacing w:after="0" w:line="292" w:lineRule="exact"/>
        <w:rPr>
          <w:sz w:val="20"/>
          <w:szCs w:val="20"/>
          <w:color w:val="auto"/>
        </w:rPr>
      </w:pPr>
    </w:p>
    <w:p>
      <w:pPr>
        <w:jc w:val="both"/>
        <w:ind w:left="120"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for Galera and Obsidian included in this information statement/prospectus is preliminary, and the combined company’s actual financial position and operations after the mergers may differ materially from the unaudited pro forma condensed combined financial information included in this information statement/prospectus.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for Galera and Obsidian included in this information statement/prospectus is presented for illustrative purposes only and is not necessarily indicative of the combined company’s actual financial condition or results of operations of future periods, or the financial condition or results of operations that would have been realized had the entities been combined during the period presented. The combined company’s actual results and financial position after the mergers may differ materially and adversely from the unaudited pro forma condensed combined financial information included in this information statement/prospectus. The exchange ratio formulas reflected in this information statement/prospectus are preliminary. The final Galera exchange ratio and Obsidian exchange ratio will each be determined in accordance with the applicable formula in the merger agreement and could differ materially from the preliminary exchange ratios used to prepare the pro forma adjustments. For more information, see the section entitled “</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beginning on page 316 of this information statement/prospectus.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Galera and Obsidian do not anticipate that the combined company will pay any cash dividends in the foreseeable future.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current expectation is that the combined company will retain its future earnings, if any, to fund the growth of the combined company’s business as opposed to paying dividends. As a result, capital appreciation, if any, of the Parent common stock will be your sole source of gain, if any, for the foreseeable future. An active trading market for the Parent common stock may not develop and its stockholders may not be able to resell their shares of Parent common stock for a profit, if at all.</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Prior to the mergers, there had been no public market for shares of Obsidian common stock. An active trading market for the Parent common stock may never develop or be sustained. If an active market for the Parent common stock does not develop or is not sustained, it may be difficult for its stockholders to sell their shares at an attractive price or at all.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by existing stockholders could cause the Parent common stock price to decline.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existing securityholders of Galera and Obsidian sell, or indicate an intention to sell, substantial amounts of the Parent common stock in the public market after legal restrictions on resale discussed in this information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statement/prospectus lapse, the trading price of the Parent common stock could decline. Based on shares outstanding as of May 19, after giving effect to the concurrent financing and shares expected to be issued upon completion of the mergers, the combined company is expected to have outstanding a total of approximately 61,595,784 shares of Parent common stock immediately following the completion of the mergers.</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Certain of these shares are subject to lock-up agreements entered into by certain securityholders of Obsidian, owning in the aggregate 193,269,632 shares, or 72% of the outstanding shares of Obsidian common stock (on a fully diluted basis), pursuant to which such securityholders have agreed not to transfer shares of Parent common stock (including shares received in the mergers and shares issuable upon exercise of options, warrants or convertible securities) for the 180-day period following the Galera merger effective time, subject to specified exceptions. Following the expiration of these lock-up agreements, the relevant stockholders will not be restricted from selling shares of the Parent common stock held by them, other than by applicable securities laws. Stockholders not subject to these lock-up agreements will not be restricted from selling shares of the Parent common stock held by them, other than by applicable securities laws. In addition, (i) shares of Parent common stock that are subject to outstanding options or warrants of Galera or Obsidian will become eligible for sale in the public market to the extent permitted by the provisions of various vesting agreements and Rules 144 and 701 under the Securities Act and (ii) as of the consummation of the mergers, approximately 29,166,667 shares of Parent common stock will be subject to registration rights. If these shares are sold, the trading price of the Parent common stock could decline.</w:t>
      </w:r>
    </w:p>
    <w:p>
      <w:pPr>
        <w:spacing w:after="0" w:line="29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Parent Bylaws contain exclusive forum provisions, which may limit a stockholder’s ability to bring a claim in a judicial forum it finds favorable and may discourage lawsuits with respect to such claims.</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Parent Charter and Parent Bylaws provide that, unless Parent consents in writing to the selection of an alternative forum, the Court of Chancery of the State of Delaware is the sole and exclusive forum for any state law claims for any derivative action or proceeding brought on Parent’s behalf alleging state law claims, any action asserting a breach of fiduciary duty, any action asserting a claim against Parent arising pursuant to the DGCL, Parent’s certificate of incorporation or Parent’s bylaws, any action to interpret, apply, enforce, or determine the validity of Parent’s certificate of incorporation or bylaws, or any action asserting a claim against Parent that is governed by the internal affairs doctrine (the “Delaware Forum Provision”). The Delaware Forum Provision does not apply to claims arising under the Exchange Act or the Securities Act. The Parent Bylaws further provide that, unless Parent consents in writing to an alternative forum, the federal district courts of the United States will be the exclusive forum for resolving any complaint asserting a cause of action arising under the Securities Act (the “Federal Forum Provision”). Parent has selected the federal district courts of the United States as the exclusive forum for such Securities Act causes of action. The Parent Bylaws provide that any person or entity purchasing or otherwise acquiring any interest in any shares of Parent common stock is deemed to have notice of and consented to the Delaware Forum Provision and the Federal Forum Provision.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pursuing the claims identified above, particularly if the stockholders bringing a claim that is covered by the Delaware Forum Provision do not reside in or near the State of Delaware. In addition, these forum selection clauses in the Parent Bylaws may limit Parent stockholders’ ability to bring a claim in a judicial forum that they find favorable for disputes with Parent or Parent’s directors, officers or employees, which may discourage such lawsuits against Parent and its directors, officers and employees even though an action, if successful, might benefit Parent stockholders. The Federal Forum Provision may also impose additional litigation costs on stockholders who assert that the provision is not enforceable or is invalid. Alternatively, if the Delaware Forum Provision or Federal Forum Provision is found inapplicable to, or unenforceable in respect of, one or more of the specified types of actions or proceedings, Parent may incur additional costs associated with resolving such matters in other jurisdictions, which could have an adverse effect on Parent’s business, financial condition or results of operations.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Parent than to its stockholders.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Galera</w:t>
      </w:r>
    </w:p>
    <w:p>
      <w:pPr>
        <w:spacing w:after="0" w:line="119"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Throughout these “Risks Relating to Galera,” unless otherwise noted, “our,” “we,” and “the Company” refers to Galera Therapeutics, Inc. and its subsidiaries.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since our inception and anticipate that we will incur continued losses for the foreseeable future.</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incurred losses in each year since our inception in 2012 through 2024, driven by expenses for research and development and our ongoing operations. None of our clinical products have been approved for commercialization, and after the sale to Biossil only one product candidate remains. Historically, we invested substantially all of our efforts and financial resources in identifying, acquiring, in-licensing and developing our historical product candidates, including commencing and conducting clinical trials and providing general and administrative support for these operations. Our net loss for the year ended December 31, 2024 was $19.0 million. During the year ended December 31, 2025, we recorded a $151.0 million non-cash gain from the extinguishment of the royalty purchase liability on our consolidated balance sheet, as the result of the assumption by Biossil of our obligations under the Royalty Agreement (as defined below) with Blackstone Life Sciences (as defined below). As a result, our net income for the year ended December 31, 2025 was $149.0 million. Despite this net income for the 2025 fiscal year, we anticipate incurring losses for the foreseeable future. As of December 31, 2025, we had an accumulated deficit of $307.3 million.</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To become consistently profitable, we must succeed in developing and eventually commercializing a product candidate that generates significant revenue. Our prior losses, combined with expected future losses, have had and will continue to have an adverse effect on our stockholders’ equity and working capital.</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w:t>
      </w:r>
    </w:p>
    <w:p>
      <w:pPr>
        <w:spacing w:after="0" w:line="5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We may seek to finance our cash needs through securities offerings, debt financings and/or private placements, which may possibly be undertaken in conjunction with a merger or reverse merger. The terms of any financing may adversely affect the holdings or the rights of our stockholders and our issuance of additional securities, whether equity or debt, or the possibility of such issuance, may cause the market price of our common stock to decline. The sale of additional equity or convertible securities would dilute all of our stockholders, including their ownership interest. The incurrence of indebtedness would result in increased fixed or variable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our product candidate or future revenue streams, or otherwise agree to terms unfavorable to us, any of which may have a material adverse effect on our business, operating results and prospects.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Product Candidate</w:t>
      </w:r>
    </w:p>
    <w:p>
      <w:pPr>
        <w:spacing w:after="0" w:line="117"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product candidate, tilarginine, which has not received regulatory approval. If development of our product candidate is unsuccessful, we may be unable to obtain required regulatory approvals and be unable to commercialize our product candidate on a timely basis, if at all.</w:t>
      </w:r>
    </w:p>
    <w:p>
      <w:pPr>
        <w:spacing w:after="0" w:line="6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Failure or delay can occur at any time during the clinical trial process. Success in preclinical studies and early clinical trials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does not ensure that later clinical trials will be successful. We have suffered significant and unexpected setbacks in certain of our clinical trials with respect to our historical product candidates. These kind of setbacks can potentially recur in the future due to, among other things, preclinical findings made while clinical trials were underway and safety or efficacy observations made in clinical trials, including previously unreported adverse events. The results of preclinical studies and clinical trials of our product candidate may not be predictive of the results of later-stage clinical trials. A product candidate in later stages of clinical trials may fail to show the desired safety and efficacy traits despite having progressed through preclinical studies and initial clinical trials. Notwithstanding any potential promising results in earlier studies, we cannot be certain that we will not face similar setbacks again in the future. Even if our clinical trials are completed, the results may not be sufficient to obtain regulatory approval for our product candidate.</w:t>
      </w:r>
    </w:p>
    <w:p>
      <w:pPr>
        <w:spacing w:after="0" w:line="293"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will continue to rely, on third parties to conduct our clinical trials for our product candidate, and those third parties may not perform satisfactorily, including failing to meet deadlines for the completion of such trials.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historically relied on contract research organizations (“CROs”) and clinical trial sites to ensure the proper and timely conduct of our clinical trials. While we may have agreements with our CROs governing their committed activities, and the ability to audit their performance, we have limited influence over their actual performance. We have relied on third-party vendors, such as CROs, scientists and collaborators to provide us with significant data and other information related to our preclinical studies or clinical trials and our business. If such third parties provide inaccurate, misleading or incomplete data, which has occurred in one prior instance with regard to a former product candidate, our business, prospects and results of operations could be materially adversely affected.</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National Defense Authorization Act for Fiscal Year 2026 enacted in December 2025 includes a section titled, “Prohibition on Contracting with Certain Biotechnology Providers,” also known as the BIOSECURE Act, aimed at discouraging federal contracting with certain biotechnology companies for biotechnology equipment or services in China and other countries of concern. The statute prohibits federal executive agencies from procuring any biotechnology equipment or service from a biotechnology company of concern (“BCC”), or contracting with any such company or any entity that procures or uses equipment or services from a BCC. Any company on the Department of Defense’s Chinese Military Companies List (1260H list) is considered a BCC under the new law and the White House Office of Management and Budget also is empowered to designate companies as BCCs based on consultations with Cabinet Secretaries and other key leaders from the executive branch. This legislation may have the effect of restricting the ability of biopharmaceutical companies that enter into contracts with or receive funding from U.S. federal agencies from purchasing services or equipment from certain and other foreign Chinese biotechnology companies.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Success in preclinical studies and early clinical trials does not ensure that later clinical trials will generate the same results or otherwise provide adequate data to demonstrate the efficacy and safety of a product candidate. Preclinical studies and early-stage clinical trials are primarily designed to test safety, to study pharmacokinetics and pharmacodynamics and to understand the side effects of our product candidate at various doses and schedules. Success in preclinical studies and early clinical trials does not ensure that later, large-scale efficacy trials will be successful, nor does it predict final results. Our product candidate may fail to show the desired safety and efficacy in clinical development despite positive results in preclinical studies or having successfully advanced through initial clinical trials.</w:t>
      </w:r>
    </w:p>
    <w:p>
      <w:pPr>
        <w:spacing w:after="0" w:line="187"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studies and earlier-stage clinical trials. Data obtained from preclinical and clinical activities are subject to varying interpretations, which may delay, limit or prevent regulatory approval.</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 may cause undesirable side effects or have other properties that could delay or prevent their regulatory approval or result in significant negative consequences following marketing approval, if any.</w:t>
      </w:r>
    </w:p>
    <w:p>
      <w:pPr>
        <w:spacing w:after="0" w:line="5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Undesirable side effects caused by our product candidate could cause regulatory authorities to interrupt, delay or halt clinical trials and could result in a more restrictive label or the delay or denial of regulatory approval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by the FDA or comparable foreign regulatory authorities, such as the EMA or the competent authorities of the member states of the European Union, or EU. Results of clinical trials of our product candidate could reveal a high and unacceptable severity and prevalence of side effects or unexpected characteristics.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 we, the FDA, the institutional review board, or IRBs, at the institutions in which our studies are conducted, or the Data Safety Monitoring Board (“DSMB”) could suspend or terminate clinical trials or the FDA or comparable foreign regulatory authorities could require clinical trials to stop or deny approval of our product candidate for any or all targeted indications.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addition, if our product candidate receives marketing approval in the future, and we or others later identify undesirable side effects caused by such products, a number of potentially significant negative consequences could result, including:</w:t>
      </w:r>
    </w:p>
    <w:p>
      <w:pPr>
        <w:spacing w:after="0" w:line="67" w:lineRule="exact"/>
        <w:rPr>
          <w:sz w:val="20"/>
          <w:szCs w:val="20"/>
          <w:color w:val="auto"/>
        </w:rPr>
      </w:pPr>
    </w:p>
    <w:p>
      <w:pPr>
        <w:ind w:left="1080" w:right="54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their approval of the product, or seek an injunction against its manufacture or distribution;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recalled or the way such product is administered to patients may be required to change;</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 or issue safety alerts, Dear Healthcare Provider letters, press releases or other communications containing warnings or other safety information about the product;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Risk Evaluation and Mitigation Strategy (“REMS”) or similar risk management measures, or create a medication guide outlining the risks of such side effects for distribution to patients, or implement other changes to how a product is distributed or administered;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civil or criminal penalties;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329"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biopharmaceutical industries are subject to extensive regulatory obligations and policies that may be subject to significant and abrupt change, including due to judicial challenges, election cycles, and resulting regulatory updates and changes in policy priorities.</w:t>
      </w:r>
    </w:p>
    <w:p>
      <w:pPr>
        <w:spacing w:after="0" w:line="5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On June 28, 2024, the U.S. Supreme Court issued an opinion holding that courts reviewing agency action pursuant to the Administrative Procedure Act (“APA”) “must exercise their independent judgment” and “may not defer to an agency interpretation of the law simply because a statute is ambiguous.” The decision may have a significant impact on how lower courts evaluate challenges to agency interpretations of law, including those by HHS, CMS, FDA and other agencies with significant oversight of the biopharmaceutical industries. The new framework is likely to increase both the frequency of such challenges and their odds of success by eliminating one way in which the government previously prevailed in such cases. As a result, significant regulatory policies will be subject to increased litigation and judicial scrutiny.</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federal agency activities, priorities, leadership, policies, rulemaking, communications, spending and staffing may be significantly impacted by election cycles and legislative developments. For example, the current presidential administration has signaled its continued commitment to significantly reduce government spending through cuts to federal healthcare programs and reductions in the workforces of key government agencies, such as HHS, FDA and CMS. Efforts by the current administration to further limit federal agency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budgets or personnel may result in reductions to agency budgets, employees, and operations. The administration and agencies have also made abrupt announcements about new or changed regulatory policies, such as policies related to the use of artificial intelligence to review product applications. And, the recent federal government shutdown may prevent the FDA or other regulatory authorities from conducting their regular inspections, reviews or other regulatory activities, and may significantly impact the ability of the FDA to timely review and process our regulatory submissions. These developments may lead to greater uncertainty regarding FDA policies, slower response times and longer review periods, potentially affecting our ability to progress development of our product candidate or obtain regulatory approval for our product candidate.</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NIH may also be significantly impacted by election cycles and legislative developments, and has experienced instability impacting biomedical research, including the termination of certain research grants and workforce reductions. Any future decrease in the amount of, or delay in the approval of, appropriations to the NIH (and associated decreases in grants provided by the NIH) could result in fewer grants benefiting life sciences research. These reductions or delays could also result in a decrease in the aggregate amount of grants awarded for life sciences research or the redirection of existing funding to other projects or priorities, any of which in turn could affect our current or future clinical trials.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There are also a number of healthcare-related legislative and regulatory initiatives and reforms in the United States that significantly affect the biopharmaceutical industry. For example, there has been heightened governmental scrutiny in the U.S. of pharmaceutical pricing practices in light of the rising cost of prescription drugs and biologics. Such scrutiny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Any resulting changes in regulation may result in unexpected delays, increased costs, or other negative impacts on our business that are difficult to predict.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Competition, Retaining Key Employees and Managing Growth</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 limited operating history and are highly dependent on the expertise of the few members of our management team. Although we have entered into employment agreements with our executive officers, each of them may terminate their employment with us at any time. We do not maintain “key person” insurance for any of our executives or other employees. In addition, we rely on consultants and advisors. Our consultants and advisors may be employed by employers other than us and may have commitments under consulting or advisory contracts with other entities that may limit their availability to us.</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If we are not able to continue to retain, on acceptable terms, the qualified personnel necessary for the continued operation of our business, we may not be able to sustain our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left="12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and product candidate, if the scope of the patent protection obtained is not sufficiently broad, or if the terms of our patents are insufficient to protect our product candidate for an adequate amount of time, our competitors could develop and commercialize technology and products similar or identical to ours, and our ability to successfully commercialize our product candidate may be materially impaired.</w:t>
      </w:r>
    </w:p>
    <w:p>
      <w:pPr>
        <w:spacing w:after="0" w:line="72" w:lineRule="exact"/>
        <w:rPr>
          <w:sz w:val="20"/>
          <w:szCs w:val="20"/>
          <w:color w:val="auto"/>
        </w:rPr>
      </w:pPr>
    </w:p>
    <w:p>
      <w:pPr>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We rely primarily upon a combination of patents, trademarks, trade secret protection, and other intellectual property rights as well as nondisclosure, confidentiality and other contractual agreements to protect the intellectual property related to our brands, product candidate, and other proprietary technologies. Our success depends on our ability to develop, manufacture, market and sell our product candidate, if approved, and use our</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proprietary technologies without alleged or actual infringement, misappropriation or other violation of the patents and other intellectual property rights of third parties. There have been many lawsuits and other proceedings asserting patents and other intellectual property rights in the pharmaceutical and biotechnology industries. We cannot assure you that our product candidate will not infringe existing or future third-party patents. Because patent applications can take many years to issue and may be confidential for 18 months or more after filing, there may be applications now pending of which we are unaware and which may later result in issued patents that we may infringe by commercializing our product candidate. There may also be issued patents or pending patent applications that we are aware of, but that we think are irrelevant to our product candidate, which may ultimately be found to be infringed by the manufacture, sale, or use of our product candidate. Moreover, we may face claims from non-practicing entities that have no relevant product revenue and against whom our own patent portfolio may thus have no deterrent effect. In addition, our product candidate has a complex structure that makes it difficult to conduct a thorough search and review of all potentially relevant third-party patents. Because we have not yet conducted a formal freedom to operate analysis for patents related to our product candidate, we may not be aware of issued patents that a third party might assert are infringed by one of our current or future product candidates, which could materially impair our ability to commercialize our product candidate. Even if we diligently search third-party patents for potential infringement by our products or product candidate, we may not successfully find patents that our products or product candidate, may infringe. If we are unable to secure and maintain freedom to operate, others could preclude us from commercializing our product candidate.</w:t>
      </w:r>
    </w:p>
    <w:p>
      <w:pPr>
        <w:spacing w:after="0" w:line="19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process of obtaining patent protection is expensive and time-consuming, and we may not be able to prosecute all necessary or desirable patent applications at a reasonable cost or in a timely manner. We may choose not to seek patent protection for certain innovations or products and may choose not to pursue patent protection in certain jurisdictions, and under the laws of certain jurisdictions, patents or other intellectual property rights may be unavailable or limited in scope and, in any event, any patent protection we obtain may be limited. As a result, in some jurisdictions some of our products currently or in the future may not be protected by patents. We generally apply for patents in those countries where we intend to make, have made, use, offer for sale, or sell products and where we assess the risk of infringement to justify the cost of seeking patent protection. However, we may not accurately predict all the countries where patent protection would ultimately be desirable. If we fail to timely file a patent application in any such country or major market, we may be precluded from doing so at a later date. Competitors may use our technologies in jurisdictions where we have not obtained patent protection to develop their own products and, further, may export otherwise infringing products to territories in which we have patent protection that may not be sufficient to terminate infringing activities. In addition, the actual protection afforded by a patent varies on a product-by-product basis, from country to 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Furthermore, we cannot guarantee that any patents will be issued from any pending or future owned or licensed patent applications, or that any current or future patents will provide us with any meaningful protection or competitive advantage. Even if issued, existing or future patents may be challenged, including with respect to ownership, narrowed, invalidated, held unenforceable or circumvented, any of which could limit our ability to prevent competitors and other third parties from developing and marketing similar products or limit the length of terms of patent protection we may have for our product candidate and technologies. Moreover, should we be unable to obtain meaningful patent coverage for clinically relevant dosages or infusion rates for our product candidate in jurisdictions with commercially significant markets, our ability to extend and reinforce patent protection for this product candidate in those jurisdictions may be adversely impacted, which could limit our ability to prevent competitors and other third parties from developing and marketing similar products or limit the length of terms of patent protection we may have for our product candidate. Other companies may also design around technologies we have patented, licensed or developed. In addition, the issuance of a patent does not give us the right to practice the patented invention. Third parties may have blocking patents that could prevent us from marketing our products or practicing our own patented technology.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patent positions of biotechnology and pharmaceutical companies can be highly uncertain and involve complex legal, scientific and factual questions for which important legal principles remain unresolved. As a result, the issuance, scope, validity, enforceability and commercial value of our patent rights may be uncertain. The standards that the United States Patent and Trademark Office (the “USPTO”) and its foreign counterparts use to grant patents are not always applied predictably or uniformly. Changes in either the patent laws, implementing regulations or the interpretation of patent laws may diminish the value of our rights. The legal systems of certain countries do not protect intellectual property rights to the same extent as the laws of the United States, and many companies have encountered significant problems in protecting and defending such rights in foreign jurisdictions. For example, patent laws in various jurisdictions, including significant commercial markets such as Europe, restrict the patentability of methods of treatment of the human body more than United States law does. In addition, many countries, including certain countries in Europe, have compulsory licensing laws under which a patent owner may be compelled to grant licenses to third parties (for example, the patent owner has failed to “work” the invention in that country, or the third party has patented improvements). In addition, many countries limit the enforceability of patents against government agencies or government contractors. In these countries, the patent owner may have limited remedies, which could materially diminish the value of the patent. Moreover, the legal systems of certain countries, particularly certain developing countries, do not favor the aggressive enforcement of patent and other intellectual property protection, which makes it difficult to stop infringement.</w:t>
      </w:r>
    </w:p>
    <w:p>
      <w:pPr>
        <w:spacing w:after="0" w:line="187"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Because patent applications in the United States, Europe and many other jurisdictions are typically not published until 18 months after filing, or in some cases not at all, and because publications of discoveries in scientific literature lag behind actual discoveries, we cannot be certain that we were the first to conceive or reduce to practice the inventions claimed in our issued patents or pending patent applications, or that we were the first to file for protection of the inventions set forth in our patents or pending patent applications. We can give no assurance that all of the potentially relevant art relating to our patents and patent applications has been found; overlooked prior art could be used by a third party to challenge the validity, enforceability and scope of our patents or prevent a patent from issuing from a pending patent application. As a result, we may not be able to obtain or maintain protection for certain inventions. Therefore, the validity, enforceability and scope of our patents in the United States, Europe and in other countries cannot be predicted with certainty and, as a result, any patents that we own or license may not provide sufficient protection against our competitors.</w:t>
      </w:r>
    </w:p>
    <w:p>
      <w:pPr>
        <w:spacing w:after="0" w:line="17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a competitive advantage. For example:</w:t>
      </w:r>
    </w:p>
    <w:p>
      <w:pPr>
        <w:spacing w:after="0" w:line="67" w:lineRule="exact"/>
        <w:rPr>
          <w:sz w:val="20"/>
          <w:szCs w:val="20"/>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or better than, ours in a way that is not covered by the claims of our patents;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conceive or reduce to practice the inventions covered by our patents or pending patent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our inventions;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 or may ultimately be found invalid or unenforceable;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We currently in-license certain intellectual property from third parties to be able to use such intellectual property in our products and product candidate and to aid in our research activities. In the future, we may in-license intellectual property from additional licensors. We may rely on certain of these licensors to file and prosecute patent applications and maintain, or assist us in the maintenance of, patents and otherwise protect the intellectual property we license from them. We may have limited control over these activities or any other intellectual property that may be related to our in-licensed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intellectual property. For example, we cannot be certain that such activities by these licensors have been or will be conducted diligently or in compliance with applicable laws and regulations or will result in valid and enforceable patents and other intellectual property rights. We may have limited control over the manner in which our licensors initiate, or support our efforts to initiate, an infringement proceeding against a third-party infringer of the intellectual property rights, or defend certain of the intellectual property that is licensed to us. If we or our licensors fail to adequately protect this intellectual property, our ability to commercialize products could suffer.</w:t>
      </w:r>
    </w:p>
    <w:p>
      <w:pPr>
        <w:spacing w:after="0" w:line="28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time-consuming and unsuccessful.</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Competitors may infringe, misappropriate or otherwise violate our patents, trademarks, copyrights, trade secrets or other intellectual property, or those of our licensors. To counter infringement, misappropriation, unauthorized use or other violations, we may be required to file legal claims, which can be expensive and time consuming and divert the time and attention of our management and scientific personnel. In some cases, it may be difficult or impossible to detect third-party infringement or misappropriation of our intellectual property rights, even in relation to issued patent claims, and proving any such infringement may be even more difficult.</w:t>
      </w:r>
    </w:p>
    <w:p>
      <w:pPr>
        <w:spacing w:after="0" w:line="183"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We may not be able to prevent, alone or with our licensees or any future licensors, infringement, misappropriation or other violations of our intellectual property rights, particularly in countries where the laws may not protect those rights as fully as in the United States. Any claims we assert against perceived infringers could provoke these parties to assert counterclaims against us alleging that we infringe their patents. In patent litigation in the United States, defendant counterclaims alleging invalidity or unenforceability are commonplace. The outcome following legal assertions of invalidity and unenforceability is unpredictable. We cannot be certain that there is no invalidating prior art, of which we and the patent examiner were unaware during prosecution. If a third party or a defendant were to prevail on a legal assertion of invalidity or unenforceability, we would lose at least part, and perhaps all, of any future patent protection on our current or future product candidates. Such a loss of patent protection could harm our business. In addition, in a patent infringement proceeding, there is a risk that a court will decide that a patent of ours is invalid or unenforceable, in whole or in part, and that we do not have the right to stop the other party from exploiting the claimed subject matter at issue. There is also a risk that, even if the validity of such patents is upheld, the court will construe the patent’s claims narrowly or decide that we do not have the right to stop the other party from exploiting its technology on the grounds that our patents do not cover such technology. An adverse outcome in a litigation or proceeding involving our patents could limit our ability to assert our patents against those parties or other competitors and may curtail or preclude our ability to exclude third parties from making, using, importing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95"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any infringement, misappropriation or other intellectual property litigation, any award of monetary damages we receive may not be commercially valuable. Furthermore, because of the substantial amount of discovery required in connection with intellectual property litigation, there is a risk that some of our confidential information could be compromised by disclosure during litigation.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 We may not be able to detect or prevent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 Any litigation or other proceedings to enforce our intellectual property rights may fail, and even if successful, may result in substantial costs and distract our management and other employees.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upon the intellectual property rights of third parties.</w:t>
      </w:r>
    </w:p>
    <w:p>
      <w:pPr>
        <w:spacing w:after="0" w:line="121"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biotechnology and pharmaceutical industries are subject to rapid technological change and substantial litigation regarding patent and other intellectual property rights. Our competitors in both the United States and abroad, many of which have substantially greater resources and have made substantial investments in patent portfolios and competing technologies, may have applied for or obtained or may in the future apply for or obtain, patents that will prevent, limit or otherwise interfere with our ability to make, use and sell our product candidate and services. Numerous third-party patents exist in the fields relating to our products and services, and it is difficult for industry participants, including us, to identify all third-party patent rights relevant to our product candidate, services and technologies. As the biotechnology and pharmaceutical industries expand and more patents are issued, the risk increases that our product candidate may give rise to claims of infringement of the patent rights of others. Moreover, because some patent applications are maintained as confidential for a certain period of time, we cannot be certain that third parties have not filed patent applications that cover our product candidate, services and technologies. Therefore, it is uncertain whether the issuance of any third-party patent would require us to alter our development or commercial strategies for our product candidate or processes, or to obtain licenses or cease certain activities.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Patents could be issued to third parties that we may ultimately be found to infringe. Third parties may have or obtain valid and enforceable patents or proprietary rights that could block us from developing products using our technology. If any third-party patents were held by a court of competent jurisdiction to cover the manufacturing process of our product candidate, constructs or molecules used in or formed during the manufacturing process, or any final product itself, the holders of any such patents may be able to block our ability to commercialize the product candidate unless we obtain a license under the applicable patents, or until such patents expire or they are determined to be held invalid or unenforceable. Our failure to obtain or maintain a license to any technology that we require to develop or commercialize our current and future product candidates may materially harm our business, financial condition and results of operations. Furthermore, we would be exposed to a threat of litigation.</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From time to time, we may be party to, or threatened with, litigation or other proceedings with third parties, including non-practicing entities, who allege that our product candidate, components of our product candidate, services, and/or proprietary technologies infringe, misappropriate or otherwise violate their intellectual property rights. The types of situations in which we may become a party to such litigation or proceedings include:</w:t>
      </w:r>
    </w:p>
    <w:p>
      <w:pPr>
        <w:spacing w:after="0" w:line="81" w:lineRule="exact"/>
        <w:rPr>
          <w:sz w:val="20"/>
          <w:szCs w:val="20"/>
          <w:color w:val="auto"/>
        </w:rPr>
      </w:pPr>
    </w:p>
    <w:p>
      <w:pPr>
        <w:ind w:left="1080" w:right="4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initiate litigation or other proceedings against third parties seeking to invalidate the patents held by those third parties or to obtain a judgment that our product candidate or processes do not infringe those third parties’ patents;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participate at substantial cost in International Trade Commission proceedings to abate importation of third-party products that would compete unfairly with our products;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file patent applications that claim technology also claimed by us or our licensors, we or our licensors may be required to participate in interference, derivation or opposition proceedings to determine the priority of invention, which could jeopardize our patent rights and potentially provide a third party with a dominant patent position;</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initiate litigation claiming that our processes or product candidate infringe their patent or other intellectual property rights, we and our collaborators will need to defend against such proceedings;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initiate litigation or other proceedings, including inter partes reviews, oppositions or other similar agency proceedings, seeking to invalidate patents owned by or licensed to us or to obtain a declaratory judgment that their products, services, or technologies do not infringe our patents or patents licensed to us, we will need to defend against such proceedings;</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ownership disputes relating to intellectual property, including disputes arising from conflicting obligations of consultants or others who were involved in developing our product candidate;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4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to necessary technology is terminated, the licensor may initiate litigation claiming that our processes or product candidate infringe or misappropriate its patent or other intellectual property rights and/or that we breached our obligations under the license agreement, and we and our collaborators would need to defend against such proceedings.</w:t>
      </w:r>
    </w:p>
    <w:p>
      <w:pPr>
        <w:spacing w:after="0" w:line="176"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These lawsuits and proceedings, regardless of merit, are time-consuming and expensive to initiate, maintain, defend or settle, and could divert the time and attention of managerial and technical personnel, which could materially adversely affect our business. Any such claim could also force use to do one or more of the following:</w:t>
      </w:r>
    </w:p>
    <w:p>
      <w:pPr>
        <w:spacing w:after="0" w:line="81" w:lineRule="exact"/>
        <w:rPr>
          <w:sz w:val="20"/>
          <w:szCs w:val="20"/>
          <w:color w:val="auto"/>
        </w:rPr>
      </w:pPr>
    </w:p>
    <w:p>
      <w:pPr>
        <w:jc w:val="both"/>
        <w:ind w:left="1080" w:right="20" w:hanging="424"/>
        <w:spacing w:after="0" w:line="266"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monetary liability for infringement or other violations of intellectual property rights, which we may have to pay if a court decides that the product candidate, service, or technology at issue infringes or violates the third party’s rights, and if the court finds that the infringement was willful, we could be ordered to pay up to treble damages and the third party’s attorneys’ fees;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our customers or end users to discontinue use or replace infringing technology with non-infringing technology;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manufacturing, offering for sale, selling, using, importing, exporting or licensing the product or technology incorporating the allegedly infringing technology or stop incorporating the allegedly infringing technology into such product, service, or technology;</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from the owner of the infringed intellectual property right a license, which may require us to pay substantial upfront fees or royalties to sell or use the relevant technology and which may not be available on commercially reasonable terms, or at all;</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product candidate, services, and technology so they do not infringe or violate the third party’s intellectual property rights, which may not be possible or may require substantial monetary expenditures and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cross-licenses with our competitors, which could weaken our overall intellectual property position;</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alternative suppliers for non-infringing products and technologies, which could be costly and create significant delay;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rights associated with one or more of our patent claims, if our claims are held invalid or otherwise unenforceable.</w:t>
      </w:r>
    </w:p>
    <w:p>
      <w:pPr>
        <w:spacing w:after="0" w:line="225"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Some of our competitors may be able to sustain the costs of complex intellectual property litigation more effectively than we can because they have substantially greater resources. In addition, intellectual property litigation, regardless of its outcome, may cause negative publicity, adversely impact prospective customers, cause product shipment delays, or prohibit us from manufacturing, marketing or otherwise commercializing our products, services and technology. Any uncertainties resulting from the initiation and continuation of any litigation could have a material adverse effect on our ability to raise additional funds or otherwise have a material adverse effect on our business, results of operation, financial condition or cash flows.</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which could have a material adverse effect on the price of our common stock. If securities analysts or investors perceive these results to be negative, it could have a material adverse effect on the price of our common stock. The occurrence of any of these events may have a material adverse effect on our business, results of operation, financial condition or cash flows.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to patent and trademark protection, we also rely on trade secrets, including unpatented know-how, technology and other proprietary information, to maintain our competitive position. Because we expect to rely on third parties to manufacture our product candidate, and we may collaborate with third parties on the development of our product candidate, we must, at times, share trade secrets with them. We seek to protect our trade secrets, in part, by entering into non-disclosure and confidentiality agreements with parties who have access to them prior to disclosing our proprietary information, such as our consultants and vendors, or our former or current employees. These agreements typically limit the rights of third parties to use or disclose our confidential information, including our trade secrets. We also enter into confidentiality and invention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enforce trade secret protection. A competitor’s discovery of our trade secrets would impair our competitive position and have an adverse impact on our business, operating results and financial condition. Additionally, we cannot be certain that competitors will not gain access to our trade secrets and other proprietary confidential information or independently develop substantially equivalent information and techniques.</w:t>
      </w:r>
    </w:p>
    <w:p>
      <w:pPr>
        <w:spacing w:after="0" w:line="300"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existing and future product candidates and processes.</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biotechnology and pharmaceutical industries involves both technological and legal complexity, and is therefore costly, time consuming, and inherently uncertain. In addition, the United States has recently enacted and is currently implementing wide-ranging patent reform legislation. Recent patent reform legislation could increase the uncertainties and costs surrounding the prosecution of our patent applications and the enforcement or defense of our issued patents. On September 16, 2011, the Leahy-Smith Act was signed into law. The Leahy-Smith Act includes a number of significant changes to U.S. patent law. These include provisions that affect the way patent applications are prosecuted, redefine prior art, may affect patent litigation, and switched the United States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conceived or reduced to practice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9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pending patent applications. Recent U.S. Supreme Court rulings have narrowed the scope of patent protection available in certain circumstances and weakened the rights of patent owners in certain situations. Furthermore, the U.S. Supreme Court and the U.S. Court of Appeals for the Federal Circuit have made, and will likely continue to make, changes in how the patent laws of the United States are interpreted. Similarly, foreign courts have made,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United States federal government retains certain rights in inventions produced with its financial assistance under the Patent and Trademark Law Amendments Act, or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We have received, and in the future may receive financial assistance in support of research and development activities that could result in inventions. We also partner with a number of universities, including the University of Iowa, Northwestern University, and the University of Texas Southwestern Medical Center, with respect to certain of our research, development and manufacturing. While it is our policy to avoid engaging our university partners in projects in which there is a risk that federal funds may be commingled, we cannot be sure that any co-developed intellectual property will be free from government rights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296"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extensions in the United States under the Hatch-Waxman Act and in foreign countries under similar legislation with respect to our product candidate, thereby potentially extending the term of marketing exclusivity for such product candidate, our business may be harmed.</w:t>
      </w:r>
    </w:p>
    <w:p>
      <w:pPr>
        <w:spacing w:after="0" w:line="6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FDA marketing approval of our product candidate, one or more of our U.S. patents may be eligible for limited patent term extension under the Drug Price Competition and Patent Term Restoration Act of 1984, or the Hatch-Waxman Act, which permits a patent term extension of up to a maximum of five years beyond the normal expiration of the patent if the patent is eligible for such an extension under the Hatch-Waxman Act as compensation for patent term lost during development and the FDA regulatory review process, which is limited to the approved indication (and potentially additional indications approved during the period of extension) covered by the patent.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w:t>
      </w:r>
    </w:p>
    <w:p>
      <w:pPr>
        <w:spacing w:after="0" w:line="19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and the patent term may still expire before or shortly after we receive FDA marketing approval.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our patent expiration and launch their product earlier than might otherwise be the case.</w:t>
      </w:r>
    </w:p>
    <w:p>
      <w:pPr>
        <w:spacing w:after="0" w:line="291"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 or procedures, we may not be able to stop a competitor from marketing products that are the same as or similar to our own, which would have a material adverse effect on our business.</w:t>
      </w:r>
    </w:p>
    <w:p>
      <w:pPr>
        <w:spacing w:after="0" w:line="293"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During trademark registration proceedings, our trademark application(s) may be rejected. Although we are given an opportunity to respond to those rejections, we may be unable to overcome such rejections. In addition, in the USPTO and in comparable agencies in many foreign jurisdictions, third parties can oppose pending trademark applications and seek to cancel registered trademarks. Opposition or cancellation proceedings may be filed against our trademarks, and our trademarks may not survive such proceedings. Moreover, any name we propose to use with our product candidate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92"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declared generic or determined to be infringing on other marks. We may not be able to protect our rights in these trademarks and trade names, which we need in order to build name recognition with potential partners or customers in our markets of interest. In addition, third parties have used trademarks similar and identical to our trademarks in foreign jurisdictions and have filed or may in the future file for registration of such trademarks. If they succeed in registering or developing common law rights in such trademarks, and if we are not successful in challenging such third-party rights, we may not be able to use these trademarks to market our products in those countries. In any case, if we are unable to establish name recognition based on our trademarks and trade names, then we may not be able to compete effectively and our business may be adversely affected.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rights throughout the world.</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Certain of our key patent families have been filed in the United States, as well as in numerous jurisdictions outside the United States. However, our intellectual property rights in certain jurisdictions outside the United States may be less robust. The laws of some foreign countries do not protect intellectual property rights to the same extent as the laws of the United States. For example, the requirements for patentability may differ in certain countries, particularly developing countries, and we may be unable to obtain issued patents that contain claims that adequately cover or protect our current or future product candidates.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life sciences. This could make it difficult for us to stop the infringement of our patents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attention from other aspects of our business. Furthermore, while we intend to protect our intellectual property rights in our expected significant markets, we cannot ensure that we will be able to initiate or maintain similar efforts in all jurisdictions in which we may wish to market current or future product candidates. Consequently, we may not be able to prevent third parties from practicing our technology in all countries outside the United States, or from selling or importing products made using our technology in and into those other jurisdictions where we do not have intellectual property rights. Competitors may use our technologies in jurisdictions where we have not obtained patent protection to develop their own products and may also export infringing products to territories where we have patent protection, but where enforcement is not as strong as that in the United States. These products may compete with our product candidate, and our patents or other intellectual property rights may not be effective or sufficient to prevent them from competing. Accordingly, our efforts to protect our intellectual property rights in such countries may be inadequate. In addition, changes in the law and legal decisions by courts in the United States and foreign countries may affect our ability to obtain and enforce adequate intellectual property protection for our technology.</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 in any jurisdiction. For example, U.S. patent applications filed 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 could have been filed by others without our knowledge. Additionally, pending patent applications that have been published can, subject to certain limitations, be later amended in a manner that could cover our product candidate or the use of our products.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 We may incorrectly determine that our product candidate is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 and services. Our failure to identify and correctly interpret relevant patents may negatively impact our ability to develop and market our product candidate and services.</w:t>
      </w:r>
    </w:p>
    <w:p>
      <w:pPr>
        <w:spacing w:after="0" w:line="19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our product candidate that are held to be infringing. We might, if possible, also be forced to redesign products, product candidate or services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 for an adequate amount of time.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Patents have a limited lifespan, and the protection patents afford is limited. In the United States, if all maintenance fees are timely paid, the natural expiration of a patent is generally 20 years from its earliest 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non-provisional filing date. Even if patents covering our product candidate are obtained, once the patent life has expired for patents covering a product or product candidate, we may be open to competition from competitive products and services. As a result, our patent portfolio may not provide us with sufficient rights to exclude others from commercializing products similar or identical to ours.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business.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While we seek broad coverage under our existing patent applications, there is always a risk that an alteration to products or processes may provide sufficient basis for a competitor to avoid infringing our patent claims. In addition, patents, if granted, expire and we cannot provide any assurance that any potentially issued patents will adequately protect our product candidate. Once granted, patents may remain open to invalidity challenges including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degree of future protection afforded by our intellectual property rights is uncertain because even granted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85" w:lineRule="exact"/>
        <w:rPr>
          <w:sz w:val="20"/>
          <w:szCs w:val="20"/>
          <w:color w:val="auto"/>
        </w:rPr>
      </w:pPr>
    </w:p>
    <w:p>
      <w:pPr>
        <w:ind w:left="1080" w:right="34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and/or practice technology that is similar to our technology or aspects of our technology, but that are not covered by the claims of the patents that we own or control, assuming such patents have issued or do issue;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partners might not have been the first to conceive or reduce to practice the inventions covered by the issued patents or pending patent applications that we own or have exclusively licensed;</w:t>
      </w:r>
    </w:p>
    <w:p>
      <w:pPr>
        <w:spacing w:after="0" w:line="67"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partners might not have been the first to file patent applications covering certain of our inventions;</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 candidate or technologies could use the intellectual property of others without obtaining a proper license;</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 may assert an ownership interest in our intellectual property and, if successful, such disputes may preclude us from exercising exclusive rights over that intellectual property;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and maintain necessary licenses on commercially reasonable terms, or at all;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Should any of these events occur, they could have a material adverse effect on our business, financial condition, results of operations and prospects.</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their former employers or other third parties.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and may employ individuals who were previously employed at universities or other biotechnology or pharmaceutical companies, including our licensors,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w:t>
      </w:r>
    </w:p>
    <w:p>
      <w:pPr>
        <w:spacing w:after="0" w:line="180"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 candidate. Such a license may not be available on commercially reasonable terms or at all. Even if we are successful in defending against such claims, litigation could result in substantial costs and be a distraction to management and other employees and could result in customers seeking other sources for the technology or in ceasing from doing business with us.</w:t>
      </w:r>
    </w:p>
    <w:p>
      <w:pPr>
        <w:spacing w:after="0" w:line="27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agreements with third parties may be subject to disagreements over contract interpretation, which could narrow the scope of our rights to the relevant intellectual property or technology.</w:t>
      </w:r>
    </w:p>
    <w:p>
      <w:pPr>
        <w:spacing w:after="0" w:line="5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8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addition, while we typically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To the extent that we fail to obtain such assignments, such assignments do not contain a self-executing assignment of intellectual property rights or such assignment agreements are breached, we may be forced to bring claims against third parties, or defend claims they may bring against us, to determine the ownership of what we regard as our intellectual property and this may interfere with our ability to capture the commercial value of such intellectual property. If we fail in prosecuting or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prosecuting or defending against such claims, litigation could result in substantial costs and be a distraction to our management and scientific personnel. Disputes regarding ownership or inventorship of intellectual property can also arise in other contexts, such as collaborations and sponsored research. We may be subject to claims that former collaborators or other third parties have an ownership interest in our patents or other intellectual property. If we are subject to a dispute challenging our rights in or to patents or other intellectual property, such a dispute could be expensive and time-consuming. If we are unsuccessful, we could lose valuable rights in intellectual property that we regard as our own.</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1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 will depend in part on the extent to which third-party payors, including governmental authorities and private health insurers, provide coverage and adequate reimbursement levels, as well as implement pricing policies favorable for our product candidate.</w:t>
      </w:r>
    </w:p>
    <w:p>
      <w:pPr>
        <w:spacing w:after="0" w:line="6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Our ability to successfully commercialize our product candidate for which we may receive regulatory approval will depend in significant part on the availability of coverage and reimbursement from third-party payors, including governmental healthcare programs, such as the Medicare and Medicaid programs in the U.S., private health insurers, managed care organizations, and other entities. Third-party payors may limit coverage to specific products on an approved list, or formulary, which might not include our product candidate. Third-party payors, together with regulators and others, are increasingly challenging the prices charged for pharmaceutical products and related services, in addition to their cost-effectiveness, safety, and efficacy.</w:t>
      </w:r>
    </w:p>
    <w:p>
      <w:pPr>
        <w:spacing w:after="0" w:line="168"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Moreover, obtaining coverage and adequate reimbursement is a time-consuming and costly process. We may be required to provide scientific and clinical support for the use of any product to each third-party payor separately with no assurance that approval will be obtained, and we may need to conduct expensive pharmacoeconomic studies in order to demonstrate the cost-effectiveness of our products. We cannot be certain that our product candidate will be considered cost-effective by third-party payors. This process could delay the market acceptance of our product candidate for which we may receive approval and could have a negative effect on our future revenues and operating results.</w:t>
      </w:r>
    </w:p>
    <w:p>
      <w:pPr>
        <w:spacing w:after="0" w:line="287"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customers and others will be subject to applicable healthcare regulatory laws, which could expose us to criminal sanctions, civil penalties, contractual damages, reputational harm, administrative burdens, and diminished profits and future earnings.</w:t>
      </w:r>
    </w:p>
    <w:p>
      <w:pPr>
        <w:spacing w:after="0" w:line="6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customers and others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 if approved.</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U.S. and global economic conditions could adversely affect our business, financial condition or results of operations.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U.S. and global economy and in the U.S. and global financial markets. The global economy, including credit and financial markets, has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A severe or prolonged economic downturn could result in a variety of risks to our business, including, our ability to raise additional capital when needed on acceptable terms, if at all.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suffer in the event of information technology system failures, cyberattacks or deficiencies in our cybersecurity.</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those of our third-party CDMOs, CROs, contractors and consultants are vulnerable to attack, interruption and damage from computer viruses and malware (e.g. ransomware), malicious code, natural disasters, terrorism, war, telecommunication and electrical failures, hacking, cyberattacks, phishing attacks and other social engineering schemes, employee theft or misuse, human error, fraud, denial or degradation of service attacks, sophisticated nation-state and nation-state-supported actors or unauthorized access or use by persons inside our organization, or persons with access to systems inside our organization. Some of these vulnerabilities have increased with the widespread use of artificial intelligence technology.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be no assurance that our cybersecurity risk management program and processes, including our policies, controls or procedures, will be fully implemented, complied with or effective in protecting our systems and information.</w:t>
      </w:r>
    </w:p>
    <w:p>
      <w:pPr>
        <w:spacing w:after="0" w:line="19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While we do not believe that we have experienced any significant failure or accident of our systems, from time to time, we have been the target of cybersecurity breach attempts and we expect them to continue as cybersecurity threats have been rapidly evolving in sophistication and becoming more prevalent. We do not believe that these cybersecurity breaches have had a material impact on our operations, but future breaches may have such impact. If such an event were to occur and cause interruptions in our operations, it could result in a material disruption of our programs. For example, the loss of clinical trial data for our product candidate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 or inappropriate disclosure or theft of confidential or proprietary information, and we could incur liabilities. Federal, state and international laws and regulations could expose us to enforcement actions and investigations by regulatory authorities, and potentially result in regulatory penalties, fines and significant legal liability, if our information technology security efforts fail. We maintain cyber liability insurance; however, this insurance may not be sufficient to cover the financial, legal, business or reputational losses that may result from an interruption or breach of our systems.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Most healthcare providers, including research institutions from which we obtain patient health information, are subject to privacy and security regulations promulgated under HIPAA, as amended by the Health Information Technology for Economic and Clinical Health Act, or collectively, HIPAA. HIPAA imposes, among other things, certain standards relating to the privacy, security, transmission and breach reporting of individually identifiable health information. While we do not believe we are currently acting or regulated as a covered entity or business associate under HIPAA and thus are not directly regulated under HIPAA,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which govern the privacy, processing and protection of health-related and other personal information. For example, the California Consumer Privacy Act, or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has increased the likelihood of, and risks associated with data breach litigation. Further, the CPRA generally went into effect on January 1, 2023 and significantly amends the CCPA. The CPRA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and business process changes may be required. Similar laws have passed in Virginia, Connecticut, Utah and Colorado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7"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While we do not currently have any operations outside the United States, should we have any in the future our operations abroad may also be subject to increased scrutiny or attention from data protection authorities. Activities outside the United States impose additional compliance requirements and generate additional risks of enforcement for noncompliance. In Europe, the General Data Protection Regulation, or GDPR, went into effect in May 2018 and imposes strict requirements for processing the personal data of individuals within the European Economic Area, or EEA. Companies that must comply with the GDPR face increased compliance obligations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 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United States; in July 2020, the Court of Justice of the EU, or CJEU, limited how organizations could lawfully transfer personal data from the EU/EEA to the United States by invalidating the Privacy Shield for purposes of international transfers and imposing further restrictions on the use of standard contractual clauses, or SCCs. In March 2022, the US and EU announced a new regulatory regime intended to replace the invalidated regulations; however, this new EU-US Data Privacy Framework has not been implemented beyond an executive order signed by former President Biden on October 7, 2022 on Enhancing Safeguards for United States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conduct our business, the geographical location or segregation of our relevant systems and operations, and could adversely affect our financial results.</w:t>
      </w:r>
    </w:p>
    <w:p>
      <w:pPr>
        <w:spacing w:after="0" w:line="19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Further, from January 1, 2021, companies have had to comply with the GDPR and also the United Kingdom GDPR, or UK GDPR, which, together with the amended UK Data Protection Act 2018, retains the GDPR in UK national law. The UK GDPR mirrors the fines under the GDPR, i.e., fines up to the greater of €20 million (£17.5 million) or 4% of global turnover. As we continue to expand into other foreign countries and jurisdictions, we may be subject to additional laws and regulations that may affect how we conduct business.</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Claims that we have violated individuals’ privacy rights or breached our contractual obligations, even if we are not found liable, could be expensive and time-consuming to defend and could result in adverse publicity that could harm our business.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Violations of or liabilities under environmental, health and safety laws and regulations could subject us to fines, penalties or other costs that could have a material adverse effect on the success of our business.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the handling, use, storage, treatment and disposal of hazardous materials and wastes and the cleanup of contaminated sites. Our operations involve the use of potentially hazardous and flammable materials, including chemicals and biological materials. Our operations also produce hazardous waste products. We could incur substantial costs as a result of violations of or liabilities under environmental requirements in connection with our operations or property, including fines, penalties and other sanctions, investigation and cleanup costs and third-party claims. Although we generally contract with third parties for the disposal of hazardous materials and wastes from our operations, we cannot eliminate the risk of contamination or injury from these materials. In the event of contamination or injury resulting from our use of hazardous materials, we could be held liable for any resulting damages, and any liability could exceed our resources.</w:t>
      </w:r>
    </w:p>
    <w:p>
      <w:pPr>
        <w:spacing w:after="0" w:line="192"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Furthermore, environmental laws and regulations are complex, change frequently and have tended to become more stringent. We cannot predict the impact of changes to applicable laws and regulations and cannot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be certain of our future compliance. In addition, we may incur substantial costs in order to comply with current or future environmental, health and safety laws and regulations.</w:t>
      </w:r>
    </w:p>
    <w:p>
      <w:pPr>
        <w:spacing w:after="0" w:line="162" w:lineRule="exact"/>
        <w:rPr>
          <w:sz w:val="20"/>
          <w:szCs w:val="20"/>
          <w:color w:val="auto"/>
        </w:rPr>
      </w:pPr>
    </w:p>
    <w:p>
      <w:pPr>
        <w:jc w:val="both"/>
        <w:ind w:left="120" w:right="620" w:firstLine="440"/>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Insurance policies are expensive and protect us only from some business risks, which leaves us exposed to uninsured liabilities.</w:t>
      </w:r>
    </w:p>
    <w:p>
      <w:pPr>
        <w:spacing w:after="0" w:line="121"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Some of the insurance policies we currently maintain include general liability, employment practices liability, workers’ compensation, umbrella, and directors’ and officers’ liability insurance. These policies may not adequately cover all categories of risk that our business may encounter.</w:t>
      </w:r>
    </w:p>
    <w:p>
      <w:pPr>
        <w:spacing w:after="0" w:line="14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Insurance coverage may become more expensive over time and in the future we may not be able to maintain insurance coverage at a reasonable cost or in sufficient amounts to protect us against certain losses. We do not currently maintain product liability insurance. A successful product liability claim or series of claims brought against us could cause our share price to decline and, if judgments exceed our insurance coverage, could adversely affect our results of operations and business, including preventing or limiting the development and commercialization of any product candidates we develop. We also do not carry specific biological or hazardous waste insurance coverage, and our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19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know if we will be able to maintain existing insurance with adequate levels of coverage. Any significant uninsured liability may require us to pay substantial amounts, which would adversely affect our cash position and results of operations.</w:t>
      </w:r>
    </w:p>
    <w:p>
      <w:pPr>
        <w:spacing w:after="0" w:line="266"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consultants, vendors, and any third parties we may engage in connection with development and commercialization may engage in misconduct or other improper activities, including noncompliance with regulatory standards and requirements, which could harm our business.</w:t>
      </w:r>
    </w:p>
    <w:p>
      <w:pPr>
        <w:spacing w:after="0" w:line="6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Misconduct by our employees and independent contractors, including consultants, vendors, and any third parties we may engage in connection with development and commercialization, could include intentional, reckless or negligent conduct or unauthorized activities that violate: (i) the laws and regulations of the FDA and other comparable regulatory authorities, including those laws that require the reporting of true, complete and accurate information to such authorities; (ii) manufacturing standards; (iii) data privacy, security, fraud and abuse and other healthcare laws and regulations; or</w:t>
      </w:r>
    </w:p>
    <w:p>
      <w:pPr>
        <w:spacing w:after="0" w:line="3" w:lineRule="exact"/>
        <w:rPr>
          <w:sz w:val="20"/>
          <w:szCs w:val="20"/>
          <w:color w:val="auto"/>
        </w:rPr>
      </w:pPr>
    </w:p>
    <w:p>
      <w:pPr>
        <w:ind w:left="120" w:right="80" w:hanging="4"/>
        <w:spacing w:after="0" w:line="251" w:lineRule="auto"/>
        <w:tabs>
          <w:tab w:leader="none" w:pos="42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91"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Natural disasters could severely disrupt our operations and have a material adverse effect on our business, results of operations, financial condition and prospects. If a natural disaster, power outage, public health emergency, such as the novel coronavirus,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is subject to certain limitations.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 general, under Section 382 of the Code, a corporation that undergoes an “ownership change,” generally defined as a greater than 50% change by value in its equity ownership over a three-year period, is subject to limitations on its ability to utilize its pre change tax attributes (net operating losses, or NOLs, and research and development tax credits) to offset future taxable income. Our existing tax attributes are subject to limitations arising from ownership changes that we have undergone in the past.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tax treatment of both the issuance of, and the CVRs themselves, is uncertain.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There is no authority directly on point addressing the U.S. federal income tax treatment of the issuance of the contingent value rights. While in form, the CVRs are issued to Galera U.S. holders by Galera by means of an in-kind distribution in respect to each outstanding share of Galera common stock, Galera intends to treat the issuance of the CVRs consistent with the substance of the overall transaction, as additional consideration paid with respect to such Galera common stock in connection with the Galera merger.</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Similarly, there is no authority directly on point addressing the U.S. federal income tax treatment of contingent value rights with characteristics similar to the CVRs. Galera intends to treat the CVRs as a distribution of property with respect to its stock. However, it is possible that the issuance may be treated as a distribution of equity with respect to its stock, as an “open transaction,” or as a “debt instrument” for U.S. federal income tax purposes, and such questions are inherently factual in nature. For more information regarding the U.S. federal income tax consequences of the CVRs, see the section entitled “</w:t>
      </w:r>
      <w:r>
        <w:rPr>
          <w:rFonts w:ascii="Times New Roman" w:cs="Times New Roman" w:eastAsia="Times New Roman" w:hAnsi="Times New Roman"/>
          <w:sz w:val="18"/>
          <w:szCs w:val="18"/>
          <w:i w:val="1"/>
          <w:iCs w:val="1"/>
          <w:color w:val="auto"/>
        </w:rPr>
        <w:t>Material U.S. Federal Income Tax Consequences of the Receipt of CVRs</w:t>
      </w:r>
      <w:r>
        <w:rPr>
          <w:rFonts w:ascii="Times New Roman" w:cs="Times New Roman" w:eastAsia="Times New Roman" w:hAnsi="Times New Roman"/>
          <w:sz w:val="18"/>
          <w:szCs w:val="18"/>
          <w:color w:val="auto"/>
        </w:rPr>
        <w:t>” beginning on page 180 of this information statement/prospectus.</w:t>
      </w:r>
    </w:p>
    <w:p>
      <w:pPr>
        <w:spacing w:after="0" w:line="291"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Galera merger and the Obsidian merger, taken together, do not qualify as a transaction described in Section 351 of the Code (or, in the case of the Galera stockholders, if the Galera merger, by itself, does not qualify as a reorganization within the meaning of Section 368(a) of the Code), Galera stockholders may recognize substantial taxable gain as a result of the mergers, and may be required to pay substantial additional U.S. federal income taxes, in the taxable year in which the transactions occur.</w:t>
      </w:r>
    </w:p>
    <w:p>
      <w:pPr>
        <w:spacing w:after="0" w:line="7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Galera merger and the Obsidian merger, taken together, are intended to qualify as a transaction described in Section 351 of the Code. The Galera merger, by itself, is intended to qualify as a reorganization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within the meaning of Section 368(a) of the Code. The positions of Galera and Obsidian are not binding on the IRS or the courts, and the parties do not intend to request a ruling from the IRS with respect to the transactions described in the merger agreement. Accordingly, there can be no assurance that the IRS will not challenge the qualification of the Galera merger and the Obsidian merger taken together, as a transaction described in Section 351 of the Code or that a court will not sustain such a challenge. If the IRS were to be successful in any such contention, or if for any other reason the Galera merger and the Obsidian merger, taken together, were not treated as a transaction described in Section 351 of the Code (and if the Galera merger did not qualify as a reorganization within the meaning of Section 368(a) of the Code), then the Galera stockholders would not be entitled to defer any portion of the gain realized as a result of receiving shares of Parent common stock in the transactions and may be required to pay substantial additional U.S. federal income taxes with respect to the taxable year in which such transactions occur.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Obsidian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“our” and the “Company” refer to Obsidian.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Need for Additional Capital and Manufacturing and Commercialization Efforts</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and have incurred significant financial losses since our inception and anticipate that we will continue to incur significant financial losses for the foreseeable future. We may never achieve or maintain profitability.</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with a limited operating history and have incurred losses since our inception. We were formed in September 2015, and our operations to date have been limited to pre-commercial activities. We have not yet demonstrated an ability to generate revenue, obtain regulatory approvals, manufacture any product on a commercial scale or arrange for a third party to do so on our behalf, or conduct sales and marketing activities necessary for successful product commercialization. We will encounter risks and difficulties frequently experienced by clinical-stage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have no products approved for commercial sale and have not generated any revenue from product sales to date. We will continue to incur significant research and development and other expenses related to our preclinical and clinical development and ongoing operations. As a result, we are not profitable and have incurred losses in each period since our inception. Net losses and negative cash flows have had, and will continue to have, an adverse effect on our stockholders’ equity and working capital. Our net losses totaled $100.6 million and $83.1 million for the years ended December 31, 2025 and 2024, respectively. As of December 31, 2025, we have not yet generated revenues. We expect to continue to incur significant losses for the foreseeable future, and we expect these losses to increase as we continue our research and development of, and seek regulatory approvals for, our product candidate.</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131"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product candidate through clinical development, including conducting our ongoing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 or any future product candidates that successfully complete clinical trials;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clinical and preclinical development, manufacturing and commercialization efforts;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pre-commercial or commercial activities to establish sales, marketing, and distribution capabilities;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any future product candidates into clinical development;</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acquire, and develop additional product candidates, including through business development efforts to invest in or in-license other technologies or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or other payments due under our license and collaboration agreements and any future license, collaboration or other agreements;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royalty, interest, or other payments due under any future financing or other arrangements with third parties;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sales, marketing, distribution, manufacturing, supply chain and other commercial infrastructure in the future to commercialize any product candidates for which we may obtain regulatory approval;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equipment and physical infrastructure to support our research and development.</w:t>
      </w:r>
    </w:p>
    <w:p>
      <w:pPr>
        <w:spacing w:after="0" w:line="225"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Biopharmaceutical product development entails substantial up-front capital expenditures and significant risk that any potential product candidate will fail to demonstrate adequate efficacy or an acceptable safety profile, gain regulatory approval, secure market access and reimbursement, or become commercially viable, and therefore any investment in us is highly speculative. Accordingly, before making an investment in us, you should consider our prospects, factoring in the costs, uncertainties, delays, and difficulties frequently encountered by companies in clinical development, especially clinical-stage biopharmaceutical companies such as ours. Any predictions you make about our future success or viability may not be as accurate as they would otherwise be if we had a longer operating history or a history of successfully developing and commercializing biopharmaceutical products. We may encounter unforeseen expenses, difficulties, complications, delays, and other known or unknown factors in achieving our business objectives.</w:t>
      </w:r>
    </w:p>
    <w:p>
      <w:pPr>
        <w:spacing w:after="0" w:line="18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Additionally, our expenses could increase beyond our expectations if we are required by the FDA, the European Medicines Agency (the “EMA”), or other comparable regulatory authorities to perform clinical trials in addition to those that we currently expect, or if there are any delays in establishing appropriate manufacturing arrangements for or in completing our clinical trials or the development of our product candidate or any future product candidates.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regarding our ability to continue as a going concern.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its report on our consolidated financial statements for the year ended December 31, 2025, our independent registered public accounting firm included an explanatory paragraph that expressed substantial doubt about our ability to continue as a going concern. Our current cash level and current operating plans raise substantial doubt about our ability to continue as a going concern. In addition, our future consolidated financial statements may include similar qualifications about our ability to continue as a going concern. Our consolidated financial statements were prepared assuming that we will continue as a going concern and do not include any adjustments that may result from the outcome of this uncertainty. If we are unable to meet our current operating costs, we will need to seek additional financing or modify or cease our operational plans.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the mergers and concurrent financing are successful, we will require additional funding in order to finance operations. If we are unable to raise capital when needed, or on acceptable terms, we could be forced to delay, reduce, or eliminate our product development programs or commercialization efforts.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Developing biopharmaceutical products, including conducting preclinical studies and clinical trials, is a very time-consuming, expensive, and uncertain process that takes years to complete. We expect our expenses to continue to increase in connection with our ongoing activities, particularly as we conduct clinical trials of, and seek regulatory and marketing approval for, our product candidate. Even if our current or future product candidates are approved for commercial sale, we anticipate incurring significant costs associated with commercializing any approved product candidate. To date, we have funded our operations principally through private financings. We expect our expenses to increase in connection with our ongoing activities, particularly as we continue the clinical and preclinical development of our product candidate, commence additional preclinical studies and clinical trials, and continue to identify and develop additional product candidates either through internal development or through acquisitions or in-licensing product candidates.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December 31, 2025, we had $80.5 million of cash, cash equivalents, and marketable securities. Based upon our current operating plan, we believe that our existing cash, cash equivalents, and marketable securities, together with the estimated net proceeds from the mergers and concurrent financing, will enable us to fund our operating expenses and capital expenditure requirements into the third quarter of 2026. We have based this estimate on assumptions that may prove to be wrong, and we could utilize our available capital resources sooner than we expect. We may also raise additional financing on an opportunistic basis in the future. For example,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 Our future capital requirements will depend on many factors, including but not limited to:</w:t>
      </w:r>
    </w:p>
    <w:p>
      <w:pPr>
        <w:spacing w:after="0" w:line="97" w:lineRule="exact"/>
        <w:rPr>
          <w:sz w:val="20"/>
          <w:szCs w:val="20"/>
          <w:color w:val="auto"/>
        </w:rPr>
      </w:pPr>
    </w:p>
    <w:p>
      <w:pPr>
        <w:ind w:left="1080" w:right="3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costs, and results of discovery, preclinical development, and clinical trials for our current or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trials required for regulatory approval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current or any future product candidates;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acquiring or licensing additional product candidates, technologies, or assets, including the timing and amount of any milestones, royalties, or other payments due in connection with our acquisitions and licenses;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our current or future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approach at identifying target patient populations and utilizing our approach to enrich our patient population in our clinical trials;</w:t>
      </w:r>
    </w:p>
    <w:p>
      <w:pPr>
        <w:spacing w:after="0" w:line="67" w:lineRule="exact"/>
        <w:rPr>
          <w:rFonts w:ascii="Times New Roman" w:cs="Times New Roman" w:eastAsia="Times New Roman" w:hAnsi="Times New Roman"/>
          <w:sz w:val="18"/>
          <w:szCs w:val="18"/>
          <w:color w:val="auto"/>
        </w:rPr>
      </w:pPr>
    </w:p>
    <w:p>
      <w:pPr>
        <w:ind w:left="1080" w:right="480" w:hanging="424"/>
        <w:spacing w:after="0" w:line="312" w:lineRule="auto"/>
        <w:tabs>
          <w:tab w:leader="none" w:pos="10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existing, and establish new, strategic collaborations or other arrangements and the financial terms of any such agreements, including the timing and amount of any future milestone, royalty, or other payments due under any such agreement;</w:t>
      </w:r>
    </w:p>
    <w:p>
      <w:pPr>
        <w:spacing w:after="0" w:line="45" w:lineRule="exact"/>
        <w:rPr>
          <w:rFonts w:ascii="Times New Roman" w:cs="Times New Roman" w:eastAsia="Times New Roman" w:hAnsi="Times New Roman"/>
          <w:sz w:val="17"/>
          <w:szCs w:val="17"/>
          <w:color w:val="auto"/>
        </w:rPr>
      </w:pPr>
    </w:p>
    <w:p>
      <w:pPr>
        <w:ind w:left="1080" w:right="30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our product candidate or any future product candidates for which we receive marketing approval;</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 or any future product candidates for which we receive marketing approval;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to attract, hire, and retain skilled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 commercially viable pricing structure and obtain approval for coverage and adequate reimbursement from third-party and government payors;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trends including inflation, tariffs, and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potential supply chain interruptions or delays;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 products, and technologies.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and development of product candidates, we are unable to predict the timing or amount of our working capital requirements. In addition, if we obtain regulatory approval for our product candidate, we expect to incur significant commercialization expenses related to product manufacturing, marketing, sales, and distribution which make it difficult to predict when or if we will be able to achieve or maintain profitability. Furthermore, upon the completion of the mergers and concurrent financing, we expect to incur additional costs associated with operating as a public company. Accordingly, we will need to obtain substantial additional funding in order to support our continuing operations. Our ability to raise additional funds will depend on financial, economic, political, and market conditions and other factors, over which we may have no or limited control. Additional funds may not be available when we need them, on terms that are acceptable to us, or at all. If we fail to obtain necessary capital when needed on acceptable terms, or at all, it could force us to delay, limit, reduce, or terminate our product development programs, future commercialization efforts, or other operations.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product candidate.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with our existing cash, cash equivalents, and marketable securities, the net proceeds from the mergers and concurrent financing, any future equity or debt financings, and upfront and milestone and royalties payments, if any, received under any future licenses or collaborations. If we raise additional capital through the sale of equity or convertible debt securities, or issue any equity or convertible debt securities in connection with a collaboration agreement or other contractual arrangement, your ownership interest will be diluted, and the terms of these securities may include liquidation or other preferences that adversely affect your rights as a holder of our common stock. In addition, the possibility of such issuance may cause the market price of our common stock to decline. Debt financing, if available, may result in increased fixed payment obligations and involve agreements that include covenants limiting or restricting our ability to take specific actions, such as incurring additional debt, making capital expenditures, declaring dividends, or acquiring, selling, or licensing intellectual property rights or assets, which could adversely impact our ability to conduct our business. If we raise additional funds through collaborations, strategic alliances, or marketing, distribution, or licensing arrangements with third parties, we may have to relinquish valuable rights to our intellectual property, technologies, future revenue streams, or product candidates or grant licenses on terms that may not be favorable to us. We could also be required to seek funds through arrangements with collaborators or others at an earlier stage than otherwise would be desirable. Any of these occurrences may have a material adverse effect on our business, operating results and prospects.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regulations governing financial institutions are beyond our control and difficult to predict; consequently, the impact of such changes on our business and results of operations is difficult to predict and may have an adverse effect on us.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 and Industry</w:t>
      </w:r>
    </w:p>
    <w:p>
      <w:pPr>
        <w:spacing w:after="0" w:line="11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highly dependent on the success of our product candidate, OBX-115. If we are unable to successfully complete clinical development, obtain regulatory approval for or commercialize our product candidate, or if we experience delays in doing so, our business will be materially harmed.</w:t>
      </w:r>
    </w:p>
    <w:p>
      <w:pPr>
        <w:spacing w:after="0" w:line="6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To date, as an organization, we have not completed the development of any product candidates and our current product candidate remains in clinical development. Our future success and ability to generate revenue from our product candidate is dependent on our ability to successfully develop, obtain regulatory approval for, and commercialize our product candidate or any future product candidate. Our product candidate and any future product candidates will require substantial additional investment for clinical development, regulatory review, and approval in one or more jurisdictions. If our product candidate or any future product candidates encounter safety or efficacy problems, development delays or regulatory issues or other problems, our development plans and business would be materially harmed.</w:t>
      </w:r>
    </w:p>
    <w:p>
      <w:pPr>
        <w:spacing w:after="0" w:line="187"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may not have the financial resources to continue development of our product candidate if we experience any issues that delay or prevent regulatory approval of, or our ability to commercialize, our product candidate, including:</w:t>
      </w:r>
    </w:p>
    <w:p>
      <w:pPr>
        <w:spacing w:after="0" w:line="67" w:lineRule="exact"/>
        <w:rPr>
          <w:sz w:val="20"/>
          <w:szCs w:val="20"/>
          <w:color w:val="auto"/>
        </w:rPr>
      </w:pPr>
    </w:p>
    <w:p>
      <w:pPr>
        <w:ind w:left="1080" w:right="24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EMA, or other comparable regulatory authorities that our product candidate is safe and effective for one or more intended uses;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financial and other resources to complete the necessary clinical trials and preclinical studies;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clinical trials, preclinical studies, or the clinical trials of others for product candidates similar to ours, leading to a decision or requirement to conduct additional clinical trials or preclinical studies or abandon a program;</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experienced by subjects in our clinical trials, including unexpected toxicity results, or by individuals using drugs or therapeutic biologics similar to our product candidate;</w:t>
      </w:r>
    </w:p>
    <w:p>
      <w:pPr>
        <w:spacing w:after="0" w:line="67" w:lineRule="exact"/>
        <w:rPr>
          <w:rFonts w:ascii="Times New Roman" w:cs="Times New Roman" w:eastAsia="Times New Roman" w:hAnsi="Times New Roman"/>
          <w:sz w:val="18"/>
          <w:szCs w:val="18"/>
          <w:color w:val="auto"/>
        </w:rPr>
      </w:pPr>
    </w:p>
    <w:p>
      <w:pPr>
        <w:ind w:left="1080" w:right="40" w:hanging="424"/>
        <w:spacing w:after="0" w:line="258"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an Investigational New Drug application (“IND”), or other regulatory submission to the FDA, EMA, or other comparable regulatory authorities, or delays or failure in obtaining the necessary approvals from regulators to commence a clinical trial or a suspension, termination, or hold, of a clinical trial once commenced, including any delays caused by prolonged government shutdowns, inadequate funding, loss of employees, changes in regulations, leadership, or policies by a new administration or other disruptions of regulatory authorities;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the EMA, or other comparable regulatory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effectiveness of our product candidate during clinical trials;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than expected performance of control arms, such as placebo groups, which could lead to negative or inconclusive results from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or enrolling subjects in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subjects from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our product candidate or other materials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anticipated clinical trial or manufacturing costs;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5"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EMA, or other comparable regulatory authority inspections and review of our clinical trial sites;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the clinical trial protocol or otherwise to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leadership, and guidelines, including the imposition of additional regulatory oversight around clinical testing generally or with respect to our investigational therapies in particular;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interpretations of data by the FDA, EMA, and other comparable regulatory authorities.</w:t>
      </w:r>
    </w:p>
    <w:p>
      <w:pPr>
        <w:spacing w:after="0" w:line="329"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5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Our current or future product candidates may face competition from major pharmaceutical companies, specialty pharmaceutical companies, universities, and other research institutions and from products and therapies that currently exist or are being developed, some of which products and therapies we may not currently know about.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and they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cell therapies or to in-license novel cell therapies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FDA or other regulatory approval or discovering, developing, and commercializing products in our field before we do, which could result in our competitors establishing a strong market position before we are able to enter the market.</w:t>
      </w:r>
    </w:p>
    <w:p>
      <w:pPr>
        <w:spacing w:after="0" w:line="19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Our competitors may obtain FDA or other regulatory approval of their product candidates more rapidly than we may or may obtain patent protection or other intellectual property rights that limit our ability to develop or commercialize our product candidates or platform technologies. Our competitors may also develop cell therapies or other platform technologies that are more effective, more convenient, more widely used, or less costly than our product candidate or, in the case of drugs, have a better safety profile than our product candidate. These competitors may also be more successful than us in manufacturing and marketing their products and have significantly greater financial resources and expertise in research and development.</w:t>
      </w:r>
    </w:p>
    <w:p>
      <w:pPr>
        <w:spacing w:after="0" w:line="187"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There are a large number of companies developing or marketing treatments for cancer, including many major pharmaceutical and biotechnology companies. We may compete with other cell therapy or immunotherapy companies such as Iovance Biotherapeutics Inc., AbelZeta Inc., Biosyngen Pte Ltd, GRIT Biotechnology Co., Ltd., Shanghai Juncell Therapeutics Co., Ltd., Immatics N.V., Immunocore Holdings plc, Intima Bioscience, Inc., KSQ Therapeutics, Inc., Marker Therapeutics, Inc., TILT Biotherapeutics Ltd, and others. In addition, numerous compounds are in clinical development for cancer treatment. Many of these companies are well-capitalized and have significant clinical experience.</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These third parties compete with us in recruiting and retaining qualified scientific and management personnel, establishing clinical trial sites and patient registration for clinical trials, as well as in acquiring technologies complementary to, or necessary for, our current and any future product candidates.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40"/>
          </w:cols>
          <w:pgMar w:left="320" w:top="455"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Universities and public and private research institutions in the United States and Europe are also potential competitors. For example, a Phase 3 M14TIL clinical trial comparing TIL to standard ipilimumab in patients with metastatic melanoma is currently being conducted in Europe by the Netherlands Cancer Institute, the Copenhagen County Herlev University Hospital, and the University of Manchester. Results from the M14TIL clinical trial were presented at the European Society for Medical Oncology Congress in September 2022. In patients with advance melanoma, progression-free survival was significantly longer among those who received TIL cell therapy than among those who received ipilimumab. While these universities and public and private research institutions primarily have educational objectives, they may develop proprietary technologies that lead to other FDA approved therapies or that secure patent protection that we may need for the development of our technologies and products.</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side effects, are more convenient, have a broader label, are marketed more effectively, are reimbursed, or are less expensive than any products that we may develop. Even if our product candidates achieve marketing approval, they may be priced at a significant premium over competitive products if any, which have been approved by then, resulting in reduced competitiveness. If we do not compete successfully, we may not generate or derive sufficient revenue from any product candidate for which we obtain marketing approval and may not become and remain profitable.</w:t>
      </w:r>
    </w:p>
    <w:p>
      <w:pPr>
        <w:spacing w:after="0" w:line="291"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be more profitable or for which there is a greater likelihood of success.</w:t>
      </w:r>
    </w:p>
    <w:p>
      <w:pPr>
        <w:spacing w:after="0" w:line="6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lead product candidate, OBX-115, is currently in Phase 2 clinical development for the treatment of advanced melanoma and is currently in Phase 1 clinical development for the treatment of non-small cell lung cancer (“NSCLC”), and our other product candidates and programs are at various stages of preclinical development. We seek to develop engineered TIL cell therapies for the treatment of patients with solid tumors.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Due to the significant resources required for the development of OBX-115,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Similarly, our decisions to delay, terminate, or collaborate with third parties in respect of certain product development programs may also prove not to be optimal and could cause us to miss valuable opportunities. If we make incorrect determinations regarding the viability or market potential of our current or future product candidates or misread trends in the pharmaceutical industry,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96"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seek to grow our business through acquisitions or investments in new or complementary businesses, products, or technologies, through the licensing of products or technologies from third parties or other strategic alliances. The failure to manage acquisitions, investments, licenses, or other strategic alliances, or the failure to integrate them with our existing business, could have a material adverse effect on our operating results, dilute our stockholders’ ownership, increase our debt, or cause us to incur significant expense.</w:t>
      </w:r>
    </w:p>
    <w:p>
      <w:pPr>
        <w:spacing w:after="0" w:line="7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success depends on our ability to continually enhance and broaden our product offerings in response to changing clinician and patients’ needs, competitive technologies, and market pressures. Accordingly, from time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58" w:lineRule="auto"/>
        <w:rPr>
          <w:sz w:val="20"/>
          <w:szCs w:val="20"/>
          <w:color w:val="auto"/>
        </w:rPr>
      </w:pPr>
      <w:r>
        <w:rPr>
          <w:rFonts w:ascii="Times New Roman" w:cs="Times New Roman" w:eastAsia="Times New Roman" w:hAnsi="Times New Roman"/>
          <w:sz w:val="18"/>
          <w:szCs w:val="18"/>
          <w:color w:val="auto"/>
        </w:rPr>
        <w:t>to time we may consider opportunities to acquire, make investments in, or license other technologies, products, and businesses that may enhance our capabilities, complement our existing products and technologies, or expand the breadth of our markets or customer base. Potential and completed acquisitions, strategic investments, licenses, and other alliances involve numerous risks, including difficulty integrating acquired or licensed technologies, products, employees, or business operations, unanticipated costs associated with acquisitions or strategic alliances, and diversion of management’s attention from our core business and disruption of ongoing operations.</w:t>
      </w:r>
    </w:p>
    <w:p>
      <w:pPr>
        <w:spacing w:after="0" w:line="183"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We do not know if we will be able to identify acquisitions or strategic relationships we deem suitable, whether we will be able to successfully complete any such transactions on favorable terms, if at all. Our ability to successfully grow through strategic transactions depends upon our ability to identify, negotiate, complete, and integrate suitable target businesses, technologies, or products and to obtain any necessary financing. These efforts could be expensive and time-consuming and may disrupt our ongoing business and prevent management from focusing on our operations. To finance any acquisitions, investments, or strategic alliances, we may choose to issue shares of our common stock as consideration, which could dilute the ownership of our stockholders. Additional funds may not be available on terms that are favorable to us, or at all.</w:t>
      </w:r>
    </w:p>
    <w:p>
      <w:pPr>
        <w:spacing w:after="0" w:line="291"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including CDMOs and CROs, and vendors may engage in misconduct or other improper activities, including noncompliance with regulatory standards and requirements.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illegal activity by our current and any future employees, independent contractors, consultants, CDMOs, and vendors including but not limited to CROs. Misconduct by these parties could include intentional, unintentional, reckless, and/or negligent conduct that fails to comply with FDA or other comparable regulations, provide true, complete and accurate information to the FDA and other comparable regulatory authorities, comply with manufacturing standards we may establish, comply with healthcare fraud and abuse laws and regulations, report financial information or data accurately, or disclose unauthorized activities to us. If we obtain FDA approval of our product candidate or any future product candidates and begin commercializing those products in the United States, our potential exposure under these laws will increase significantly, and our costs associated with compliance with these laws are likely to increase. Employee misconduct could also involve the improper use of information obtained in the course of clinical trials, which could result in regulatory sanctions and serious harm to our reputation. Additionally, we are subject to the risk that a person could allege such fraud or other misconduct, even if none occurred.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and adverse effect on our business, financial condition, results of operations, and prospects.</w:t>
      </w:r>
    </w:p>
    <w:p>
      <w:pPr>
        <w:spacing w:after="0" w:line="291"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our collaborators, and our service providers are subject to a variety of privacy and data security laws, regulations, and contractual obligations, which may require us to incur substantial compliance costs, and any failure or perceived failure by us to comply with them could expose us to significant fines and other penalties and otherwise harm our business and operations.</w:t>
      </w:r>
    </w:p>
    <w:p>
      <w:pPr>
        <w:spacing w:after="0" w:line="6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legislative and regulatory framework for the collection, use, safeguarding, sharing, transfer, and other processing of personal information worldwide is rapidly evolving and is likely to remain uncertain for the foreseeable future. Globally, numerous jurisdictions, including those in which we operate or collect personal information, have established their own data security and privacy frameworks with which we must comply. In the United States, numerous federal and state laws and regulations, including federal health information privacy laws, state information security and data breach notification laws, state health information privacy laws, and federal and state consumer protection laws (e.g., Section 5 of the Federal Trade Commission Act), that govern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collection, use, disclosure, and protection of health-related and other personal information, could apply to our operations or the operations of our collaborators and service providers. In particular, regulations promulgated pursuant to the Health Insurance Portability and Accountability Act (“HIPAA”), establish privacy and security standards that limit the use and disclosure of individually identifiable health information, or protected health information, and impose requirements regarding the privacy and security of individually identifiable health information, including mandatory contractual terms, for covered entities, or certain healthcare providers, health plans and healthcare clearinghouses, and their business associates that provide services to the covered entity that involve individually identifiable health information and their subcontractors that use, disclose or otherwise process individually identifiable health information. While pharmaceutical and biotechnology companies are typically not directly regulated by HIPAA, our business may be indirectly impacted by HIPAA in our interactions with providers, payors, and others that have HIPAA compliance obligations. If we are unable to properly protect the privacy and security of protected health information, we could be found to have violated these privacy and security laws and/or breached certain contracts. Further, if we fail to comply with applicable privacy laws, including applicable HIPAA privacy and security standards, we could face significant civil and criminal penalties. U.S. Department of Health &amp; Human Services (“HHS”), enforcement activity can result in financial liability and reputational harm, and responses to such enforcement activity can consume significant internal resources.</w:t>
      </w:r>
    </w:p>
    <w:p>
      <w:pPr>
        <w:spacing w:after="0" w:line="19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At the state level, numerous states have or are in the process of enacting or considering comprehensive data privacy and security laws, rules, and regulations while other states have focused on more narrow aspects of privacy.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the state of Washington, for example, the My Health My Data Act, which has a private right of action that further increases the relevant compliance risk, requires regulated entities to obtain consent to collect health-related information and grants consumers certain rights, including to request deletion of their information. Connecticut and Nevada have also passed similar laws regulating consumer health data. In addition, other states have proposed and/or passed legislation that regulates the privacy and/or security of certain specific types of information. For example, a small number of states, such as Illinois and Texas, have passed laws that regulate biometric data specifically. Although many of the existing state privacy laws exempt clinical trial information and health information governed as “protected health information” by HIPAA, future privacy and data protection laws may be broader in scope. Taken together, these state and federal laws may be subject to varying interpretations by the courts and government agencies and are subject to frequent change. Further, these varying interpretations could create complex compliance issues for us and our partners and potentially expose us to additional expense, liability, penalties, negatively impact our business, and lead to adverse publicity, and all of these risks could adversely affect our business in the short and long term. In addition, contractual obligations and in the future, legislation may limit, forbid or regulate the use or transmission of health information outside of the United States or across other national borders, which could make reliance on non-U.S. resources for work related to such processing personal information impracticable or substantially more expensive.</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Any failure or perceived failure by us to comply with any applicable federal, state or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55"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injunctions, penalties or judgments. Any of the foregoing could have a material adverse effect on our business, financial condition, results of operations and prospects.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the value of our technology and products could be adversely affected.</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and/or confidential know-how, unpatented know-how, and/or other proprietary information. We may rely on other proprietary rights, including protection of trade secrets, confidential know-how, unpatented know-how, and/or other proprietary information to protect our technology, especially where patent protection is believed to be of limited value. However, trade secrets and/or confidential know-how can be difficult to maintain as confidential.</w:t>
      </w:r>
    </w:p>
    <w:p>
      <w:pPr>
        <w:spacing w:after="0" w:line="18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To maintain the confidentiality of this type of information, it is our policy to enter into confidentiality agreements with our employees, consultants, advisors, collaborators, contractors (including CDMOs and CROs) and others upon the commencement of their relationships with us. These agreements require that all confidential information developed by the individual(s) or made known to the individual by us during the course of the individual’s relationship or work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and/or individuals with whom we have these agreements may not comply with their terms, intentionally or unintentionally. Thus, despite such agreements,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contractors, or others use technology or know-how owned by third parties in their work for us, disputes may arise between us and those third parties as to the rights in related inventions. To the extent that an individual who is not obligated to assign rights in intellectual property to us or a current or future licensor is rightfully an inventor of intellectual property, we may need to obtain an assignment or a license to that intellectual property from that individual, or a third party, or from that individual’s assignee. Such assignment or license may not be available at all or on commercially reasonable terms. The disclosure of our trade secrets could impair our competitive position and may materially harm our business, financial condition, and results of operations.</w:t>
      </w:r>
    </w:p>
    <w:p>
      <w:pPr>
        <w:spacing w:after="0" w:line="19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Enforcing a claim that a third party illegally obtained our trade secrets and/or confidential know-how and is using these is expensive, time consuming, and unpredictable. The enforceability of confidentiality agreements and theft of trade secret claims may vary from jurisdiction to jurisdiction. Additionally, if the steps taken to maintain our trade secrets are deemed inadequate, we may have insufficient recourse against third parties for misappropriating the trade secret. As such, adequate remedies may not exist in the event of unauthorized use or disclosure of our proprietary information.</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others may independently discover or develop our trade secrets and proprietary information, and the existence of our own trade secrets afford no protection against such independent discovery. Such persons may even apply for patent protection in respect of the same. If successful in obtaining such patent protection, such persons could limit our use of our trade secrets and/or confidential know-how. Under certain circumstances and to guarantee our freedom to operate, we may also decide to publish some know-how to prevent others from obtaining patent rights covering such know-how.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Discovery and Development of Our Current or Future Product Candidates</w:t>
      </w:r>
    </w:p>
    <w:p>
      <w:pPr>
        <w:spacing w:after="0" w:line="117"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our ability to advance our current and future product candidates through clinical trials, obtain marketing approval, and ultimately commercialize them.</w:t>
      </w:r>
    </w:p>
    <w:p>
      <w:pPr>
        <w:spacing w:after="0" w:line="5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Our ability to generate product revenues, which we do not expect will occur for several years, if ever, will depend heavily on the successful development and eventual regulatory approval and commercialization of our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current product candidate or future product candidates we develop, which may never occur. Our current product candidate and any future product candidates we develop will require significant preclinical or clinical development, management of clinical, preclinical, and manufacturing activities, efforts toward obtaining marketing approval in the United States and other jurisdictions, and if approved, demonstration of effectiveness to pricing and reimbursement authorities, sufficient manufacturing supply for both preclinical and clinical development and, if approved, for commercial production, as well as investments to build a commercial organization, and substantial investment and significant marketing efforts before we generate any revenues from product sales.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clinical and commercial success of our current and future product candidates will depend on several factors, including the following:</w:t>
      </w:r>
    </w:p>
    <w:p>
      <w:pPr>
        <w:spacing w:after="0" w:line="13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successful completion of our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successfully submit amendments to existing INDs or new INDs with the FDA for our current and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preclinical studies for current or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subjects in, and completion of clinical trials;</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data from our clinical program that supports an acceptable risk-benefit profile of our product candidate in the intended patient populations;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on a timely and cost-efficient manner;</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comparable foreign regulatory authorities to conduct additional clinical trials or other studies beyond those planned or anticipated to support approval of our lead product candidate OBX-115;</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proposed indications and the primary endpoint assessments evaluated in the clinical trials of our product candidate by the FDA and comparable foreign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and maintenance of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launching commercial distribution and sales of our product candidate,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into collaborations to further the development of our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uses of our product candidate, if approved, by patients, the medical community, and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tolerability, and efficacy profile of the product candidates following approval;</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any post-approval requirements imposed on our products, such as post-marketing studies, a REMS, or additional requirements that might limit the promotion, advertising, distribution, or sales of our products or make the products cost prohibitive;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effectively with other therapies;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 from third-party payors;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These factors, many of which are beyond our control, could cause us to fall behind our competitors, experience significant delays or an inability to obtain regulatory approvals or commercialize our current or future product candidates, and could otherwise materially harm our business. Successful completion of preclinical studies and clinical trials does not mean that any other current or future product candidates we develop will receive regulatory approval. Even if regulatory approvals are obtained, we could experience significant delays or an inability to successfully commercialize our current and any future product candidates we develop, which would materially harm our business. If we are not able to generate sufficient revenue through the sale of any current or future product candidate, we may not be able to continue our business operations or achieve profitability.</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development involves a lengthy and expensive process with uncertain outcomes. We may incur additional costs and experience delays in developing and commercializing or be unable to develop or commercialize our current and future product candidates.</w:t>
      </w:r>
    </w:p>
    <w:p>
      <w:pPr>
        <w:spacing w:after="0" w:line="5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To obtain the requisite regulatory approvals to commercialize our product candidates or any future product candidates, we must demonstrate through data from extensive preclinical studies and clinical trials that our product candidate and any future product candidates are safe, pure, and potent in humans. Clinical trials are expensive and can take many years to complete, with a highly uncertain outcome. Failure can occur at any time during the clinical trial process and our current or future clinical trial results may not be successful. We may experience delays in completing our clinical trials or preclinical studies and initiating or completing additional clinical trials. We cannot be certain the ongoing and planned preclinical studies or clinical trials for our current or any other future product candidates will begin on time, not require redesign, enroll an adequate number of eligible subjects on time, or be completed on schedule, if at all. We may also experience numerous unforeseen events during our clinical trials that could delay or prevent our ability to receive marketing approval or commercialize the product candidates we develop, including:</w:t>
      </w:r>
    </w:p>
    <w:p>
      <w:pPr>
        <w:spacing w:after="0" w:line="97"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preclinical studies or clinical trials may not be predictive of results from later clinical trials of any product candidate;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Institutional Review Boards (“IRBs”), or independent ethics committees may not authorize us or our investigators to commence a clinical trial or conduct a clinical trial at a prospective trial site;</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may require us to submit additional data such as long-term toxicology studies, or impose other requirements on us, before permitting us to initiate a clinical trial;</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CROs, as the terms of these agreements can be subject to extensive negotiation and vary significantly among different CROs and trial sites;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any product candidate may fail to show safety, purity or potency, or may produce negative or inconclusive results, which may cause us to decide, or regulators to require us, to conduct additional nonclinical studies or clinical trials or which may cause us to decide to abandon product candidate development programs;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1" w:lineRule="auto"/>
        <w:tabs>
          <w:tab w:leader="none" w:pos="108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patients required for clinical trials may be larger than we anticipate, or we may have difficulty in recruiting and enrolling patients to participate in clinical trials, including as a result of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 and clinical trial subjects;</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these clinical trials may be slower than we anticipate or participants may drop out of these clinical trials or may fail to return for post-treatment follow-up at a higher rate than we anticipate;</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and other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81"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or regulators, IRBs, or ethics committees may require, that we or our investigators, suspend or terminate clinical research or trials for various reasons, including noncompliance with regulatory requirements or a finding that participants are being exposed to unacceptable health risks;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could cause undesirable side effects that could result in significant negative consequences, including the inability to enter clinical development or receive regulatory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preclinical or nonclinical testing and studies and clinical trials of any product candidates may be greater than we anticipate;</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hurdles in addressing subject safety concerns that arise during the course of a trial, causing us or our investigators, regulators, IRBs or ethics committees to suspend or terminate trials, or reports may arise from nonclinical or clinical testing of other cancer therapies that raise safety or efficacy concerns about our product candidates;</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quality, or timeliness of delivery of materials for product candidates we develop or other materials necessary to conduct clinical trials may be insufficient or inadequate; and</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change the manufacturing site and potentially the CDMO for our product candidates from those that are able to produce clinical supply for our clinical trials to those with the capacity and ability to perform commercial manufacturing and/or the production of clinical material for our later stage clinical trials.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or by the IRBs of the institutions in which such trials are being conducted, ethics committees, or the Safety Review Committee (“SRC”), the DSMB, for such trial or by the FDA, the EMA, or other regulatory authorities. Such authorities may impose a suspension or termination due to a number of factors, including failure to conduct the clinical trial in accordance with regulatory requirements or our clinical protocols, inspection of the clinical trial operations or trial site by the FDA, the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 The FDA, the EMA, or other regulatory authorities may change the expectations for approval even after they have reviewed and commented on the design for our clinical trials. Further, the FDA, the EMA, or other regulatory authorities may disagree with our clinical trial design or our interpretation of data from clinical trials. For example, we are conducting and may in the future continue to conduct “open-label” clinical trials.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because patients may be subject to a “patient bias” where they perceive their symptoms to have improved merely due to their awareness of receiving an experimental treatment. Moreover, patients selected for early clinical trials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a regulatory authority concludes that the financial relationship may have affected the interpretation of the trial results, the integrity of the data generated at the applicable clinical trial site may be questioned and the utility of the clinical trial itself may be jeopardized, which could result in the delay or rejection of any future marketing application we submit. Any such delay or rejection could prevent or delay us from commercializing our current or future product candidates.</w:t>
      </w:r>
    </w:p>
    <w:p>
      <w:pPr>
        <w:spacing w:after="0" w:line="18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completion, or termination, of any clinical trial of our lead product candidate OBX-115, the commercial prospects of our product candidate will be harmed and our ability to generate product revenues from our product candidate will be delayed. In addition, any delays in completing our clinical trials will increase our costs, slow down the development and approval process for our product candidate,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such events would impair our ability to successfully commercialize our product candidate and may harm our business and results of operations.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 or result in the development of our product candidate stopping early.</w:t>
      </w:r>
    </w:p>
    <w:p>
      <w:pPr>
        <w:spacing w:after="0" w:line="284"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Preclinical development is uncertain. Any preclinical programs we pursue may experience delays or may never advance to clinical trials, which would adversely affect our ability to obtain regulatory approvals or commercialize these programs on a timely basis or at all.</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risk of failure for product candidates still in the discovery or preclinical stage is high. In addition, any one or more of our product candidates that have not yet entered the clinic may never advance into clinical development. In order to obtain FDA approval to market a new biologic we must demonstrate proof of safety, purity, and potency, including efficacy, in humans. To meet these requirements, we will have to conduct adequate and well-controlled clinical trials. Before we can commence clinical trials for a product candidate, we must complete extensive preclinical testing and studies that support our planned clinical trials in humans.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candidates on the timelines we expect, if at all, and we cannot be sure that submission of INDs or similar applications will result in the FDA, the EMA, or other regulatory authorities allowing clinical trials to begin.</w:t>
      </w:r>
    </w:p>
    <w:p>
      <w:pPr>
        <w:spacing w:after="0" w:line="188" w:lineRule="exact"/>
        <w:rPr>
          <w:sz w:val="20"/>
          <w:szCs w:val="20"/>
          <w:color w:val="auto"/>
        </w:rPr>
      </w:pPr>
    </w:p>
    <w:p>
      <w:pPr>
        <w:jc w:val="both"/>
        <w:ind w:left="120" w:right="380" w:firstLine="440"/>
        <w:spacing w:after="0" w:line="289" w:lineRule="auto"/>
        <w:rPr>
          <w:sz w:val="20"/>
          <w:szCs w:val="20"/>
          <w:color w:val="auto"/>
        </w:rPr>
      </w:pPr>
      <w:r>
        <w:rPr>
          <w:rFonts w:ascii="Times New Roman" w:cs="Times New Roman" w:eastAsia="Times New Roman" w:hAnsi="Times New Roman"/>
          <w:sz w:val="17"/>
          <w:szCs w:val="17"/>
          <w:color w:val="auto"/>
        </w:rPr>
        <w:t>Conducting preclinical testing is a lengthy, time-consuming, and expensive process. The length of time of such testing may vary substantially according to the type, complexity, and novelty of the program, and often can be several years or more per program. The commencement and rate of completion of preclinical studies and clinical trials for a product candidate may be delayed by many factors, including but not limited to:</w:t>
      </w:r>
    </w:p>
    <w:p>
      <w:pPr>
        <w:spacing w:after="0" w:line="63" w:lineRule="exact"/>
        <w:rPr>
          <w:sz w:val="20"/>
          <w:szCs w:val="20"/>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animal studies to generate compelling toxicity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new non-animal methods for preclinical work to be accepted by regulators;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failures by third party CROs conducting the nonclinical studies on our behalf.</w:t>
      </w:r>
    </w:p>
    <w:p>
      <w:pPr>
        <w:spacing w:after="0" w:line="225" w:lineRule="exact"/>
        <w:rPr>
          <w:sz w:val="20"/>
          <w:szCs w:val="20"/>
          <w:color w:val="auto"/>
        </w:rPr>
      </w:pPr>
    </w:p>
    <w:p>
      <w:pPr>
        <w:jc w:val="center"/>
        <w:ind w:left="800" w:right="80"/>
        <w:spacing w:after="0" w:line="454" w:lineRule="auto"/>
        <w:rPr>
          <w:sz w:val="20"/>
          <w:szCs w:val="20"/>
          <w:color w:val="auto"/>
        </w:rPr>
      </w:pPr>
      <w:r>
        <w:rPr>
          <w:rFonts w:ascii="Times New Roman" w:cs="Times New Roman" w:eastAsia="Times New Roman" w:hAnsi="Times New Roman"/>
          <w:sz w:val="18"/>
          <w:szCs w:val="18"/>
          <w:color w:val="auto"/>
        </w:rPr>
        <w:t>Delays associated with programs for which we are conducting preclinical testing and studies may cause us to incur additional operating expenses. 66</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conduct clinical trials for current or future product candidates outside the United States, and the FDA and comparable foreign regulatory authorities may not accept data from such trials.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in the future conduct clinical trials for current or future product candidates outside the United States, and the FDA and comparable foreign regulatory authorities may not accept data from such trials. We are currently conducting clinical trials in the United States.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good clinical practice, or GCP, regulations and (iii)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foreign clinical trials are subject to the applicable local laws of the foreign jurisdictions where such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spacing w:after="0" w:line="291"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p>
      <w:pPr>
        <w:spacing w:after="0" w:line="51" w:lineRule="exact"/>
        <w:rPr>
          <w:sz w:val="20"/>
          <w:szCs w:val="20"/>
          <w:color w:val="auto"/>
        </w:rPr>
      </w:pPr>
    </w:p>
    <w:p>
      <w:pPr>
        <w:ind w:left="120" w:right="300" w:firstLine="440"/>
        <w:spacing w:after="0" w:line="254" w:lineRule="auto"/>
        <w:rPr>
          <w:sz w:val="20"/>
          <w:szCs w:val="20"/>
          <w:color w:val="auto"/>
        </w:rPr>
      </w:pPr>
      <w:r>
        <w:rPr>
          <w:rFonts w:ascii="Times New Roman" w:cs="Times New Roman" w:eastAsia="Times New Roman" w:hAnsi="Times New Roman"/>
          <w:sz w:val="18"/>
          <w:szCs w:val="18"/>
          <w:color w:val="auto"/>
        </w:rPr>
        <w:t>The results of preclinical studies may not be predictive of the results of clinical trials. Preclinical studies and early-stage clinical trials are primarily designed to (i) test safety, (ii) study pharmacokinetics and pharmacodynamics, and (iii) understand the side effects of product candidates at various doses and schedules, and the results of any early-stage clinical trials may not be predictive of the results of later-stage, large-scale efficacy clinical trials. In addition, initial success in clinical trials may not be indicative of results obtained when such trials are completed. There can be no assurance that any of our current or future clinical trials will ultimately be successful or support further clinical development our product candidates. There is a high failure rate for drugs and biological products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have a material adverse effect on our business and operating results.</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Even if our clinical trials are completed, the results may not be sufficient to obtain regulatory approval for our product candidates. Data obtained from preclinical and clinical activities are subject to varying interpretations, which may delay, limit, or prevent regulatory approval. In addition, the results of our preclinical studies may not be predictive of the results of outcomes in human clinical trials. For example, our current or future product candidates may demonstrate different chemical, biological, and pharmacological properties in patients than they do in laboratory studies or may interact with human biological systems in unforeseen or harmful ways. Product candidates in later stages of clinical trials may fail to show desired pharmacological properties or produce the necessary safety and efficacy results despite having progressed through preclinical studies and initial clinical trials.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preclinical studies and clinical trials that we announce or publish from time to time may change as more patient data become available and are subject to audit, validation, and verification procedures that could result in material changes in the final data.</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data, including interim, top-line, or preliminary data from our preclinical studies and clinical trials. Any interim data and results from our preclinical studies and clinical trials are subject to the risk that one or more of the clinical outcomes may materially change as patient enrollment continues and more patient data become available. We also may make assumptions, estimations, calculations and conclusions as part of our analyses of preliminary or topline data and we may not have received or had the opportunity to fully and carefully evaluate all data.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Material differences between preliminary or interim data and final data could significantly harm our business prospects and may cause the trading price of our common stock to fluctuate significantly.</w:t>
      </w:r>
    </w:p>
    <w:p>
      <w:pPr>
        <w:spacing w:after="0" w:line="19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Furthermore, third parties, including regulatory authorities, may not accept or agree with our assumptions, estimates, calculations, conclusions or analyses or may interpret or weigh the importance of data differently, which could delay or prevent regulatory approval of, or limit commercial prospects for, the particular product candidate. In addition, the information we choose to publicly disclose regarding a particular study or clinical trial is based on what is typically extensive information, and you or others may not agree with what we determine to disclose. If regulatory authorities disagree with the conclusions reached, our ability to obtain approval for, and commercialize, our product candidates may be harmed, which could harm our business, financial condition, results of operations and prospects.</w:t>
      </w:r>
    </w:p>
    <w:p>
      <w:pPr>
        <w:spacing w:after="0" w:line="291"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undesirable, unacceptable, or serious adverse side effects or have other properties when used alone or in combination with other approved products or investigational new drugs that could halt their clinical development, delay or prevent their regulatory approval, limit their commercial potential, or result in significant negative consequences.</w:t>
      </w:r>
    </w:p>
    <w:p>
      <w:pPr>
        <w:spacing w:after="0" w:line="6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 we must demonstrate through lengthy, complex, and expensive preclinical testing and clinical trials that our product candidate are safe, pure, and potent for use in each target indication, and failures can occur at any stage of testing. As with most biological products, use of our current or future product candidates could be associated with side effects or adverse events which can vary in severity from minor reactions to death and in frequency from infrequent to prevalent. There have been serious adverse side effects reported in response to engineered TIL cell therapies in oncology.</w:t>
      </w:r>
    </w:p>
    <w:p>
      <w:pPr>
        <w:spacing w:after="0" w:line="183"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Immuno-oncology drugs have been observed to cause side effects, generally related to over activation of the immune system. These include colitis, diabetes, pituitary inflammation, thyroiditis, myocarditis, liver inflammation, thrombocytopenia, pneumonitis, hypoxia, cytokine release syndrome, late autoimmune side effects/autoimmune disease states, and risk of death, among others. Our immuno-oncology product candidates, and combination drug regimens may have similar or additional side effects including late autoimmune side effects, autoimmune disease states or secondary malignancies. Treatment-related side effects may emerge at a later time in our trials. In addition to any potential side effects caused by the product candidate or combination regimen, the administration process or related procedures also can cause adverse side effects. If unacceptable adverse events occur, our clinical trials could be suspended or terminated, or any future marketing authorization could be suspended, revoked, or varied. Additionally, we may be required to repeat or conduct additional clinical trials or nonclinical studies for our product candidate beyond those that we currently contemplate. There can be no assurance that any of our current or future product candidates will not demonstrate unacceptable toxicities in later testing that may render them unsafe or intolerable.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unacceptable side effects arise in the development of our product candidates, we, the FDA, the IRBs at the institutions in which our trials are conducted or the DSMB or SRC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or result in potential product liability claims. In addition, these side effects may not be appropriately recognized or managed by the treating medical staff. We expect to have to train medical personnel using our product candidates to understand the side effect profiles for our clinical trials and upon any commercialization of any of our product candidates and train them in the tumor procurement surgical and core needle biopsy processes. There are additional risks of complications from tumor tissue procurement, including surgical complications and core needle biopsy complications, including the risk of death Inadequate training in recognizing or managing the potential side effects of our product candidates could result in patient injury or death. Any of these occurrences may harm our business, financial condition, and prospects significantly.</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Although our current and future product candidates have undergone and will undergo safety testing to the extent possible and, where applicable, under such conditions discussed with regulatory authorities, not all adverse effects of drugs can be predicted or anticipated. Engineered TIL cell therapeutics and their method of action of harnessing the body’s immune system are powerful and could lead to serious side effects that we only discover in clinical trials or during commercial marketing. Unforeseen side effects could arise either during clinical development or after a product candidate has been approved by regulatory authorities and the approved product has been marketed, following the exposure of additional patients. So far, we have not demonstrated that our current product candidate is safe in humans, and we cannot predict if ongoing or future clinical trials will do so. If any of our current or future product candidates fail to demonstrate safety and efficacy in clinical trials or do not gain marketing approval, we will not be able to generate revenue and our business will be harmed.</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addition, we intend to pursue our product candidate in combination with other therapies and may develop future product candidates in combination with other therapies, which exposes us to additional risks relating to undesirable side effects or other properties. For example, the other therapies may lead to toxicities that are improperly attributed to our product candidate or the combination of our product candidate with other therapies may result in toxicities that the product candidate or other therapy does not produce when used alone. The other therapies we are using in combination may be removed from the market, or we may not be able to secure adequate quantities of such materials for which we have no guaranteed supply contract, and thus such therapies may be unavailable for testing or commercial use with any of our approved products. The other therapies we may use in combination with our product candidate may also be supplanted in the market by newer, safer, or more efficacious products or combinations of products.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Even if we successfully advance our lead product candidate OBX-115 or any future product candidates through clinical trials, such trials will likely only include a limited number of subjects and limited duration of exposure to the candidate. As a result, we cannot be assured that adverse effects of our product candidates will not be uncovered when a significantly larger number of patients are exposed to the product candidate. Further, any clinical trial may not be sufficient to determine the effect and safety consequences of taking a particular candidate over a multi-year period.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Even if we successfully develop a product candidate and it receives marketing approval, the FDA could require us to adopt a REMS to ensure that the benefits of treatment outweigh the risks for each potential patient, which may include, among other things, a medication guide outlining the risks of the product for distribution to patients, a communication plan to health care practitioners, extensive patient monitoring, or distribution systems and processes that are highly controlled, restrictive, and more costly than what is typical for the industry. If our current product candidate or any of our future product candidates receives marketing approval, and we or others later identify undesirable side effects caused by such products, a number of potentially significant negative consequences could result in the following, including but not limited to:</w:t>
      </w:r>
    </w:p>
    <w:p>
      <w:pPr>
        <w:spacing w:after="0" w:line="93" w:lineRule="exact"/>
        <w:rPr>
          <w:sz w:val="20"/>
          <w:szCs w:val="20"/>
          <w:color w:val="auto"/>
        </w:rPr>
      </w:pPr>
    </w:p>
    <w:p>
      <w:pPr>
        <w:ind w:left="10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limit, suspend, or withdraw their approval of the product or may refuse to approve supplemental applications for such product; regulatory authorities may refuse to approve pending applications or supplements to approved applications we file;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a product or change the way such product is administered to patients;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the particular product or the manufacturing processes for the product or any component thereof;</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implement a REMS or create a medication guide outlining the risks of such side effects for distribution to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Any of the foregoing events could prevent us from achieving or maintaining market acceptance of the particular product candidate, if approved, and result in the loss of significant revenues, which would materially harm our business. In addition, if our product candidates or our engineered TIL cell therapeutic development approach generally proves to be unsafe, our entire technology platform and pipeline could be affected, which would also materially harm our business.</w:t>
      </w:r>
    </w:p>
    <w:p>
      <w:pPr>
        <w:spacing w:after="0" w:line="2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encounter difficulties enrolling eligible patients in our clinical trials, our clinical development activities could be delayed or otherwise be adversely affected.</w:t>
      </w:r>
    </w:p>
    <w:p>
      <w:pPr>
        <w:spacing w:after="0" w:line="5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successful and timely completion of clinical trials in accordance with their protocols depends on, among other things, our ability to recruit and enroll a sufficient number of eligible patients who remain in the trial until the trial’s conclusion, including any follow-up period. We may experience difficulties in patient enrollment in our clinical trials for a variety of reasons. The enrollment of patients depends on many factors, including:</w:t>
      </w:r>
    </w:p>
    <w:p>
      <w:pPr>
        <w:spacing w:after="0" w:line="81" w:lineRule="exact"/>
        <w:rPr>
          <w:sz w:val="20"/>
          <w:szCs w:val="20"/>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and size of the patient population required for analysis of the trial’s primary endpoints and the process for identifying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participating and available clinical sites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ability or failure to add new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qualified clinical trial investigators with the appropriate competencies and experience;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40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and risks of the product candidate being studied in relation to other available therapies, including any new products that may be approved for the indications we are investigating;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informed consents for participation in our clinical trials;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our clinical trials will compete with other clinical trials for product candidates that are in the same therapeutic areas as our current and potential future product candidates. It is also likely that we may compete with competitors developing product candidates in the same therapeutic areas for clinical trial sites.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in our ongoing or any future clinical trial.</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Delays or difficulties in patient enrollment may result in increased costs or may affect the timing, outcome, or completion of clinical trials, which would adversely affect our ability to advance the development of the product candidates we develop.</w:t>
      </w:r>
    </w:p>
    <w:p>
      <w:pPr>
        <w:spacing w:after="0" w:line="266" w:lineRule="exact"/>
        <w:rPr>
          <w:sz w:val="20"/>
          <w:szCs w:val="20"/>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number of subjects in our clinical trials are small, the results from these trials, once completed, may be less reliable than results achieved in larger clinical trials.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 trial design that is considered appropriate includes a sufficiently large sample size with appropriate statistical power, as well as proper control of bias, to allow a meaningful interpretation of the results. The preliminary results of trials with smaller sample sizes and heterogeneous patient populations, can be disproportionately influenced by the impact the treatment had on a few individuals, which limits the ability to generalize the results across a broader community, thus making the trial results less reliable than trials with a larger number of subjects and with more homogeneous patient populations. As a result, there may be less certainty that our product candidates would achieve a statistically significant effect in any future clinical trials. If we conduct any future clinical trials, we may not achieve a statistically significant result or the same level of statistical significance seen, if any, in our clinical trials.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and Work with Third Parties</w:t>
      </w:r>
    </w:p>
    <w:p>
      <w:pPr>
        <w:spacing w:after="0" w:line="117" w:lineRule="exact"/>
        <w:rPr>
          <w:sz w:val="20"/>
          <w:szCs w:val="20"/>
          <w:color w:val="auto"/>
        </w:rPr>
      </w:pPr>
    </w:p>
    <w:p>
      <w:pPr>
        <w:ind w:left="120"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CROs and CDMOs to conduct certain aspects of our preclinical studies and clinical trials. If these third parties do not successfully carry out their contractual duties, comply with applicable regulatory requirements or meet expected deadlines, we may not be able to obtain regulatory approval for or commercialize our current and future product candidates and our business could be substantially harmed.</w:t>
      </w:r>
    </w:p>
    <w:p>
      <w:pPr>
        <w:spacing w:after="0" w:line="7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third-party CROs and CDMOs to conduct certain aspects of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relieve us of our regulatory responsibilities. We and our third-party contractors and CROs are required to comply with GCP requirements, which are regulations and guidelines enforced by the FDA, the competent authorities of the member states of the European Economic Area (“EEA”), and comparable foreign regulatory authorities for our current and future product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the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the product candidate produced under the FDA’s current good manufacturing practice, or cGMP, regulations or similar foreign regulations. Our failure to comply with these regulations may require us to repeat clinical trials, which would delay the regulatory approval process.</w:t>
      </w:r>
    </w:p>
    <w:p>
      <w:pPr>
        <w:spacing w:after="0" w:line="194"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Further, these investigators and CROs are not our employees and we will not be able to control, other than by contract, the amount of resources, including time, which they devote to our current and future product candidates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current and future product candidates, or if their performance is substandard, it may delay or compromise the prospects for approval and commercialization of any product candidates that we develop. In addition, the use of third-party service providers may require us to disclose our proprietary information to these parties, which could increase the risk that this information will be misappropriated.</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If CROs do not successfully carry out their contractual duties or obligations, comply with applicable regulatory requirements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 and any of our future product candidates. As a result, our results of operations and the commercial prospects for our product candidate or any future product candidates would be harmed, our costs could increase, and our ability to generate revenues could be delayed.</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depend on other third-party collaborators for the discovery, development, and commercialization of certain of our current and future product candidates. If our collaborations are not successful, we may not be able to capitalize on the market potential of these product candidates.</w:t>
      </w:r>
    </w:p>
    <w:p>
      <w:pPr>
        <w:spacing w:after="0" w:line="2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formed, and in the future, we may form or seek strategic alliances, joint ventures, or collaborations, or enter into licensing arrangements with third parties that we believe will complement or augment our development and commercialization efforts with respect to product candidates we develop. Such potential future collaborations involving our product candidates may pose various risks to us, including:</w:t>
      </w:r>
    </w:p>
    <w:p>
      <w:pPr>
        <w:spacing w:after="0" w:line="81" w:lineRule="exact"/>
        <w:rPr>
          <w:sz w:val="20"/>
          <w:szCs w:val="20"/>
          <w:color w:val="auto"/>
        </w:rPr>
      </w:pPr>
    </w:p>
    <w:p>
      <w:pPr>
        <w:ind w:left="1080" w:right="500" w:hanging="424"/>
        <w:spacing w:after="0" w:line="261"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have significant discretion in determining the efforts and resources that they will apply to these collaborations and collaborators may not perform their obligations as expected. In some situations, we may not be able to influence our collaborators’ decisions regarding the development of our product candidates, and as a result, our collaborators may not pursue or prioritize the development of those product candidates in a manner that is in our best interest or that we agree with;</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w:t>
      </w:r>
    </w:p>
    <w:p>
      <w:pPr>
        <w:spacing w:after="0" w:line="67"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enforce, maintain, or defend our intellectual property rights or proprietary rights or may use our proprietary information in a way that gives rise to actual or threatened litigation or that could jeopardize or invalidate our intellectual property or proprietary information, exposing us to potential litigation or other intellectual property proceedings;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 Such disputes may also impact our intellectual property ownership and other rights;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our product candidates that achieve regulatory approval may not commit sufficient resources to the marketing and distribution of such products;</w:t>
      </w:r>
    </w:p>
    <w:p>
      <w:pPr>
        <w:spacing w:after="0" w:line="67" w:lineRule="exact"/>
        <w:rPr>
          <w:rFonts w:ascii="Times New Roman" w:cs="Times New Roman" w:eastAsia="Times New Roman" w:hAnsi="Times New Roman"/>
          <w:sz w:val="18"/>
          <w:szCs w:val="18"/>
          <w:color w:val="auto"/>
        </w:rPr>
      </w:pPr>
    </w:p>
    <w:p>
      <w:pPr>
        <w:ind w:left="1080" w:right="700" w:hanging="424"/>
        <w:spacing w:after="0" w:line="266"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fail to comply with applicable regulatory requirements regarding the development, manufacture, distribution or marketing of the product candidate, potentially leading to regulatory investigations or proceedings that may slow down product development;</w:t>
      </w:r>
    </w:p>
    <w:p>
      <w:pPr>
        <w:spacing w:after="0" w:line="81"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or resources for clinical trials or marketing and distribution of a product, stop a clinical trial, abandon a product candidate or repeat or conduct new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certain valuable rights under circumstances identified in our collaborations, including if we undergo a change of control;</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restrict our right to independently pursue new product candidates.</w:t>
      </w:r>
    </w:p>
    <w:p>
      <w:pPr>
        <w:spacing w:after="0" w:line="225"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If we enter into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net income that justifies the entry into such transaction. Any of the factors set forth above, among others, could delay the development and commercialization of our product candidate, which would harm our business prospects, financial condition, and results of operations.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collaborations, and, if we are not able to establish them on commercially reasonable terms, we may have to alter our development and commercialization plans.</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advancement of our product candidate and development programs and the potential commercialization of our current and future product candidates will require substantial additional cash to fund expenses. For some of our current or future product candidates, we may decide to collaborate with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collaborator’s evaluation of a number of factors. Those factors may include the design or results of clinical trials, the progress of our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collaboration or other arrangements that we may establish may not be favorable to us.</w:t>
      </w:r>
    </w:p>
    <w:p>
      <w:pPr>
        <w:spacing w:after="0" w:line="19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Such exclusivity could limit our ability to enter into strategic collaborations with future collaborators. In addition, there have been a significant number of recent business combinations among large pharmaceutical companies that have resulted in a reduced number of potential future collaborators.</w:t>
      </w:r>
    </w:p>
    <w:p>
      <w:pPr>
        <w:spacing w:after="0" w:line="18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marketing or sales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 or any future product candidates or bring them to market and generate product revenue.</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addition, any future collaboration that we enter into may not be successful. The success of future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00"/>
          </w:cols>
          <w:pgMar w:left="320" w:top="455"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pharmaceutical or biotechnology companies and other third parties can often be terminated by the other party. Any such termination or expiration would adversely affect us financially and could harm our business reputation.</w:t>
      </w:r>
    </w:p>
    <w:p>
      <w:pPr>
        <w:spacing w:after="0" w:line="266" w:lineRule="exact"/>
        <w:rPr>
          <w:sz w:val="20"/>
          <w:szCs w:val="20"/>
          <w:color w:val="auto"/>
        </w:rPr>
      </w:pPr>
    </w:p>
    <w:p>
      <w:pPr>
        <w:ind w:left="120"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royalty and milestone payments under our license agreement with M.D. Anderson, and we must also meet certain development milestones to maintain our license rights.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October 2021, we entered into a license agreement with The Board of Regents (the “Board of Regents”), of The University of Texas System, on behalf of M.D. Anderson Cancer Center (“M.D. Anderson”), for our engineered TIL cell therapy (the “M.D. Anderson License Agreement”). Under the M.D. Anderson License Agreement, we are required to pay both substantial milestone payments and royalties to M.D Anderson based on the net sales of our products utilizing the licensed technologies. These payments could adversely affect the overall profitability for us of any products that we may seek to commercialize under the M.D. Anderson License Agreement. In order to maintain our license rights under the M.D. Anderson License Agreement, we also need to meet certain specified development milestones, subject to certain cure or extension provisions. There is no assurance that we will continue to be able to meet these development milestones on a timely basis, or at all.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Manufacturing of Our Product Candidates</w:t>
      </w:r>
    </w:p>
    <w:p>
      <w:pPr>
        <w:spacing w:after="0" w:line="117"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and expect to continue to rely on a network of third-party suppliers and other third parties for production of our current and future product candidates including TIL products and viral vectors as well as custom critical materials such as anti-41BB and iFeeders, and our dependence on these third parties may impair the advancement of our research and development programs and the development of our current and future product candidates.</w:t>
      </w:r>
    </w:p>
    <w:p>
      <w:pPr>
        <w:spacing w:after="0" w:line="7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rely on and expect to continue to rely on a network of third-party CDMOs for the supply of cGMP-grade clinical trial materials and commercial quantities of our current and future product candidates as well as custom critical materials. Specifically, we collaborate with a network of leading CDMOs to manufacture OBX-115 including membrane-bound IL15 carbonic anhydrase 2 (“mbIL15-CA2”), DRD, viral vector, anti-41BB and iFeeders. Reliance on a network of third-party providers may expose us to more risk than if we were to manufacture our product candidates and the associated critical materials ourselves. The facilities used by our CDMOs to manufacture our engineered TIL candidates and the associated materials must be approved by the FDA and foreign regulatory authorities pursuant to inspections that will be conducted after we submit our BLA to the FDA, or similar applications to foreign regulatory authorities. We have limited control over the manufacturing process of, and beyond contractual terms, we are largely dependent on our CDMOs for compliance with cGMP, and applicable product tracking and tracing requirements, or similar foreign requirements for the manufacture of our product candidate. If our CDMOs cannot successfully manufacture material that conforms to our specifications and the strict regulatory requirements of the FDA or comparable foreign regulatory authorities, or are unable to do so in a timely manner, they may not be able to secure or maintain regulatory approval for their manufacturing facilities and could result in delay of our ability to obtain marketing authorization of our current and future product candidates. In addition, we have limited control over the ability of our CDMOs to maintain adequate quality control, quality assurance and qualified personnel. If the FDA or a comparable foreign regulatory authority does not approve these facilities for the manufacture of our current and future product candidates or if it withdraws any such approval in the future, we may need to find alternative manufacturing facilities, which would significantly impact our ability to develop, obtain regulatory approval for, or if approved, market our product candidate. In addition, any failure to achieve and maintain compliance with these laws, regulations, and standards could subject us to the risk that we may have to suspend the manufacturing of our product candidate or that obtained approvals could be revoked, which would adversely affect our business and reputation. Furthermore, third-party providers may breach existing agreements they have with us because of factors beyond our control. They may also terminate or refuse to renew their agreement with us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Any such changes could cause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current and future product candidates to perform differently and affect the results of clinical trials conducted with the altered materials, and limit our ability to rely on data from clinical trials conducted with an earlier version of our product candidates. In addition, the fact that we are dependent on our collaborators, our CDMOs, and other third parties for the manufacture, filling, storage, and distribution of our current and future product candidates means that we are subject to the risk that the products may have manufacturing defects that we have limited ability to prevent or control. The sale of products containing such defects could adversely affect our business, financial condition, and results of operations.</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rely on our CDMOs to purchase from third-party suppliers the materials necessary to produce our current product candidate for our clinical trials, and will rely on our existing and future collaborators to purchase from third-party suppliers the materials necessary to develop and produce our product candidates for future clinical trials and, upon approval, our products for commercialization.</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Moreover, if approved, we intend to rely on third parties to produce commercial supplies of our engineered TIL candidates and viral vectors as well as custom critical materials such as anti-41BB and iFeeders. Our commercialization of any of our product candidate could be stopped, delayed, or made less profitable if those third parties fail to obtain approval of the FDA or comparable foreign regulatory authorities following inspection of their facilities and procedures to manufacture our product candidate and products, fail to provide us with sufficient quantities of product or product components and materials, or fail to do so at acceptable timing, quality levels, or prices, or fail to otherwise complete their duties in compliance with their obligations to us or other parties.</w:t>
      </w:r>
    </w:p>
    <w:p>
      <w:pPr>
        <w:spacing w:after="0" w:line="291"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limited number of suppliers and, in some instances, a sole supplier, for some of our components and materials used in our product candidates.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are a limited number of suppliers for raw materials that we use to manufacture our product candidates and there may be a need to assess alternate suppliers to prevent a possible disruption of the manufacture of the materials necessary to produce our product candidate for our clinical trials, and if approved, ultimately for commercial sale. Apart from contractual measures, we do not have any control over the process or timing of the acquisition of these raw materials by our manufacturers or manufacturers paid by our collaborators. Moreover, we currently do not have any agreements for the commercial production of these raw materials. Although we generally do not begin a clinical trial unless we believe we have a sufficient supply of our product candidate to complete the clinical trial or have secured resupply capacity, any significant delay in the supply of our product candidate, or the raw material components thereof, for a planned or an ongoing clinical trial due to the need to replace a third-party manufacturer could considerably delay completion of our clinical trials, product testing, and potential regulatory approval of our product candidate.</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the manufacturing of our product candidate is expensive and time-consuming. If we are successful in obtaining regulatory approval for any of our product candidates, we might have limited quantities of such product candidates available to us in connection with a potential commercial launch, and these supplies may be further limited by our ongoing clinical development activities. If our manufacturers, collaborators or we are unable to purchase or produce sufficient quantities of raw materials or of our product candidate after regulatory approval has been obtained for our product candidate, the commercial launch of our product candidate could be delayed or there could be a shortage in supply, which in either case, would impair our ability to generate revenues from the sale of our product candidate.</w:t>
      </w:r>
    </w:p>
    <w:p>
      <w:pPr>
        <w:spacing w:after="0" w:line="187"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We rely on our manufacturers and other subcontractors to comply with and respect the proprietary rights of others in conducting their contractual obligations for us. If our manufacturers or other subcontractors fail to acquire the proper licenses or otherwise infringe third-party proprietary rights in the course of completing their contractual obligations to us, we may have to find alternative manufacturers or defend against claims of infringement, either of which would significantly impact our ability to develop, obtain regulatory approval for, or market our product candidate, if approved.</w:t>
      </w:r>
    </w:p>
    <w:p>
      <w:pPr>
        <w:spacing w:after="0" w:line="9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operations of our suppliers are subject to additional risks that are beyond our control and that could harm our business, financial condition, results of operations and prospects.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currently rely on and engage third-party manufacturers to provide critical raw materials, all of the active pharmaceutical ingredients (“APIs”), and the final drug product formulation of our product candidate that are being used in our clinical trials and preclinical studies. If a replacement manufacturer became necessary in the future, we may incur added costs and delays in identifying and qualifying another manufacturer. As a result of our global suppliers, we may be subject to risks associated with doing business abroad, including:</w:t>
      </w:r>
    </w:p>
    <w:p>
      <w:pPr>
        <w:spacing w:after="0" w:line="85" w:lineRule="exact"/>
        <w:rPr>
          <w:sz w:val="20"/>
          <w:szCs w:val="20"/>
          <w:color w:val="auto"/>
        </w:rPr>
      </w:pPr>
    </w:p>
    <w:p>
      <w:pPr>
        <w:ind w:left="1080" w:right="22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tensions, political unrest, terrorism, labor disputes, and economic instability resulting in the disruption of trade from foreign countries in which our products are manufactured;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new laws and regulations, including those relating to labor conditions, quality, and safety standards, information and data transfer, imports, duties, taxes, and other charges on imports, as well as trade restrictions and restrictions on currency exchange or the transfer of funds, particularly new or increased tariffs imposed on imports from countries where our suppliers operate,</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challenges and increased costs with enforcing and periodically auditing or reviewing our suppliers’ and manufacturers’ compliance with cGMPs or status acceptable to the FDA or comparable foreign regulatory authorities;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including trademark protection, in some countries,;</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operations due to global, regional, or local epidemics, pandemics, public health crises or other emergencies or natural disasters;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economic conditions in countries where our manufacturers or suppliers are located.</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National Defense Authorization Act for Fiscal Year 2026 enacted in December 2025 includes a section titled, “Prohibition on Contracting with Certain Biotechnology Providers,” also known as the BIOSECURE Act, aimed at discouraging federal contracting with certain biotechnology companies for biotechnology equipment or services in China and other countries of concern. The statute prohibits federal executive agencies from procuring any biotechnology equipment or service from a biotechnology company of concern, or BCC, or contracting with any such company or any entity that procures or uses equipment or services from a BCC. Any company on the Department of Defense’s Chinese Military Companies List (1260H list) is considered a BCC under the new law and the White House Office of Management and Budget also is empowered to designate companies as BCCs based on consultations with Cabinet Secretaries and other key leaders from the executive branch. This legislation may have the effect of restricting the ability of biopharmaceutical companies that enter into contracts with or receive funding from U.S. federal agencies from purchasing services or equipment from certain and other foreign Chinese biotechnology companies.</w:t>
      </w:r>
    </w:p>
    <w:p>
      <w:pPr>
        <w:spacing w:after="0" w:line="18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These and other factors beyond our control could interrupt our suppliers’ production, influence the ability of our suppliers to export our clinical supplies cost-effectively or at all, and inhibit our supplier’s ability to procure certain materials, any of which could delay our clinical trials or otherwise harm our business, financial condition, results of operations, and prospects.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In addition, we will likely need to change or expand our CDMO network for manufacturing our product candidates to one that can support commercial-scale manufacturing. Such changes carry the risk that they will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not achieve these intended objectives. Any of these changes could cause our product candidate to perform differently and affect the results of planned clinical trials or other future clinical trials conducted with the materials manufactured using altered processes.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 and jeopardize our ability to commence sales, if approved, and generate revenue.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multiple manufacturing risks, any of which could substantially increase our costs and limit supply of our product candidate.</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process of manufacturing our engineered TIL product candidates is complex, time-consuming, highly regulated, and subject to several risks, including:</w:t>
      </w:r>
    </w:p>
    <w:p>
      <w:pPr>
        <w:spacing w:after="0" w:line="67" w:lineRule="exact"/>
        <w:rPr>
          <w:sz w:val="20"/>
          <w:szCs w:val="20"/>
          <w:color w:val="auto"/>
        </w:rPr>
      </w:pPr>
    </w:p>
    <w:p>
      <w:pPr>
        <w:ind w:left="1080" w:hanging="424"/>
        <w:spacing w:after="0" w:line="253"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cellular therapies is complicated and tightly regulated by the FDA and comparable regulatory authorities around the world, and although alternative third-party suppliers with the necessary manufacturing and regulatory expertise and facilities exist, it could be expensive and take a significant amount of time to arrange for alternative suppliers, transfer manufacturing procedures to these alternative suppliers, and demonstrate comparability of material produced by such new suppliers. New manufacturers of any product candidate or intermediate would be required to qualify under applicable regulatory requirements. These manufacturers may not be able to manufacture our product candidates at costs, or in sufficient quantities, or in a timely manner necessary to complete development of our product candidates or make commercially successful products. If we are unable to arrange for alternative third-party manufacturing sources, or to do so on commercially reasonable terms or in a timely manner, we may not be able to complete development of our product candidates, or market or distribute them. In addition, should the FDA or comparable regulatory authorities not agree with our product candidate specifications and comparability assessments for these materials, further clinical development of our product candidates could be substantially delayed and we would incur substantial additional expenses.</w:t>
      </w:r>
    </w:p>
    <w:p>
      <w:pPr>
        <w:spacing w:after="0" w:line="9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loss during the manufacturing process, including loss caused by contamination, equipment failure or improper installation or operation of equipment, or operator error. Even minor deviations from normal manufacturing processes could result in reduced production yields, product defects, and other supply disruptions.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likely continue to expand our CDMO network for manufacturing our product candidate to meet clinical and commercial demand;</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54"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expand and develop relationships with suppliers of critical starting materials or reagents, increase the scale of production and demonstrate comparability of the material produced at these facilities to the material that was previously produced. Transferring manufacturing processes and know-how is complex and involves review and incorporation of both documented and undocumented knowledge that may have evolved over time. In addition, transferring production to different facilities may require utilization of new or different processes to meet the specific requirements of a given facility. We would expect additional comparability work will also need to be conducted to support the transfer of certain manufacturing processes and process improvements. We cannot be certain that all relevant know-how and data have been adequately incorporated into the manufacturing process until the completion of studies and the related evaluations intended to demonstrate the comparability. If we are not able to successfully transfer and produce comparable product candidates, our ability to further develop and manufacture our product candidates may be negatively impacted;</w:t>
      </w:r>
    </w:p>
    <w:p>
      <w:pPr>
        <w:spacing w:after="0" w:line="93"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products are made could be adversely affected by equipment failures, labor and raw material shortages, natural disasters, power failures, and numerous other factors;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60"/>
          </w:cols>
          <w:pgMar w:left="320" w:top="455" w:right="5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tumor procurement across sites may give us a suboptimal starting material;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to meet comparability standards across multiple CDMOs;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products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OBX-115 product candidate comprises a live cell suspension of autologous TIL derived from the patient’s tumor that have been engineered to express mbIL15. As an autologous cell therapy, the manufacture of our OBX-115 product candidate involves complex processes, including tumor collection, tumor processing, pre-Rapid Expansion Protocol (“Pre-REP”), harvest and cryopreservation, LN2 storage, Pre-REP thaw, activation, transduction, Rapid Expansion Protocol (“REP”), harvest, and cryopreservation, LN2 storage, quality testing and release, LN2 shipment, clinical site receipt, thaw and patient administration. Our manufacturing process may be susceptible to product loss or failure due to logistical issues associated with collection of the patients’ tumor materials, shipping such material to the manufacturing site, shipping the final product back to the patient, and infusing the patient with the finished cell therapy product. Product loss or failure may also be caused by manufacturing issues associated with the variability in patient starting material, differences in tumor procurement across clinical sites, interruptions in the manufacturing process, contamination, equipment or utility failure, assay failures, improper installation or operation of equipment, vendor or operator error, GMP issues, inconsistency in cell growth, and variability in product characteristics. Even minor deviations from normal manufacturing processes could result in reduced production yields, product defects, and other supply disruptions.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also make changes to our manufacturing processes at various points during development, for a number of reasons, such as improving process performance, introducing new raw materials, decreasing processing time, increasing manufacturing success rate, costs improvement, achieving scale, or other reasons. Such changes carry the risk that they will not achieve their intended objectives, and any of these changes could cause our product candidate to perform differently and affect the results of our ongoing or future clinical trials. In some circumstances, changes in the manufacturing process may require us to perform ex vivo comparability studies and to collect additional data from patients prior to undertaking more advanced clinical trials. For instance, changes in our process during the course of clinical development may require us to show the comparability of the product used in earlier clinical phases or at earlier portions of a trial to the product used in later clinical phases or later portions of the trial.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117"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time-consuming, and inherently unpredictable, and if we are ultimately unable to obtain regulatory approval for our product candidate, our business will be materially harmed.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or maintain approval, may change during the course of a product candidate’s clinical development and may vary among jurisdictions.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recent Oncology Center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Excellence initiatives have included Project FrontRunner, a new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We are considering these and other policy changes as they relate to our programs.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not obtained regulatory approval for any of our product candidates. Neither we nor any future collaborator is permitted to market any biological product in the United States until we or the future collaborator receives regulatory approval of a BLA, from the FDA. It is possible that none of our current or future product candidates will ever obtain regulatory approval from the FDA or comparable foreign regulatory authorities.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and future product candidates could fail to receive regulatory approval for many reasons, including the following:</w:t>
      </w:r>
    </w:p>
    <w:p>
      <w:pPr>
        <w:spacing w:after="0" w:line="131" w:lineRule="exact"/>
        <w:rPr>
          <w:sz w:val="20"/>
          <w:szCs w:val="20"/>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has an acceptable risk-benefit profile in the proposed indication;</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the facility in which a product candidate is manufactured meets standards designed to assure that the product candidate is safe, pure, and potent;</w:t>
      </w:r>
    </w:p>
    <w:p>
      <w:pPr>
        <w:spacing w:after="0" w:line="67"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clinical trials or preclinical studies;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 may not be sufficient to support the submission of a BLA to the FDA or regulatory submissions to comparable regulatory authorities to obtain regulatory approval in such jurisdiction;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our manufacturing processes or facility or the manufacturing processes or facilities of third-party manufacturers with which we contract for clinical and commercial supplies.</w:t>
      </w:r>
    </w:p>
    <w:p>
      <w:pPr>
        <w:spacing w:after="0" w:line="162" w:lineRule="exact"/>
        <w:rPr>
          <w:sz w:val="20"/>
          <w:szCs w:val="20"/>
          <w:color w:val="auto"/>
        </w:rPr>
      </w:pPr>
    </w:p>
    <w:p>
      <w:pPr>
        <w:ind w:left="120" w:right="480" w:firstLine="440"/>
        <w:spacing w:after="0" w:line="258"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and other comparable foreign authorities have substantial discretion in the approval process and in determining when or whether regulatory approval will be granted for any product candidate that we develop. Even if we believe the data collected from ongoing and future clinical trials of our product candidates are promising, such data may not be sufficient to support approval by the FDA or any other regulatory authority.</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even if we were to obtain approval, the FDA may approve any of our product candidates for fewer or more limited indications, or a more limited patient population, than we request, may grant approval contingent on the performance of costly clinical trials or other post-marketing requirements, or may approve a product candidate with a label that does not include the labeling claims we believe are necessary or desirable for the successful commercialization of such product candidates. Even if we obtain regulatory approval for our product candidate, we will be required to submit new or supplemental applications and obtain approval for certain changes to the approved product, product labeling, or manufacturing process and the FDA or comparable foreign regulatory authority may refuse to approve such applications or supplements.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addition, the FDA or comparable foreign regulatory authorities may change their policies, promulgate additional regulations, revise existing regulations, or take other actions that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Any of the foregoing scenarios could materially harm the commercial prospects for our product candidate.</w:t>
      </w:r>
    </w:p>
    <w:p>
      <w:pPr>
        <w:spacing w:after="0" w:line="287"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personnel, and substantial leadership, personnel and policy changes or otherwise, could prevent new or modified products from being developed, approved, or commercialized in a timely manner or at all, which could negatively impact our business.</w:t>
      </w:r>
    </w:p>
    <w:p>
      <w:pPr>
        <w:spacing w:after="0" w:line="6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Without the appropriation of adequate funding to federal agencies, our business operations related to our product development activities for the U.S. market could be impacted.</w:t>
      </w:r>
    </w:p>
    <w:p>
      <w:pPr>
        <w:spacing w:after="0" w:line="187"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including substantial leadership, personnel, and policy changes, may also slow the time necessary for biological products or modifications to approved biological products to be reviewed and/or approved by necessary government agencies, which would adversely affect our business. Changes and cuts in FDA staffing during 2025 have been seen as resulting in delays in the FDA’s responsiveness or in its ability to review IND submissions or marketing applications, issue regulations or guidance, or implement or enforce regulatory requirements in a timely fashion.</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With the change in the U.S. presidential administration in 2025, there is substantial uncertainty as to the extent and manner in which the administration will continue to seek to modify or revise the requirements and policies of the FDA and other regulatory agencies with jurisdiction over our product candidates any products for which we obtain approval. This uncertainty could present new challenges and/or opportunities as we navigate development and approval of our product candidates. Additionally, the administration could issue or promulgate executive orders, regulations, policies or guidance that adversely affect us or create a more challenging or costly environment to pursue the development of new therapeutics candidates. Also, state governments may seek to address or react to changes at the federal level with changes to their regulatory frameworks in a manner that could impact our operations.</w:t>
      </w:r>
    </w:p>
    <w:p>
      <w:pPr>
        <w:spacing w:after="0" w:line="293"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suspend, repeat, or terminate our clinical trials if they are not conducted in accordance with regulatory requirements, the results are negative or inconclusive, or the trials are not well designed.</w:t>
      </w:r>
    </w:p>
    <w:p>
      <w:pPr>
        <w:spacing w:after="0" w:line="5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Clinical trials must be conducted in accordance with GCP requirements, which are regulations and guidelines enforced by the FDA, the competent authorities of the member states of the EEA, and comparable foreign regulatory authorities. Clinical trials are subject to oversight by the FDA, other foreign governmental agencies, and IRBs or ethical committees at the trial sites where the clinical trials are conducted. In addition, clinical trials must be conducted with product candidates manufactured in accordance with applicable cGMP requirements. Clinical trials may be suspended by the FDA, other foreign regulatory authorities, us, or by an IRB or ethics committee with respect to a particular clinical trial site, for various reasons, including:</w:t>
      </w:r>
    </w:p>
    <w:p>
      <w:pPr>
        <w:spacing w:after="0" w:line="89" w:lineRule="exact"/>
        <w:rPr>
          <w:sz w:val="20"/>
          <w:szCs w:val="20"/>
          <w:color w:val="auto"/>
        </w:rPr>
      </w:pPr>
    </w:p>
    <w:p>
      <w:pPr>
        <w:ind w:left="1080" w:right="40" w:hanging="424"/>
        <w:spacing w:after="0" w:line="282" w:lineRule="auto"/>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conduct of the clinical trials, including failure to conduct the clinical trial in accordance with regulatory requirements or trial protocols;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clinical trial operations or trial sites;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20"/>
          </w:cols>
          <w:pgMar w:left="320" w:top="455"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adverse side effects or the emergence of undue risks to trial subjects;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deficiencies in the trial design necessary to demonstrate efficacy;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candidate may not appear to offer benefits over current therapies;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may fall below acceptable standards.</w:t>
      </w:r>
    </w:p>
    <w:p>
      <w:pPr>
        <w:spacing w:after="0" w:line="329"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our product candidate, we will be subject to ongoing regulatory obligations and continued regulatory review, which may result in significant additional expenses. If we fail to comply or experience unanticipated problems with our products, we may be subject to administrative and judicial enforcement, including monetary penalties, for non-compliance and our approved products, if any, could be deemed misbranded or adulterated and prohibited from continued distribution.</w:t>
      </w:r>
    </w:p>
    <w:p>
      <w:pPr>
        <w:spacing w:after="0" w:line="7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Any marketing approvals that we receive for any current or future product candidates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implementation of a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quality control, labeling, packaging, distribution, tracking and tracing, adverse event and deviation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cGMP regulations and with GCP requirements for any clinical trials that we may conduct post-approval. Problems with our or our third-party manufacturers’ manufacturing processes or facilities, or failure to comply with regulatory requirements, may result in, among other things:</w:t>
      </w:r>
    </w:p>
    <w:p>
      <w:pPr>
        <w:spacing w:after="0" w:line="97" w:lineRule="exact"/>
        <w:rPr>
          <w:sz w:val="20"/>
          <w:szCs w:val="20"/>
          <w:color w:val="auto"/>
        </w:rPr>
      </w:pPr>
    </w:p>
    <w:p>
      <w:pPr>
        <w:ind w:left="1080" w:right="100" w:hanging="424"/>
        <w:spacing w:after="0" w:line="282" w:lineRule="auto"/>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or imposition of restrictions on, the marketing or manufacturing of the product, withdrawal of the product from the market, or product recalls;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inspectional observations (FDA Form 483s), Warning Letters or Untitled Letters, or holds on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production or distribution;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monetary penalties, refusal to permit the import or export of the product, or placement on Import Alert;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permanent injunctions and consent decrees including the imposition of civil or criminal penalties.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Given the nature of biological product manufacturing, there is a risk of contamination. Any contamination could materially adversely affect our ability to produce product candidates on schedule and could, therefore, harm our results of operations and cause reputational damage. Some of the raw materials and other components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or product candidates could adversely impact or disrupt the commercial manufacturing or the production of clinical material, which could materially and adversely affect our development and commercialization timelines and our business, financial condition, results of operations and prospects and could adversely affect our ability to meet our supply obligations.</w:t>
      </w:r>
    </w:p>
    <w:p>
      <w:pPr>
        <w:spacing w:after="0" w:line="189"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Moreover, the FDA and the U.S. Department of Justice strictly regulate the promotional claims that may be made about drug and biological products. In particular, an approved product may not be promoted for uses that are not approved by the FDA as reflected in the product’s approved labeling, or off-label uses. The FDA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other agencies actively enforce the laws and regulations prohibiting the promotion of off-label uses. The FDA has issued guidance on the factors that it will consider in determining whether a firm’s product communication is consistent with the FDA-required labeling for that product, and those factors contain complexity and potential for overlap and misinterpretation. A company that is found to have improperly promoted off-label uses of their products may be subject to significant civil, criminal, and administrative penalties.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0"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In addition,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44" w:lineRule="exact"/>
        <w:rPr>
          <w:sz w:val="20"/>
          <w:szCs w:val="20"/>
          <w:color w:val="auto"/>
        </w:rPr>
      </w:pPr>
    </w:p>
    <w:p>
      <w:pPr>
        <w:ind w:left="12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 or maintain such designations.</w:t>
      </w:r>
    </w:p>
    <w:p>
      <w:pPr>
        <w:spacing w:after="0" w:line="7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OBX-115 has been granted Fast Track and RMAT designation from the FDA for the treatment of patients with unresectable or metastatic melanoma that is resistant ICI therapy. We may seek designations for other indications, or for future product candidates. However, there can be no assurance that we will successfully obtain such designations for any additional indications or future product candidates, or that we will be able to maintain the designations we have been granted. In addition, while such designations could expedite the development or approval process, they generally do not change the standards for approval. Even if we obtain such designations for one or more of our potential product candidates, there can be no assurance that we will realize their intended benefits. For example, we may seek fast track designation for additional indications or for our other potential product candidates. If a therapy is intended for the treatment of a serious or life-threatening condition and its nonclinical or clinical data demonstrates the potential to address unmet medical needs for this condition, the therapy sponsor may apply for Fast Track Designation. The FDA has broad discretion whether to grant this designation, so even if we believe a particular product candidate is eligible for this designation, there can be no assurance that the FDA would decide to grant it. Even if Fast Track Designation has been granted, we may not experience a faster development process, review or approval compared to conventional FDA procedures, and receiving a Fast Track Designation does not provide assurance of the product’s ultimate FDA approval. In addition, the FDA may withdraw Fast Track Designation if it believes that the designation is no longer supported by data from our clinical development program.</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Additionally, we may seek a Breakthrough Therapy designation for some of our potential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accelerated approval. Designation as a breakthrough therapy is within the discretion of the FDA. Accordingly, even if we believe one of our potential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potential product candidates qualify as breakthrough therapies, the FDA may later decide that such product candidates no longer meet the conditions for qualification.</w:t>
      </w:r>
    </w:p>
    <w:p>
      <w:pPr>
        <w:spacing w:after="0" w:line="19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In addition, we may seek a RMAT designation for additional indications or for our other potential product candidates. RMAT is defined as cell therapies, therapeutic tissue engineering products, human cell and tissue products, and combination products using any such therapies or products, with limited expectations.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potential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potential product candidates qualify as for RMAT designation, the FDA may later decide that the biological products no longer meet the conditions for qualification.</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also seek rare pediatric disease designation for some of our potential product candidates. The FDA defines “rare pediatric disease” as a</w:t>
      </w:r>
    </w:p>
    <w:p>
      <w:pPr>
        <w:spacing w:after="0" w:line="27" w:lineRule="exact"/>
        <w:rPr>
          <w:sz w:val="20"/>
          <w:szCs w:val="20"/>
          <w:color w:val="auto"/>
        </w:rPr>
      </w:pPr>
    </w:p>
    <w:p>
      <w:pPr>
        <w:ind w:left="120" w:hanging="4"/>
        <w:spacing w:after="0" w:line="251" w:lineRule="auto"/>
        <w:tabs>
          <w:tab w:leader="none" w:pos="33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(“PRV”), at the time the application is approved. Under the U.S. Federal Food, Drug, and Cosmetic Act (“FDCA”), we will need to request a rare pediatric disease PRV in our original marketing application for any eligible potential product candidates. The FDA may determine that a marketing application for any such product candidate, if approved, does not meet the eligibility criteria for a PRV. Vouchers for rare pediatric disease drugs are awarded for qualifying applications when the drug receives approval. Under current law, after September 30, 2029, the FDA may not award any rare pediatric disease priority review vouchers, although the FDA’s authority to do so could be extended by Congress in the future.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(“IMM”), that is reasonably likely to predict an effect on IMM or other clinical benefit. The FDA considers a clinical benefit to be a positive therapeutic effect that is clinically meaningful in the context of a given disease, such as IMM.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biologic over available therapy may not be a direct therapeutic advantage, but is a clinically important improvement from a patient and public health perspective. If granted, accelerated approval may be contingent on the sponsor’s agreement to conduct, in a diligent manner, additional post-approval confirmatory studies to verify and describe the biologic’s clinical benefit. In case of an accelerated BLA approval, FDA may mandate a Phase 4 clinical trial prior to full approval.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w:t>
      </w:r>
    </w:p>
    <w:p>
      <w:pPr>
        <w:spacing w:after="0" w:line="196"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FDORA also requires sponsors to send updates to the FDA every 180 days on the status of such studies, including progress toward enrollment targets, and the FDA must promptly post this information publicly. FDORA also gives the FDA increased authority to withdraw approval of a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candidate’s marketing application for priority review. A priority review designation means that the goal for the FDA to review an application is six months from the filing date, rather than the standard review period of ten months. We may request priority review for the product candidates that we develop. The FDA has broad discretion with respect to whether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in the European Union, we may seek to participate in the PRIority Medicines (“PRIME”), scheme for our potential product candidates. The PRIME scheme is intended to encourage development of products in areas of unmet medical need and provides accelerated assessment of products representing substantial innovation, where the marketing authorization application will be made through the centralized procedure in the European Union. Products from small-and medium-sized enterprises may qualify for earlier entry into the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PRIME scheme than larger companies on the basis of compelling non-clinical data and tolerability data from initial clinical trials. Eligible products must target conditions for which there is an unmet medical need (no treatment option exists in the European Union or, they can offer a major therapeutic advantage over existing treatments).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There is no guarantee, however, that our potential product candidates would be deemed eligible for the PRIME scheme and even if we do participate in the PRIME scheme, where during the course of development a product no longer meets the eligibility criteria, support under the PRIME scheme may be withdrawn. PRIME eligibility does not change the standards for product approval, and there is no assurance that any such designation or eligibility will result in expedited review or approval.</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17"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 candidate or any future product candidates will depend upon the degree of market acceptance of such product candidates by physicians, patients, healthcare payors, and others in the medical community.</w:t>
      </w:r>
    </w:p>
    <w:p>
      <w:pPr>
        <w:spacing w:after="0" w:line="5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product candidate and any future product candidates may not be commercially successful. Even if our product candidate or any future product candidates receive regulatory approval, they may not gain market acceptance among physicians, patients, healthcare payors, or the medical community. The commercial success of our lead product candidate OBX-115 or any future product candidates will depend significantly on the broad adoption and use of the resulting marketed product by these individuals and organizations for approved indications. The degree of market acceptance of our products will depend on a number of factors, including:</w:t>
      </w:r>
    </w:p>
    <w:p>
      <w:pPr>
        <w:spacing w:after="0" w:line="89" w:lineRule="exact"/>
        <w:rPr>
          <w:sz w:val="20"/>
          <w:szCs w:val="20"/>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demonstration of clinical efficacy and safety, including as compared to any more-established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indications for which our product candidate or any future product candidates are approved,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our targeted patient population and other limitations or warnings contained in any FDA-approved labeling;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a new drug for the relevant indication by healthcare providers and their patients;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cost-effectiveness of our products, as well as the cost of treatment with our products in relation to alternative treatments and therapies;</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sufficient third-party coverage and adequate reimbursement from government healthcare programs, including Medicare and Medicaid, private health insurers, and other third-party payors;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all, or a portion of, out-of-pocket costs associated with our products in the absence of sufficient third-party coverage and adequate reimbursement;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and the prevalence and severity of any adverse effects;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products as well as availability, safety, and efficacy of competitive drugs;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or any current or future collaborators’ sales and marketing strategies;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our product candidate or any future product candidates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Any revenue we are able to generate in the future from product sales will be dependent, in part, upon the size of the market in the United States and any other jurisdiction for which we gain regulatory approval and have commercial rights. If the markets or patient subsets that we are targeting are not as significant as we estimate, we may not generate significant revenues from sales of such products, even if approved. The number of patients who have the types of cancer or autoimmune diseases we are targeting may turn out to be lower than expected. Additionally, the potentially addressable patient population for our current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The number of patients who receive second- and third-line treatment is significantly smaller than the number of patients who receive first-line treatment, and the prognosis of patients who receive second- or third-line treatment is often poorer than that of patients who receive first-line treatment.</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initially seek approval for any other product candidates we develop as second- or third-line therapies. If we do so, for those products that prove to be sufficiently beneficial, if any, we would expect potentially to seek approval as a first-line therapy, but there is no guarantee that any product candidate we develop, even if approved, would be approved for first-line therapy, and, prior to any such approvals, we may have to conduct additional clinical trials.</w:t>
      </w:r>
    </w:p>
    <w:p>
      <w:pPr>
        <w:spacing w:after="0" w:line="284"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approved, our product candidate that is regulated as a biological product, or biologic, may face competition from biosimilars approved through an abbreviated regulatory pathway.</w:t>
      </w:r>
    </w:p>
    <w:p>
      <w:pPr>
        <w:spacing w:after="0" w:line="51"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color w:val="auto"/>
        </w:rPr>
        <w:t>The Biologics Price Competition and Innovation Act of 2009 (“BPCIA”), established an abbreviated pathway for the approval of biosimilar and interchangeable biologics with an FDA-licensed reference biologic product. Under the BPCIA, a reference biological product is granted 12 years of non-patent data exclusivity from the time of first licensure of the product, and the FDA will not accept an application for a biosimilar or interchangeable product based on the reference biological product until four years after the date of first licensure of the reference product. In addition, the approval of a biosimilar product may not be made effective by the FDA until 12 years from the date on which the reference product was first licensed. During this</w:t>
      </w:r>
    </w:p>
    <w:p>
      <w:pPr>
        <w:spacing w:after="0" w:line="3"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12-year period of exclusivity, another company may still develop and receive approval of a competing biologic, so long as their BLA does not rely on the reference product or sponsor’s data and is not submitted as a biosimilar application. Certain changes and supplements to an approved BLA, and subsequent applications filed by the same sponsor, manufacturer, licensor, predecessor in interest, or other related entity do not qualify for the 12-year exclusivity period. The law is complex and any new policies or processes adopted by the FDA could have a material adverse effect on the future commercial prospects for our biological products.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 to be a reference product for competing products, potentially creating the opportunity for biosimilar competition sooner than anticipated. Moreover, biosimilars compete with, and in some circumstances may be deemed under state law to be substitutable for, the previously approved reference product. The approval of a biosimilar of our product candidate could have a material adverse impact on our business due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to increased competition and pricing pressure. It is also possible that payors will give reimbursement preference to biosimilars over reference biological products, even absent a determination of interchangeability.</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Laws and regulations outside the United States differ, including the length and extent of patent and exclusivity protection and pathways for competition to enter the market. Other countries may have significantly shorter or longer periods of exclusivity. In addition, other countries may have different standards in determining similarity to a reference biological product. Any market entry of competing products to our product candidate in these other regions could adversely affect our business in those regions.</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we do not receive any anticipated periods of regulatory exclusivity for our current product candidate or any future product candidates it could adversely affect our business, financial condition, results of operations and prospects.</w:t>
      </w:r>
    </w:p>
    <w:p>
      <w:pPr>
        <w:spacing w:after="0" w:line="266" w:lineRule="exact"/>
        <w:rPr>
          <w:sz w:val="20"/>
          <w:szCs w:val="20"/>
          <w:color w:val="auto"/>
        </w:rPr>
      </w:pPr>
    </w:p>
    <w:p>
      <w:pPr>
        <w:jc w:val="both"/>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and have no experience as a company in marketing products. If we are unable to establish marketing and sales capabilities or enter into agreements with third parties to market and sell our product candidates, if approved, we may not be able to generate product revenue.</w:t>
      </w:r>
    </w:p>
    <w:p>
      <w:pPr>
        <w:spacing w:after="0" w:line="6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 If we are not successful in commercializing any approved products, our future product revenue will suffer and we may incur significant additional losses.</w:t>
      </w:r>
    </w:p>
    <w:p>
      <w:pPr>
        <w:spacing w:after="0" w:line="19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able to develop in-house sales and distribution capabilities or establish or maintain relationships with third-party collaborators to commercialize any product in the United States, Canada or overseas. Any failure or delay in the development of our internal or a third parties’ sales, marketing and distribution capabilities would adversely impact the commercialization of our product candidates.</w:t>
      </w:r>
    </w:p>
    <w:p>
      <w:pPr>
        <w:spacing w:after="0" w:line="28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 candidate may harm our reputation in the marketplace or result in injuries that lead to costly product liability suits.</w:t>
      </w:r>
    </w:p>
    <w:p>
      <w:pPr>
        <w:spacing w:after="0" w:line="5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If our product candidate OBX-115 or any future product candidates are approved by the FDA, we may only promote or market such product candidates in a manner consistent with their FDA-approved labeling. We will train our marketing and sales force against promoting our product candidates for uses outside of the approved indications for use, known as “off-label uses.” We cannot, however, prevent a physician from using our product candidates off-label, when in the physician’s independent professional medical judgment he or she deems it appropriate. Furthermore, the use of our product candidates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 candidates for these uses for which they are not approved, which</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could lead to product liability suits that might require significant financial and management resources and that could harm our reputation.</w:t>
      </w:r>
    </w:p>
    <w:p>
      <w:pPr>
        <w:spacing w:after="0" w:line="329"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third-party manufacturer we engage now or in the future fails to comply with environmental, health, and safety laws and regulations, we could become subject to fines or penalties or incur costs or liabilities that could have a material adverse effect on our business.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and third-party manufacturers we engage now are, and any third-party manufacturer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9"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w:t>
      </w:r>
    </w:p>
    <w:p>
      <w:pPr>
        <w:spacing w:after="0" w:line="14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compete may decline if we do not adequately protect our proprietary rights.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obtaining and maintaining patents and other forms of intellectual property rights for our technology, including product candidates (including clinical product candidates and preclinical product candidates), methods used to produce, purify, and manufacture those product candidates, and methods of utilizing the product candidates, including methods for treating patients, among other aspects of our technology or on licensing-in such rights. Failure to protect or to obtain, maintain, or extend adequate patent and other intellectual property rights could materially adversely affect our ability to develop and market our product candidates or future product candidates.</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strategy depends in part on our ability to identify and seek patent protection for our discoveries. The patent prosecution process is time-consuming and expensive, and we and our current or future licensors, licensees, or collaborators may not be able to prepare, file, and prosecute all necessary or desirable patent applications at a reasonable cost or in a timely manner in all jurisdictions where protection may be commercially advantageous. It is also possible that we or our current or future licensors, licensees, or collaborators will fail to identify patentable aspects of inventions made in the course of development activities before it is too late to obtain patent protection on them.</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standards which the USPTO and its foreign counterparts use to grant patents are not always applied predictably or uniformly and can change in the future. There is also no uniform, worldwide policy regarding the subject matter and scope of claims granted or allowable. The laws of some foreign countries do not protect proprietary information to the same extent as the laws of the United States. Outside the United States, patent protection must be sought in individual jurisdictions, further adding to the cost and uncertainty of obtaining adequate patent protection outside of the United States. Accordingly, the issuance, scope, validity, enforceability, and commercial value of our and our current or future licensors’, licensees’, or collaborators’ current and future patent rights are highly uncertain. We cannot predict whether additional patents protecting our technology will issue in the United States or in foreign jurisdictions, or whether any patents that do issue will have claims of adequate scope to provide a competitive advantage. Our and our current or future licensors’, licensees’, or collaborators’ pending and future patent applications may not result in patents being issued which protect our product candidates or other technology, in whole or in part, or which effectively prevent others from commercializing competitive products and technology. The patent examination process may require us or our current or future licensors, licensees, or collaborators to narrow the scope of the claims of our or our current or future licensors’, licensees’, or collaborators’ pending and future patent applications, which may limit the scope of patent protection that may be obtained.</w:t>
      </w:r>
    </w:p>
    <w:p>
      <w:pPr>
        <w:spacing w:after="0" w:line="190"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cannot confirm that all of the potentially relevant prior art relating to our patents and patent applications has been found. If such prior art exists, it can invalidate a patent or prevent a patent from issuing from a pending patent application. Even if patents do successfully issue, or have issued and even if such patents cover a product candidate, and/or other technologies, third parties may initiate an adversarial proceeding including opposition, interference, re-examination, post-grant review, inter partes review, litigation, nullification, or derivation action before patent offices or in court, or similar proceedings challenging the validity, enforceability, or scope, inventorship, or ownership of such patents, which may result in the patent claims being narrowed, invalidated, or held unenforceable or unavailable to us.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Patent applications in the United States and many foreign jurisdictions are typically not published until 18 months after the filing of the first priority application, or in some cases not at all, and publications of discoveries in scientific literature lag behind actual discoveries. As such,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addition, changes in, or different interpretations of, patent laws in the United States and other countries may permit others to use our discoveries or to develop and commercialize our technology and products without providing any notice or compensation to us or may limit the scope of patent protection that we or our licensors are able to obtain. The laws of some countries do not protect intellectual property rights to the same extent as U.S. laws and those countries may lack adequate rules and procedures for defending our intellectual property rights.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Finally, our and our current and future licensors’, licensees’ or collaborators’ patent applications cannot be enforced against third parties practicing the claimed technology in such applications unless and until a patent issues from such application(s), and then only to the extent the issued claims cover the technology in the relevant jurisdiction, and, if applicable, until the patent survives an opposition, interference, re-examination, inter partes review, and the like with claims that continue to cover the technology.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our product candidate or any future product candidates in all countries and jurisdictions throughout the world would be prohibitively expensive, and our intellectual property rights in some countries outside the United States could be less extensive than those in the United States, assuming that rights are obtained in the United States. In addition, the laws of some foreign countries do not protect intellectual property rights to the same extent as federal and state laws in the United States. As such, we will not file for patent protection in all national and regional jurisdictions in the world where such protection may be available.</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Accordingly, competitors may use our and our existing or future licensors’, licensees’, or collaborators’ technologies in jurisdictions where we have not obtained patent protection to develop their own products and, further, may export otherwise infringing products to territories where we and our existing or future licensors, licensees, or collaborators have patent protection, but enforcement is not as strong as that in the United States. These products may compete with our product candidate or other technologies, and our and our existing or future licensors’, licensees’, or collaborators’ patents or other intellectual property rights may not be effective or sufficient to prevent them from competing.</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Patent protection must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and the requirements for patentability differ, in varying degrees, from country to country, and the laws of some foreign countries do not protect intellectual property rights, including trade secrets, to the same extent as federal and state laws of the United States. As a result, many companies have encountered significant problems in protecting and defending intellectual property rights in certain foreign jurisdictions. Such issues may make it difficult for us to stop the infringement, misappropriation, or other violation of our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In those countries, we may have limited remedies if patents are infringed or if we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spacing w:after="0" w:line="19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Furthermore, proceedings to enforce our patent rights and other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and related technology could be found invalid or unenforceable if challenged in court or before a patent office.</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Issued patents may be challenged, narrowed, invalidated, or circumvented. We may from time to time need to resort to litigation (or other adversarial proceedings) to enforce or defend any patents or other intellectual property right owned by or licensed to us, or to determine or challenge the scope or validity of patents or other intellectual property rights of third parties. As enforcement of intellectual property rights is difficult, unpredictable, and expensive, we may fail in enforcing our rights—in which case our competitors may be permitted to use our technology without being enjoined, required to pay us any license fees, or compensate us for lost profits or reasonable royalty. In addition, litigation involving our patents carries the risk that one or more of our patents will be held invalid (in whole or in part, on a claim-by-claim basis) or held unenforceable. Such an adverse court ruling could allow third parties to commercialize technology covered by our patents we seek to enforce, such as those covering our product candidates and related methods, among other technologies, and then compete directly with us, without payment to us.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our product candidates or other technologies, the defendant could counterclaim that our patent is invalid and/or unenforceable, which is commonplace in patent litigation in the United States and in other foreign jurisdictions. Grounds for a validity challenge could be an alleged failure to meet any of several statutory requirements for patentability, for example, lack of utility, novelty, obviousness, non-enablement, or lack of written description or as constituting unpatentable subject matter. Grounds for an unenforceability assertion could be an allegation that someone substantively involved in prosecution of the patent withheld but-for material information from the USPTO or engaged in affirmatively egregious misconduct, during prosecution, with a specific intent to deceive the USPTO.</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outcome following legal assertions of invalidity and unenforceability during patent litigation (or other adversarial proceedings)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could lose at least part, and perhaps all, of the patent protection on our product candidate or other technology. Such a loss of patent protection could have a material adverse impact on our business. Even if we have valid and enforceable patents, these patents still may not provide protection against competing products or processes sufficient to achieve our business objectives. Patents and other intellectual property rights also will not protect our technology if competitors design around our protected technology without infringing our patents or other intellectual property rights.</w:t>
      </w:r>
    </w:p>
    <w:p>
      <w:pPr>
        <w:spacing w:after="0" w:line="293"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defending against claims by competitors or others that we are infringing upon their intellectual property rights, our business could be materially harmed.</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commercial success will depend, in part, on our ability to operate without infringing the proprietary rights of third parties. Other entities may have or obtain patents or other proprietary rights that could limit our ability to make, use, sell, offer for sale, or import a product candidate, a future approved product, or impair our competitive position. There may be issued patents and/or pending patent applications held by third parties that could be alleged as covering our product candidate, irrespective of the merits. Although we believe that these patents are not infringed, and/or are invalid and/or unenforceable, if a court should find that they cover our product candidates and we are unable to invalidate such patents, or if licenses for them are not available or on commercially reasonable terms, our business could be harmed, perhaps materially.</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believe that if such patents or patent applications were asserted against us, we would have counterclaims and defenses against such claims, including non-infringement, the affirmative defense of safe harbor designed to protect activity undertaken to obtain federal regulatory approval of a cell therapy, including under 35 U.S.C. § 271(e) and similar foreign exceptions to infringement, and defenses concerning patent invalidity and/or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unenforceability. However, if such counterclaims and defenses are not successful and such patents are successfully asserted against us such that they are found to be valid and enforceable, and infringed, unless we obtain a license to such patents, which may not be available or on commercially reasonable terms or at all, we could be prevented from continuing to develop or commercialize our product candidate. We could also be required to pay substantial damages. We cannot confirm that we will ultimately prevail if any such third-party intellectual property is asserted against us.</w:t>
      </w:r>
    </w:p>
    <w:p>
      <w:pPr>
        <w:spacing w:after="0" w:line="180" w:lineRule="exact"/>
        <w:rPr>
          <w:sz w:val="20"/>
          <w:szCs w:val="20"/>
          <w:color w:val="auto"/>
        </w:rPr>
      </w:pPr>
    </w:p>
    <w:p>
      <w:pPr>
        <w:jc w:val="both"/>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In the biotechnology industry, significant litigation and other proceedings regarding patents, patent applications, trademarks, and other intellectual property rights have become commonplace. The types of situations in which we may become a party to such litigation or proceedings include:</w:t>
      </w:r>
    </w:p>
    <w:p>
      <w:pPr>
        <w:spacing w:after="0" w:line="45" w:lineRule="exact"/>
        <w:rPr>
          <w:sz w:val="20"/>
          <w:szCs w:val="20"/>
          <w:color w:val="auto"/>
        </w:rPr>
      </w:pPr>
    </w:p>
    <w:p>
      <w:pPr>
        <w:ind w:left="108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initiate litigation or other adversarial proceedings against third parties seeking to invalidate the patents held by those third parties or to obtain a judgment that our products or processes do not infringe those third parties’ patents;</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competitors file patent applications that claim technology also claimed by us or our licensors, we or our licensors may be required to participate in interference, opposition, or other proceedings to determine the priority of invention, which could jeopardize our patent rights and potentially provide a third party with a dominant patent position;</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 parties initiate litigation claiming that our processes or products infringe their patent or other intellectual property rights, we and our collaborators will need to defend against such proceedings; and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These lawsuits (or other adversarial proceedings) would be costly and could affect our results of operations and divert the attention of our management and scientific personnel. 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present or future licensors’, collaborators’, or partners’ patents and patent applications is threatened, it could dissuade companies from collaborating with us to license, develop, or commercialize current or future product candidates.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Third-party intellectual property right holders, including our competitors, may actively bring infringement claims against us. We may not be able to successfully settle, license (including on commercially acceptable terms), or otherwise resolve such potential infringement claims. If we are unable to successfully settle future claims on terms acceptable to us, we may be required to engage or continue costly, unpredictable, and time-consuming litigation and may be prevented from or experience substantial delays in marketing any approved products. If we fail in any such dispute, in addition to being forced to potentially pay damages, we or our collaborators may be temporarily or permanently prohibited from commercializing our product candidates that are held to be infringing or be forced to redesign product candidates so that we no longer infringe the third-party’s intellectual property rights. Any of these events, even if we were ultimately to prevail, could require us to divert substantial financial and management resources that we would otherwise be able to devote to our business, research, and development.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biotechnology industry has produced a significant number of patents, and it may not always be clear to industry participants, including us, which patents cover various types of products or methods of use. The coverage of patents is subject to interpretation by the courts, and the interpretation is not always uniform or predictable. If we are sued for patent infringement, we would need to demonstrate that our products or methods either do not infringe the patented claims of the relevant patent or that the patented claims are invalid, and we may not be able to do this. Proving invalidity can be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 to market, and be precluded from manufacturing or selling our product candidates.</w:t>
      </w:r>
    </w:p>
    <w:p>
      <w:pPr>
        <w:spacing w:after="0" w:line="294"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It is also possible that in our evaluation of third-party intellectual property, we failed to identify relevant patents or applications. We cannot guarantee that any of our patent searches or analyses, including but not limited to the identification of relevant patents, the scope of patented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 in any jurisdiction.</w:t>
      </w:r>
    </w:p>
    <w:p>
      <w:pPr>
        <w:spacing w:after="0" w:line="16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scope of a patented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 Our failure to identify and correctly interpret relevant patents may negatively impact our ability to develop and market our products.</w:t>
      </w:r>
    </w:p>
    <w:p>
      <w:pPr>
        <w:spacing w:after="0" w:line="18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For example, U.S. applications filed before November 29, 2000 and certain U.S. applications filed after that date that will not be filed outside the United States remain confidential until the patent issues. Patent applications in the United States and elsewhere are published approximately 18 months after the earliest filing for which priority is claimed, with such earliest filing date being commonly referred to as the priority date. Furthermore, we operate in a highly competitive field, and given our limited resources, it is unreasonable to monitor all patent applications purporting to claim broad coverage in the areas in which we are active. Additionally, pending patent applications which have been published can, subject to certain limitations, be later amended in a manner that could cover our product candidate or related technology. We cannot predict whether third parties will be able to successfully obtain claims or the breadth of such claims.</w:t>
      </w:r>
    </w:p>
    <w:p>
      <w:pPr>
        <w:spacing w:after="0" w:line="293"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involving our intellectual property, including patents, to protect or enforce our patents, which could be expensive, time consuming, and unsuccessful.</w:t>
      </w:r>
    </w:p>
    <w:p>
      <w:pPr>
        <w:spacing w:after="0" w:line="5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may become a party to litigation and other adversarial proceedings or disputes involving intellectual property in the US and in other jurisdictions. Such litigation (or other adversarial proceedings or disputes) include instances where we are asserting our intellectual property against third parties, or we are defending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against an allegation of infringement. Even if such litigation (or other adversarial proceedings or disputes) is resolved in our favor, litigation or other legal proceedings relating to intellectual property claims may cause us to incur significant expenses and could distract our technical and management personnel from their normal responsibilities. In addition, there will be public announcements of the results of hearings, motions or other interim proceedings or developments and if securities analysts or investors perceive these results to be negative, this could have a substantial adverse effect on the price of our common shares. Such litigation or proceedings and the legal costs associated with them,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w:t>
      </w:r>
    </w:p>
    <w:p>
      <w:pPr>
        <w:spacing w:after="0" w:line="292"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intellectual property licenses with third parties, we could lose license rights that are important to our business.</w:t>
      </w:r>
    </w:p>
    <w:p>
      <w:pPr>
        <w:spacing w:after="0" w:line="5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are currently party to intellectual property license agreements. These license agreements impose, and we expect that future license agreements may impose, various obligations on us. For example, we have entered into patent and know-how license agreements with the Board of Regents of The University of Texas System that grant us the right to use certain technologies related to our clinical product candidates and related methods. If we fail to comply with our obligations under the licenses, the licensor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 new or reinstated licenses with less favorable terms, which could adversely affect our competitive business position and harm our business.</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rights in some intellectual property that have been discovered through United States government funded programs and thus are subject to federal regulations such as “march-in” rights, certain reporting requirements, and a preference for U.S. industry.</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We have rights in some intellectual property that was developed through U.S. government funded programs and thus are subject to federal regulations such as “march-in” rights, certain reporting requirements, and a preference for U.S. industry. For example, some of the intellectual property rights licensed to us under our M.D. Anderson License Agreement were generated using U.S. government funds. As a result, the U.S. government has certain rights to intellectual property embodied in certain current or future products pursuant to the Bayh-Dole Act of 1980. These U.S. government rights in certain inventions developed under government-funded programs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U.S. government-funded programs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U.S. This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preference for U.S. manufacturing may limit our ability to license the applicable patent rights on an exclusive basis under certain circumstances.</w:t>
      </w:r>
    </w:p>
    <w:p>
      <w:pPr>
        <w:spacing w:after="0" w:line="329"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third-party intellectual property that may be required to develop and commercialize our product candidate.</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rights, through patents that we have in-licensed or own, to the intellectual property to develop our product candidates. Because our programs may involve additional product candidates that may require the use of intellectual property or proprietary rights held by third parties, the growth of our business may depend in part on our ability to acquire, in-license, or use such intellectual property and proprietary rights of others. We may be unable to acquire or in-license any third-party intellectual property or proprietary rights or to do so on commercially reasonable terms. For example, we sometimes collaborate with public or private academic institutions to accelerate our research or development under written agreements with these institutions. Typically, these institutions provide us with an option to negotiate a license to any of the institution’s rights in technology resulting from the strategic collaboration. Regardless of such option, we may be unable to negotiate a license within the specified time frame or under terms that are acceptable to us, and the institution may license such intellectual property rights to third parties, potentially blocking our ability to pursue our development and commercialization plans. The same situation may occur with a present or future development partner.</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licensing and acquisition of third-party intellectual property and proprietary rights is a competitive area, and a number of more established companies are also pursuing strategies to license or acquire third-party intellectual property and proprietary rights that we may consider attractive or necessary. These established companies may have a competitive advantage over us due to their size and greater capital resources and development and commercialization capabilities. In addition, companies that perceive us to be a competitor may be unwilling to assign or license intellectual property and proprietary rights to us.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we are unable to successfully acquire or in-license rights to required third-party intellectual property and proprietary rights or maintain our intellectual property and proprietary rights, we may have to cease development of the relevant program, product, or product candidate, which could have a material adverse effect on our business.</w:t>
      </w:r>
    </w:p>
    <w:p>
      <w:pPr>
        <w:spacing w:after="0" w:line="280"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USPTO and various foreign patent offices require compliance with a number of procedural, documentary, fee payment, and other similar provisions during the patent prosecution and post grant or issuance. We employ reputable law firms and other professionals to help us comply. Additionally, periodic maintenance fees, renewal fees, annuity fees, and various other governmental fees on patents and/or patent applications will be due to the USPTO and various foreign patent offices at various points over the lifetime of our patents and/or patent applications. We rely on our outside counsel or our agents to pay these fees when due.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such an event were to occur, it could have a material adverse effect on our business.</w:t>
      </w:r>
    </w:p>
    <w:p>
      <w:pPr>
        <w:spacing w:after="0" w:line="194" w:lineRule="exact"/>
        <w:rPr>
          <w:sz w:val="20"/>
          <w:szCs w:val="20"/>
          <w:color w:val="auto"/>
        </w:rPr>
      </w:pPr>
    </w:p>
    <w:p>
      <w:pPr>
        <w:ind w:left="120" w:right="50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be responsible for the payment of patent fees for patent rights that we license from third parties. If any licensor of these patents does not itself elect to make these payments, and we fail to do so, we may be liable to the licensor for any costs and consequences of any resulting loss of patent rights. If we or our existing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or future licensors fail to maintain the patents and patent applications covering our product candidates, our competitors might be able to enter the market, which would have an adverse effect on our business.</w:t>
      </w:r>
    </w:p>
    <w:p>
      <w:pPr>
        <w:spacing w:after="0" w:line="26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foreign legislation for extending the term of patents covering each of our product candidates, our business may be materially harmed.</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Patents typically have a limited lifespan. In the United States and in most ex-U.S. jurisdictions, if all maintenance fees are timely paid, the natural expiration of a patent is generally 20 years from its earliest non-provisional filing date, not including potential patent term extensions or adjustments that may be available in the United States, and under comparable laws applicable outside the United States, where certain conditions are met. Various extensions may be available, but the life of a patent, and the protection it affords, is limited. Even if patents covering our product candidates are obtained, once the patent life has expired for a product candidate, we may be open to competition from competitive cell therapies.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causing our revenue from applicable products to be reduced, possibly materially, and potentially harming our ability to recover our investment in such product or obtain a reasonable return on that investment.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or any future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effective patent term lost during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96"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or are concurrently employed at other biotechnology or pharmaceutical companies, universities, and/or research institutions and the like, including our competitors or potential competitors. We may be subject to claims that these employees, or we, have inadvertently or otherwise used or disclosed trade secrets or other proprietary information of their former or concurrent employers, or that patents and applications we have filed to protect inventions of these employees, even those related to our product candidate, are rightfully owned by their former or concurrent employer.</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Litigation may be necessary to defend against these claims. Even if we are successful in defending against these claims, litigation could result in substantial costs and be a distraction to management.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or on commercially reasonable terms or at all.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successfully challenged, resulting in harm to our business.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that are approved for marketing from the products of our competitors. However,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diversions of resources and could adversely affect our business, financial condition, and growth prospects.</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any proprietary name we propose to use with any product candidates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an alternate proprietary product name that would qualify under applicable trademark laws, not infringe the existing rights of third parties, and be acceptable to the FDA.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Healthcare, Insurance and Legal Matters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our product candidate.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 in human trials and may face greater risk if we commercialize any products that we develop. Product liability claims may be brought against us by subjects enrolled in our trials, patients, healthcare providers, or others using, administering, or selling our products. If we cannot successfully defend ourselves against such claims, we could incur substantial liabilities. Regardless of merit or eventual outcome, liability claims may result in:</w:t>
      </w:r>
    </w:p>
    <w:p>
      <w:pPr>
        <w:spacing w:after="0" w:line="85" w:lineRule="exact"/>
        <w:rPr>
          <w:sz w:val="20"/>
          <w:szCs w:val="20"/>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 we may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time and costs to defend the related 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we currently hold product liability insurance coverage for clinical trials consistent with industry standards, the amount of coverage may not adequately cover all liabilities that we may incur. We may not be able to maintain insurance coverage at a reasonable cost or in an amount adequate to satisfy any liability that may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arise. We intend to expand our insurance coverage for products to include the sale of commercial products if we obtain marketing approval for our product candidate, but we may be unable to obtain commercially reasonable product liability insurance. A successful product liability claim or series of claims brought against us, particularly if judgments exceed our insurance coverage, could decrease our cash and adversely affect our business and financial condition.</w:t>
      </w:r>
    </w:p>
    <w:p>
      <w:pPr>
        <w:spacing w:after="0" w:line="284"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our product candidate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7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our product candidate or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payment rates may not be adequate or may require co-payments that patients find unacceptably high. For more information, see the section of this information statement/prospectus entitled “</w:t>
      </w:r>
      <w:r>
        <w:rPr>
          <w:rFonts w:ascii="Times New Roman" w:cs="Times New Roman" w:eastAsia="Times New Roman" w:hAnsi="Times New Roman"/>
          <w:sz w:val="18"/>
          <w:szCs w:val="18"/>
          <w:i w:val="1"/>
          <w:iCs w:val="1"/>
          <w:color w:val="auto"/>
        </w:rPr>
        <w:t>Information Regarding Obsidian—Coverage, Pricing and Reimbursement</w:t>
      </w:r>
      <w:r>
        <w:rPr>
          <w:rFonts w:ascii="Times New Roman" w:cs="Times New Roman" w:eastAsia="Times New Roman" w:hAnsi="Times New Roman"/>
          <w:sz w:val="18"/>
          <w:szCs w:val="18"/>
          <w:color w:val="auto"/>
        </w:rPr>
        <w:t>” beginning on page 257 of this information statement/prospectus.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offer to reimburse patients only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 or any future product candidates.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 For products administered under the supervision of a physician (including products administered in the clinical setting), obtaining coverage and adequate reimbursement may be particularly difficult because of the higher prices often associated with such drugs. Additionally, separate reimbursement for the product itself or the administration of the product, or the treatment or procedure in which the product is used may not be available, which may impact physician utilization.</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 candidate or any future product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8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and prescription drugs, surgical procedures, and other treatments in particular, has become very intense. As a result, increasingly high barriers are being erected to the entry of new products.</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and Medicaid beneficiaries,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In addition, the U.S. Supreme Court’s June 2024 decision to overturn established case law giving deference to regulatory agencies’ interpretations of ambiguous statutory language has introduced uncertainty regarding the extent to which the FDA’s regulations, policies and decisions may become subject to increasing legal challenges, delays and/or changes. If we are slow or unable to adapt to changes to existing requirements or the adoption of new requirements or policies, or if we are not able to maintain regulatory compliance, our product candidate may lose any marketing approval that may have been obtained and we may not achieve or sustain profitability, which would adversely affect our business.</w:t>
      </w:r>
    </w:p>
    <w:p>
      <w:pPr>
        <w:spacing w:after="0" w:line="298"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U.S. federal, state, and foreign healthcare laws and regulations, which could increase compliance costs, and our failure to comply with these laws and regulations could harm our reputation, subject us to significant fines and liability, or otherwise adversely affect our business.</w:t>
      </w:r>
    </w:p>
    <w:p>
      <w:pPr>
        <w:spacing w:after="0" w:line="6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patient organizations, and customers may expose us to broadly applicable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foreign, federal, and state fraud and abuse and other healthcare laws and regulations. These laws may constrain the business or financial arrangements and relationships through which we conduct our operations, including how we research, and plan to market, sell, and distribute any products for which we obtain regulatory approval. In particular, the research of our product candidates, as well as the promotion, sales and marketing of our product candidates is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For more information about the applicable federal, state and foreign healthcare laws and regulations that may affect our ability to operate, see the section of this information statement/prospectus entitled “</w:t>
      </w:r>
      <w:r>
        <w:rPr>
          <w:rFonts w:ascii="Times New Roman" w:cs="Times New Roman" w:eastAsia="Times New Roman" w:hAnsi="Times New Roman"/>
          <w:sz w:val="18"/>
          <w:szCs w:val="18"/>
          <w:i w:val="1"/>
          <w:iCs w:val="1"/>
          <w:color w:val="auto"/>
        </w:rPr>
        <w:t>Information Regarding Galera—Government Regulation—Other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Healthcare Laws and Compliance Requirements</w:t>
      </w:r>
      <w:r>
        <w:rPr>
          <w:rFonts w:ascii="Times New Roman" w:cs="Times New Roman" w:eastAsia="Times New Roman" w:hAnsi="Times New Roman"/>
          <w:sz w:val="18"/>
          <w:szCs w:val="18"/>
          <w:color w:val="auto"/>
        </w:rPr>
        <w:t>” beginning on page 201 of this information statement/prospectus.</w:t>
      </w:r>
    </w:p>
    <w:p>
      <w:pPr>
        <w:spacing w:after="0" w:line="18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and privacy laws and regulations will involve ongoing substantial costs. It is possible that governmental authorities will conclude that our business practices, including certain agreements we have entered into with physicians who are paid, in part, in the form of stock or stock options, may not comply with current or future statutes, regulations, or case law involving applicable fraud and abuse or other healthcare laws and regulations. Due to the breadth of these laws, the narrowness of statutory exceptions and regulatory safe harbors available, and the range of interpretations to which they are subject, it is possible that some of our current or future practices might be challenged under one or more of these laws.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 If any of the above occur, our ability to operate our business and our results of operations could be adversely affected.</w:t>
      </w:r>
    </w:p>
    <w:p>
      <w:pPr>
        <w:spacing w:after="0" w:line="30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healthcare reform legislation or regulation may increase the difficulty and cost for us to obtain coverage for and commercialize our product candidate or any future product candidates and may adversely affect the prices we may set.</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affect our ability to profitably sell our product candidate or any future product candidates for which we obtain regulatory approval. In particular, there have been and continue to be a number of initiatives at the U.S. federal and state levels that seek to reduce healthcare costs and improve the quality of healthcare. For example, the Inflation Reduction Act of 2022 (“IRA”) includes several provisions that will impact our business to varying degrees, including provisions that allow the U.S. government to negotiate Medicare Part B and Part D pricing for certain high-cost drugs and biologics without generic or biosimilar competition, among others. Our lead product candidate, OBX-115, is being developed in indications that may rely on Medicare reimbursement. Accordingly, these price-negotiation provisions may have a negative impact on our future revenue and profits. Further, the IRA also imposed rebates with respect to certain drugs and biologics covered under Medicare Part B or Medicare Part D to penalize price increases that outpace inflation.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One Big Beautiful Bill Act of 2025 (the “OBBBA”), also included significant reforms to Medicaid, including an estimated $1 trillion in reduced federal Medicaid spending from 2025 through 2034, the imposition of work requirements for certain adult enrollees, more frequent eligibility redeterminations, and increased cost-sharing for beneficiaries. These changes are expected to reduce overall Medicaid enrollment and access to care. Although the effect on our business is currently unknown, any decrease in the number of insured patients or reimbursement levels for our products could adversely affect our revenue and commercial prospects.</w:t>
      </w:r>
    </w:p>
    <w:p>
      <w:pPr>
        <w:spacing w:after="0" w:line="181"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For more information, see the section of this information statement/prospectus entitled “</w:t>
      </w:r>
      <w:r>
        <w:rPr>
          <w:rFonts w:ascii="Times New Roman" w:cs="Times New Roman" w:eastAsia="Times New Roman" w:hAnsi="Times New Roman"/>
          <w:sz w:val="18"/>
          <w:szCs w:val="18"/>
          <w:i w:val="1"/>
          <w:iCs w:val="1"/>
          <w:color w:val="auto"/>
        </w:rPr>
        <w:t>Information Regarding Galera—Government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—Healthcare Reform</w:t>
      </w:r>
      <w:r>
        <w:rPr>
          <w:rFonts w:ascii="Times New Roman" w:cs="Times New Roman" w:eastAsia="Times New Roman" w:hAnsi="Times New Roman"/>
          <w:sz w:val="18"/>
          <w:szCs w:val="18"/>
          <w:color w:val="auto"/>
        </w:rPr>
        <w:t>” beginning on page 203 of this information statement/prospectus.</w:t>
      </w:r>
    </w:p>
    <w:p>
      <w:pPr>
        <w:spacing w:after="0" w:line="160"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 and any future product candidates, if approved, or put pressure on our product pricing, which could negatively affect our business, financial condition, results of operations, and prospects.</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expect that these existing laws and other federal and state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Reductions in reimbursement levels may negatively impact the prices we receive or the frequency with which our potential products are prescribed or administered.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 or any future product candidates, if approved.</w:t>
      </w:r>
    </w:p>
    <w:p>
      <w:pPr>
        <w:spacing w:after="0" w:line="29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related to the protection of research subjects could result in fines, penalties, and litigation, and have a material adverse effect upon our business.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may be subject to regulation under international, federal, state, and local laws and regulations relating to the protection of research subjects. Federally funded human-subject research in the United States, including the collection of identifiable human biospecimens, is governed by 45 CFR Part 46, also known as the Health and Human Services Policy for Protection of Human Research Subjects or the “Common Rule.” Use of biospecimens in certain other research is subject to FDA regulations for the Protection of Human Subjects and Institutional Review Boards at 21 CFR Parts 50 and 56. While we believe that we are in compliance with these laws, we may not be aware of all such laws or may fail to properly audit and identify gaps in compliance. Similarly, we may find errors in our product candidate and processes and may fail to properly match the compliance requirements of our researchers to the compliance requirements of our suppliers. Failure of our company or our suppliers to comply with international, federal, state, and local laws and regulations could subject us to denial of the right to conduct business, fines, criminal penalties, and/or other enforcement actions which could have a material adverse effect on our business.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develop product candidates and our future growth depends on attracting, hiring, and retaining our key personnel and recruiting additional qualified personnel. If we are not successful in attracting, motivating, and retaining highly qualified personnel, we may not be able to successfully implement our business strategy. Additionally, we will need to grow the size of our organization, and we may experience difficulties in managing this growth.</w:t>
      </w:r>
    </w:p>
    <w:p>
      <w:pPr>
        <w:spacing w:after="0" w:line="7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highly dependent on members of our executive team. The loss of the services of any of them may adversely impact the achievement of our objectives. The loss of services of any of these individuals could delay or prevent the successful development of our product candidate, completion of our planned clinical trials, or the commercialization of our product candidate and any future product candidates.</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success also depends upon the continued contributions of our key management and scientific personnel, many of whom have been instrumental for us and have substantial experience with developing therapies, identifying potential product candidates, and building the technologies related to the clinical development of our product candidate. Historically, we have experienced significant turnover in our research and development workforce and have operated with a limited team of scientific and technical personnel. Given the specialized nature of engineered TIL technology and our approach, there is an inherent scarcity of experienced personnel in these fields. As we continue developing our product candidate in our pipeline, we will require personnel with medical, scientific, or technical qualifications specific to each program. The loss of key personnel, in particular our scientists, would delay our research and development activities. Despite our efforts to retain valuable employees, members of our team may terminate their employment with us on short notice. The competition for qualified personnel in the biotechnology and biopharmaceutical industries is intense, and our future success depends upon our ability to attract, retain, and motivate highly skilled scientific, technical, and managerial employees. We face competition for personnel from other companies, universities, public and private research institutions, and other organizations. If we hire employees from competitors or other companies, their former employers may attempt to assert that these employees or we have breached legal obligations, resulting in a diversion of our time and resources and, potentially, damages. In addition, job candidates and existing employees often consider the value of the stock awards they receive in connection with their employment. If the perceived benefits of our stock awards decline, it may harm our ability to recruit and retain highly skilled employees. If our recruitment and retention efforts are unsuccessful in the future, it may be difficult for us to implement our business strategy, which would have a material adverse effect on our business.</w:t>
      </w:r>
    </w:p>
    <w:p>
      <w:pPr>
        <w:spacing w:after="0" w:line="19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As our development plans and strategies develop, and as we continue operating as a public company, we expect to need additional managerial, operational, marketing, sales, financial, and other personnel. Future growth would impose significant added responsibilities on members of management, including:</w:t>
      </w:r>
    </w:p>
    <w:p>
      <w:pPr>
        <w:spacing w:after="0" w:line="81" w:lineRule="exact"/>
        <w:rPr>
          <w:sz w:val="20"/>
          <w:szCs w:val="20"/>
          <w:color w:val="auto"/>
        </w:rPr>
      </w:pPr>
    </w:p>
    <w:p>
      <w:pPr>
        <w:ind w:left="1080" w:right="20" w:hanging="424"/>
        <w:spacing w:after="0" w:line="282" w:lineRule="auto"/>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and FDA review process for our current product candidates and any future product candidates we develop, while complying with our contractual obligations to contractors and other third parties;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advance development of and, if approved, commercialize our current product candidates and any future product candidates we develop will depend, in part, on our ability to effectively manage any future growth, and our management may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We cannot assure you that the services of independent organizations, advisors, and consultants will continue to be available to us on a timely basis when needed, or that we can find qualified replacements. In addition, if we are unable to effectively manage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80"/>
          </w:cols>
          <w:pgMar w:left="320" w:top="455"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our current product candidates and any future product candidates we develop and, accordingly, may not achieve our research, development and commercialization goals.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General Risks</w:t>
      </w:r>
    </w:p>
    <w:p>
      <w:pPr>
        <w:spacing w:after="0" w:line="117"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Galera merger and the Obsidian merger, taken together, do not qualify as a transaction described in Section 351 of the Code (or, in the case of the Obsidian stockholders, if the Obsidian merger, by itself, does not qualify as a reorganization within the meaning of Section 368(a) of the Code), Obsidian stockholders may recognize substantial taxable gain as a result of the mergers, and may be required to pay substantial additional U.S. federal income taxes, in the taxable year in which the transactions occur.</w:t>
      </w:r>
    </w:p>
    <w:p>
      <w:pPr>
        <w:spacing w:after="0" w:line="7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Galera merger and the Obsidian merger, taken together, are intended to qualify as a transaction described in Section 351 of the Code. The Obsidian merger, by itself, is intended to qualify as a reorganization within the meaning of Section 368(a) of the Code. The positions of Galera and Obsidian are not binding on the IRS or the courts, and the parties do not intend to request a ruling from the IRS with respect to the transactions described in the merger agreement. Accordingly, there can be no assurance that the IRS will not challenge the qualification of the Galera merger and the Obsidian merger taken together, as a transaction described in Section 351 of the Code or that a court will not sustain such a challenge. If the IRS were to be successful in any such contention, or if for any other reason the Galera merger and the Obsidian merger, taken together, were not treated as a transaction described in Section 351 of the Code (and if the Obsidian merger does not qualify as a reorganization within the meaning of Section 368(a) of the Code), then the Obsidian stockholders would not be entitled to defer any portion of the gain realized as a result of receiving shares of Parent common stock in the transactions and may be required to pay substantial additional U.S. federal income taxes with respect to the taxable year in which such transactions occur.</w:t>
      </w:r>
    </w:p>
    <w:p>
      <w:pPr>
        <w:spacing w:after="0" w:line="298"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and geopolitical conditions could adversely affect our business, financial condition, stock price, and results of operations.</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business could be adversely affected by unstable economic and political conditions within the United States and foreign jurisdictions, including as a result of an economic downturn and geopolitical events, such as changes in U.S. federal policy that affect the geopolitical landscape. Changes to policy implemented by the U.S. Congress, the current administration or any new administration have impacted and may in the future impact, among other things, the U.S. and global economy, international trade relations, unemployment, immigration, healthcare, taxation, the U.S. regulatory environment, inflation and other areas. For example, in 2025, the United States imposed tariffs on imports on its trading partners, including Canada, Mexico, the EU and China. Historically, tariffs have led to increased trade and political tensions, between not only the United States and China, but also between the United States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global credit and financial markets have also experienced extreme volatility and disruptions (including as a result of actual or perceived changes in interest rates, inflation, and macroeconomic uncertainties), which has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included severely diminished liquidity and credit availability, declines in consumer confidence, declines in economic growth, high inflation, uncertainty about economic stability, global supply chain disruptions, and increases in unemployment rates. The financial markets and the global economy may also be adversely affected by the current or anticipated impact of military conflict, including the ongoing conflicts between Russia and Ukraine, the conflicts in the Middle East, terrorism, or other geopolitical events. There can be no assurance that further deterioration in credit and financial markets and confidence in economic conditions will not occur. A severe or prolonged economic downturn could result in a variety of risks to our business, including a decrease in the demand for our product candidates and in our ability to raise additional capital when needed on acceptable terms, if at all. For example, there has been proposed U.S. legislation that may restrict the ability of U.S. biopharmaceutical companies to purchase services or products from, or otherwise collaborate with, certain Chinese biotechnology companies of concern without losing the ability to contract with, or otherwise receive funding from, the U.S. government. We continue to assess the legislation as it develops to determine whether it could have an effect on our contractual relationships. Furthermore, any disruptions to our supply chain as a result of unfavorable global economic conditions, including due to geopolitical conflicts or public health crises, could negatively impact the timely execution of our ongoing and future clinical trials. In addition, current inflationary trends in the global economy may impact salaries and wages, costs of goods and transportation expenses, among other things, and recent and potential future disruptions in access to bank deposits or lending commitments due to bank failures may create market and economic instability. We cannot anticipate all of the ways in which the foregoing, and the current economic climate and financial market conditions generally, could adversely impact our business.</w:t>
      </w:r>
    </w:p>
    <w:p>
      <w:pPr>
        <w:spacing w:after="0" w:line="30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natural disasters, public health crises, or other business interruptions and our business continuity and disaster recovery plans may not adequately protect us from a serious disaster.</w:t>
      </w:r>
    </w:p>
    <w:p>
      <w:pPr>
        <w:spacing w:after="0" w:line="5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Natural disasters or public health crises could severely disrupt our operations, and have a material adverse impact on our business, results of operations, financial condition, and prospects. If a natural disaster, power outage, public health crisis, or other event occurred that prevented us from conducting our clinical trials, releasing clinical trial results, or delaying our ability to obtain regulatory approval for our product candidate, it may be difficult or, in certain cases, impossible for us to continue our business for a substantial period of time.</w:t>
      </w:r>
    </w:p>
    <w:p>
      <w:pPr>
        <w:spacing w:after="0" w:line="284"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or those used by our CROs or other contractors or consultants, may fail or suffer cybersecurity incidents or breaches, which could adversely affect our business.</w:t>
      </w:r>
    </w:p>
    <w:p>
      <w:pPr>
        <w:spacing w:after="0" w:line="5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information technology systems and data and those of our current or future CROs or other contractors and consultants are vulnerable to compromise or damage from computer hacking, computer viruses, social engineering (e.g. phishing attacks) and malware (e.g., ransomware malicious software), fraudulent activity, employee misconduct, human error, telecommunication and electrical failures, natural disasters, or other cybersecurity attacks or accidents. Future acquisitions could expose us to additional cybersecurity risks and vulnerabilities from any newly acquired information technology infrastructure. Cybersecurity attacks are constantly increasing in frequency and sophistication and are made by groups and individuals with a wide range of motives (including industrial espionage) and expertise, including by organized criminal groups, “hacktivists,” nation states, and others.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Further, as a company with an increasingly global presence, our systems are subject to frequent attacks, which are becoming more commonplace in the industry, including attempted hacking, phishing attempts, such as cyber-related threats involving spoofed or manipulated electronic communications, which increasingly represent considerable risk. Due to the nature of some of the attacks described herein, there is a risk that an attack may remain undetected for</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a period of time. Even if identified, we may be unable to adequately investigate or remediate cybersecurity incidents or breaches due to attackers increasingly using tools and techniques that are designed to circumvent controls, to avoid detection, and to remove or obfuscate forensic evidence. While we continue to make investments to improve the protection of data and information technology, including in the hiring of IT personnel, periodic cyber security awareness trainings, and improvements to IT infrastructure and controls, and conduct regular testing of our systems, there can be no assurance that our efforts will prevent service interruptions or cybersecurity incidents or breaches.</w:t>
      </w:r>
    </w:p>
    <w:p>
      <w:pPr>
        <w:spacing w:after="0" w:line="18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and certain of our service providers are from time to time subject to cyberattack attempts or incidents and cybersecurity incidents. Any cybersecurity incident could adversely affect our business, by leading to, for example, the loss of trade secrets or other intellectual property, demands for ransom or other forms of blackmail, or the unauthorized disclosure of personal or other sensitive information of our employees, clinical trial patients, customers, and others. Although to our knowledge we have not experienced any significant cybersecurity incident to date, if such an event were to occur, it could seriously harm our development programs and our business operations. We could be subject to cybersecurity incident or breach notification requirements, regulatory actions taken by governmental authorities, litigation under laws that protect the privacy of personal information, or other forms of legal proceedings, which could result in significant liabilities or penalties, result in substantial costs, and require attention from management. Further, a cybersecurity incident may disrupt our business or damage our reputation, which could have a material adverse effect on our business, prospects, operating results, share price and stockholder value, and financial condition. We could also incur substantial remediation costs, including the costs of investigating the incident, repairing, or replacing damaged systems, restoring normal business operations, implementing increased cybersecurity protections, and paying increased insurance premiums.</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For example, the loss of clinical trial data from completed, ongoing, or future clinical trials could result in delays in our regulatory approval efforts and significantly increase our costs to recover or reproduce the data. If a cybersecurity breach or other incident were to result in the unauthorized access to or unauthorized use, disclosure, release, or other processing of clinical trial data or personal data, it may be necessary to notify individuals, governmental authorities, supervisory bodies, the media, and other parties pursuant to privacy and security laws. Likewise, we rely on our third-party research institution collaborators for research and development of our product candidate and other third parties for the manufacture of our product candidate and to conduct clinical trials, and similar events relating to their information technology systems could also seriously harm our business. Any security compromise affecting us, our collaborators, or our industry, whether real or perceived, could harm our reputation, erode confidence in the effectiveness of our security measures, and lead to regulatory scrutiny. To the extent that any disruption or cybersecurity incident or breach were to result in a loss of, or damage to, our data or systems, or inappropriate disclosure of confidential or proprietary or personal information, we could incur liability, our competitive position could be harmed, and the further development and commercialization of our product candidate could be delayed, result in substantial costs and require attention from management.</w:t>
      </w:r>
    </w:p>
    <w:p>
      <w:pPr>
        <w:spacing w:after="0" w:line="296"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establish and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We are not currently required to comply with the rules of the SEC implementing Section 404 of the Sarbanes-Oxley Act and are therefore not required to make a formal assessment of the effectiveness of our internal control over financial reporting for that purpose. 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principles. In connection with this offering, we intend to begin the process of documenting, reviewing, and improving our internal controls and procedures for compliance with Sections 302 and 404 of the Sarbanes-Oxley Act, which will require annual management assessment of the effectiveness of our internal control over financial reporting. Any failure to implement required new or improved controls, or difficulties encountered in their implementation could cause us to fail to meet our reporting obligations. In addition,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or a non-accelerated filer, our independent registered public accounting firm will not be required to attest to the effectiveness of our internal controls over financial reporting pursuant to Section 404(b) of the Sarbanes-Oxley Act. We could be an emerging growth company for up to five years following completion of the mergers.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testing, and possible remediation. To comply with the requirements of being a reporting company under the Exchange Act, we may need to upgrade our information technology systems;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Upon the completion of the mergers and concurrent financing, we will become subject to the periodic reporting requirements of the Exchange Act. We must design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other tax attributes may be limited.</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we had approximately $186.5 million of federal net operating losses (“NOLs”). Federal NOLs generated in taxable years ending after December 31, 2017, may be carried forward indefinitely, but the deductibility of such federal NOLs is limited to 80% of our taxable income. As of December 31, 2025,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had approximately $171.0 million of state NOLs. Of the state NOLs, some are of indefinite life, but most are of definite life with various expiration dates, beginning in 2037. As of December 31, 2025, we had approximately $17.1 million of federal research and development tax credit carryforwards. Federal tax credit carryforwards expire at various dates, beginning in 2037. As of December 31, 2025, we had approximately $7.7 million of state research and development tax credit carryforwards. The state tax credits, which have various carryforward rules, begin to expire in 2031. Our ability to utilize these NOLs and tax credits to offset future tax liabilities depends on the successful development of our product candidates and future financial performance.</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if a corporation undergoes an “ownership change,” generally defined as a greater than 50 percentage point change (by value) in its equity ownership by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our acquisitions of assets and as a result of the mergers and concurrent financing and/or subsequent shifts in our stock ownership (some of which are outside our control). There is also a risk that due to regulatory changes, such as suspensions on the use of NOLs by federal or state taxing authorities or other unforeseen reasons, our existing NOLs could expire or otherwise be unavailable to reduce future income tax liabilities. As a result, our ability to use our pre-change NOLs and tax credits to offset future taxable income, if any, could be subject to limitations. Similar provisions of state tax law may also apply. As a result, even if we attain profitability, we may be unable to use a material portion of our NOLs and tax credits.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could adversely affect our business and financial condition.</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including with respect to NOLs and research and development tax credits, could adversely affect us or holders of our common stock. For example, the OBBBA was signed into law on July 4, 2025 and made significant changes to U.S. federal tax law.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United States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United States in such taxable years by filing amended tax returns for such taxable years, and all other taxpayers that are not eligible to make such an election and that amortized expenses for research and development performed in the United States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changes to tax laws have been made and changes are likely to continue to occur in the future.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class action litigation, which is expensive, and could divert management’s attention and harm our business, and insurance coverage may not be sufficient to cover all costs and damages.</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past, securities class action litigation has often followed certain significant business transactions, such as the sale of a company or announcement of any other strategic transaction, or the announcement of negative events, such as negative results from clinical trials. These events may also result in or be concurrent with investigations by the SEC. We may be exposed to such litigation or investigation even if no wrongdoing occurred. Litigation and investigations are usually expensive and divert management’s attention and resources, which could adversely affect our business and cash resources and our ability to consummate a potential strategic transaction or the ultimate value our stockholders receive in any such transaction.</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Galera</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w:t>
      </w:r>
    </w:p>
    <w:p>
      <w:pPr>
        <w:spacing w:after="0" w:line="121"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Galera common stock is quoted on the OTCQB tier of the OTC Markets, Inc. under the symbol “GRTX.” Galera common stock has been thinly traded on the OTCQB and there can be no assurance that a liquid market for Galera common stock will ever develop. The table below includes activity from the fiscal years ended December 31, 2025 and 2024 and for the first and second quarter of 2026 and the third quarter of 2026 through July 1, 2026:</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2024</w:t>
            </w:r>
          </w:p>
        </w:tc>
        <w:tc>
          <w:tcPr>
            <w:tcW w:w="4440" w:type="dxa"/>
            <w:vAlign w:val="bottom"/>
            <w:gridSpan w:val="2"/>
          </w:tcPr>
          <w:p>
            <w:pPr>
              <w:spacing w:after="0"/>
              <w:rPr>
                <w:sz w:val="16"/>
                <w:szCs w:val="16"/>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03"/>
        </w:trPr>
        <w:tc>
          <w:tcPr>
            <w:tcW w:w="67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tcBorders>
              <w:top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88"/>
              </w:rPr>
              <w:t>0.29</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0.13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0.24</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0.15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0.08</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366"/>
        </w:trPr>
        <w:tc>
          <w:tcPr>
            <w:tcW w:w="2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Fiscal Year Ended December 31, 2025</w:t>
            </w:r>
          </w:p>
        </w:tc>
        <w:tc>
          <w:tcPr>
            <w:tcW w:w="4440" w:type="dxa"/>
            <w:vAlign w:val="bottom"/>
            <w:gridSpan w:val="2"/>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03"/>
        </w:trPr>
        <w:tc>
          <w:tcPr>
            <w:tcW w:w="67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78"/>
              </w:rPr>
              <w:t>   0.06</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0.03</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0.04</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0.03</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r>
      <w:tr>
        <w:trPr>
          <w:trHeight w:val="234"/>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0.03</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r>
      <w:tr>
        <w:trPr>
          <w:trHeight w:val="366"/>
        </w:trPr>
        <w:tc>
          <w:tcPr>
            <w:tcW w:w="2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Ending December 31, 2026</w:t>
            </w:r>
          </w:p>
        </w:tc>
        <w:tc>
          <w:tcPr>
            <w:tcW w:w="438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High</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03"/>
        </w:trPr>
        <w:tc>
          <w:tcPr>
            <w:tcW w:w="67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First Quarter</w:t>
            </w:r>
          </w:p>
        </w:tc>
        <w:tc>
          <w:tcPr>
            <w:tcW w:w="600" w:type="dxa"/>
            <w:vAlign w:val="bottom"/>
            <w:tcBorders>
              <w:top w:val="single" w:sz="8" w:color="auto"/>
            </w:tcBorders>
            <w:shd w:val="clear" w:color="auto" w:fill="CCEEFF"/>
          </w:tcPr>
          <w:p>
            <w:pPr>
              <w:ind w:left="300"/>
              <w:spacing w:after="0" w:line="203" w:lineRule="exact"/>
              <w:rPr>
                <w:sz w:val="20"/>
                <w:szCs w:val="20"/>
                <w:color w:val="auto"/>
              </w:rPr>
            </w:pPr>
            <w:r>
              <w:rPr>
                <w:rFonts w:ascii="Times New Roman" w:cs="Times New Roman" w:eastAsia="Times New Roman" w:hAnsi="Times New Roman"/>
                <w:sz w:val="18"/>
                <w:szCs w:val="18"/>
                <w:color w:val="auto"/>
                <w:w w:val="88"/>
              </w:rPr>
              <w:t>0.06</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0.15</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 (through July 1, 2026)</w:t>
            </w:r>
          </w:p>
        </w:tc>
        <w:tc>
          <w:tcPr>
            <w:tcW w:w="9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0.09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0.08</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of July 2, 2026 there were approximately 30 record holders of Galera common stock. The number of record holders was determined from the records of Galera’s transfer agent and does not include beneficial owners of Galera common stock whose shares are held in the names of various security brokers, dealers or registered clearing agencies.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Galera has appointed Equiniti to act as the transfer agent of its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Galera currently intends to retain all of its future earnings, if any, to finance the growth and development of its business. Galera has never declared or paid cash dividends on its common stock and does not intend to pay any cash dividends on its common stock for the foreseeable future. Additionally, the proposal to pay future dividends to Galera stockholders will effectively be at the sole discretion of the Galera Board after taking into account various factors the Galera Board deems relevant, including Galera’s business prospects, capital requirements, financial performance and new product development.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Obsidian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Historical market price information for Obsidian common stock is not provided because there is no public market for Obsidian common stock. For information regarding Obsidian’s liquidity and capital resources, see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of Obsidian—Liquidity and Capital Resources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GALERA STOCKHOLDER CONSENT</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Galera has obtained stockholder approval of the Galera merger and adoption of the merger agreement. Under the DGCL and the Galera Restated Certificate of Incorporation (as amended, the “Galera Charter”), no further vote or consent of any other stockholder of Galera is necessary to approve the Galera merger and adopt the merger agreement.</w:t>
      </w:r>
    </w:p>
    <w:p>
      <w:pPr>
        <w:spacing w:after="0" w:line="176"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By way of a unanimous consent of the Galera Board dated April 13, 2026, the Galera Board approved and adopted the Galera merger and the merger agreement and determined that the Galera merger and the merger agreement are in the best interests of Galera and its stockholders. The Galera Board also recommended that the stockholders of Galera authorize, adopt and approve the Galera merger and merger agreement. Pursuant to the Galera Charter and applicable law, the holders of Galera common stock are entitled to one vote per share on all matters voted upon by Galera stockholders. On July 2, 2026, in accordance with the DGCL and the Galera Charter, stockholders of Galera holding a majority of the outstanding shares of Galera common stock acted by written consent to adopt the merger agreement and each of the transactions contemplated thereby. As of that date, Galera had outstanding 208,023,495 shares of common stock. As of the date of execution, the holders executing the Galera written consent represented approximately 54% of the outstanding Galera voting capital stock.</w:t>
      </w:r>
    </w:p>
    <w:p>
      <w:pPr>
        <w:spacing w:after="0" w:line="19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a result, in accordance with the DGCL and the Galera Charter, the Galera merger and the merger agreement were approved and adopted by the requisite holders of the outstanding shares of capital stock of Galera entitled to vote on this matter.</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Under Section 228 of the DGCL</w:t>
      </w:r>
    </w:p>
    <w:p>
      <w:pPr>
        <w:spacing w:after="0" w:line="22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This information statement/prospectus serves as notice to Galera stockholders pursuant to Section 228(e) of the DGCL of the approval of the Galera merger and the merger agreement by less than unanimous consent of stockholders.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7"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is a discussion of the mergers and the material terms of the merger agreement relating to the mergers. The description in this section and elsewhere in this information statement/prospectus is qualified in its entirety by reference to the complete text of the merger agreement. You should read carefully the entire information statement/prospectus, including the merger agreement in its entirety, a copy of which is attached as </w:t>
      </w:r>
      <w:r>
        <w:rPr>
          <w:rFonts w:ascii="Times New Roman" w:cs="Times New Roman" w:eastAsia="Times New Roman" w:hAnsi="Times New Roman"/>
          <w:sz w:val="18"/>
          <w:szCs w:val="18"/>
          <w:b w:val="1"/>
          <w:bCs w:val="1"/>
          <w:i w:val="1"/>
          <w:iCs w:val="1"/>
          <w:u w:val="single" w:color="auto"/>
          <w:color w:val="auto"/>
        </w:rPr>
        <w:t>Appendix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to this information statement/prospectus. This summary does not purport to be complete and may not contain all of the information about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the merger agreement or the transactions contemplated thereby that is important to you. This section is not intended to provide you with any factual information about Galera or Obsidian. Such information can be found elsewhere in this information statement/prospectus and in the public filings Galera makes with the SEC, as described in the section entitled “Where You Can Find More Information” beginning on page 356 of this information statement/prospectus.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Merger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Mergers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At the Obsidian merger effective time, Merger Sub 1 will merge with and into Obsidian, at which time the separate existence of Merger Sub 1 will cease and Obsidian will survive the Obsidian merger as a wholly owned subsidiary of Parent (the “Obsidian surviving corporation”). Immediately following the Obsidian merger effective time, at the Galera merger effective time, Parent and Galera will cause Merger Sub 2, a wholly owned subsidiary of Parent, to merge with and into Galera, at which time the separate existence of Merger Sub 2 will cease and Galera will survive the Galera merger as a wholly owned subsidiary of Parent (the “Galera surviving corporation”). As a result, among other things, Parent will become the ultimate parent company of Obsidian, Galera and each of their respective subsidiaries.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Terms of the Mergers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Each of the Galera Board, Obsidian Board and Parent Board has approved the merger agreement, which governs the terms and conditions of the mergers.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At the Obsidian merger effective time, each share of Obsidian common stock issued and outstanding immediately prior to the Obsidian merger effective time (and after giving effect to the Obsidian preferred stock conversion, the exercise of the Banc of California, Inc. Warrant (as defined below), and the conversion of Obsidian convertible notes (if any)) will be converted into the right to receive a number of shares of Parent common stock calculated on the basis of the Obsidian exchange ratio (as described in the section titled </w:t>
      </w:r>
      <w:r>
        <w:rPr>
          <w:rFonts w:ascii="Times New Roman" w:cs="Times New Roman" w:eastAsia="Times New Roman" w:hAnsi="Times New Roman"/>
          <w:sz w:val="18"/>
          <w:szCs w:val="18"/>
          <w:i w:val="1"/>
          <w:iCs w:val="1"/>
          <w:color w:val="auto"/>
        </w:rPr>
        <w:t>“The Merger Agreement – Merger Consideration – Obsidian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Ratio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 the certificate of incorporation of the Obsidian surviving corporation will be amended and restated at or prior to the Obsidian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effective time as set forth in the Obsidian certificate of merger and the bylaws of the Obsidian surviving corporation will be amended and restated to be identical to the bylaws of Merger Sub 1 as in effect immediately prior to the Obsidian merger effective time until thereafter amended in accordance with Delaware law and as provided in the Obsidian surviving corporation’s organizational documents.</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share of Galera common stock issued and outstanding immediately prior to the Galera merger effective time (and after giving effect to the Galera preferred stock conversion and the Galera pre-funded warrant exchange (as defined below)) will be converted into the right to receive a number of shares of Parent common stock equal to the Galera exchange ratio (as described in the section titled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—Galera Exchange Ratio</w:t>
      </w:r>
      <w:r>
        <w:rPr>
          <w:rFonts w:ascii="Times New Roman" w:cs="Times New Roman" w:eastAsia="Times New Roman" w:hAnsi="Times New Roman"/>
          <w:sz w:val="18"/>
          <w:szCs w:val="18"/>
          <w:color w:val="auto"/>
        </w:rPr>
        <w:t>”). Further, the certificate of incorporation of the Galera surviving corporation will be amended and restated as set forth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Galera certificate of merger and the bylaws of the Galera surviving corporation will be amended and restated to be identical to the bylaws of Merger Sub 2 as in effect immediately prior to the Galera merger effective time until thereafter amended in accordance with Delaware law and as provided in the Galera surviving corporation’s organizational documents.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Following the Galera merger effective time, Parent will take all actions reasonably necessary so that the certificate of incorporation of Parent will remain in effect, until thereafter amended as provided by Delaware law, provided, however, that at or prior to the Galera merger effective time, Parent will file one or more amendments to its certificate of incorporation to change its name to “Obsidian Therapeutics, Inc.” and make such other changes as are agreeable to Obsidian.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Pre-Merger Obsidian Conversions</w:t>
      </w:r>
    </w:p>
    <w:p>
      <w:pPr>
        <w:spacing w:after="0" w:line="121"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Immediately prior to the Obsidian merger effective time, all issued and outstanding shares of Obsidian preferred stock, including any issued and outstanding Obsidian Series A-1 Preferred Stock, Series A-2 Preferred Stock, Series A-3 Preferred Stock, Series B Preferred Stock, and Series C Preferred Stock, will be converted to Obsidian common stock in accordance with the organizational documents of Obsidian (the “Obsidian preferred stock conversion”). In addition, prior to the Obsidian merger effective time, Obsidian anticipates that (a) the Obsidian board (or a committee thereof) will adopt resolutions to deem any unexercised portion of its outstanding Obsidian Banc of California, Inc. warrants automatically exercised in accordance with the terms of the Obsidian Banc of California, Inc. warrants and, upon automatic exercise, terminate the warrants in full and (b) to the extent that Obsidian undertakes a Permitted Obsidian Bridge Financing, any convertible notes issued in connection therewith will be converted into shares of Obsidian common stock.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Pre-Merger Galera Conversions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Immediately following the Obsidian merger effective time but immediately prior to the Galera merger effective time, all Galera preferred stock, including all shares of Series B preferred stock outstanding and Series C preferred stock issued in the concurrent financing, will be converted into Galera common stock in accordance with the organizational documents of Galera (the “Galera preferred stock conversion”). In addition, (a) prior to the Galera merger effective time, the issued and outstanding Galera Pre-Funded Warrants will be exchanged for shares of Galera common stock in accordance with the terms thereof (the “Galera pre-funded warrant exchange”) and (b) at the Galera merger effective time, (i) each outstanding and unexercised Galera Exchangeable Warrant will, whether or not vested, become a warrant to purchase shares of Parent common stock in accordance with the terms thereof and without any further action by Parent or Galera and (ii) each outstanding and unexercised Galera Terminable Warrant will, whether or not vested, be terminated in accordance with the terms thereof.</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Mergers</w:t>
      </w:r>
    </w:p>
    <w:p>
      <w:pPr>
        <w:spacing w:after="0" w:line="119"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chronology summarizes the key meetings and events that led to the signing of the merger agreement. The following chronology does not purport to catalogue every conversation among members of the Galera Board, Obsidian, Galera’s representatives, Obsidian’s representatives and other parties.</w:t>
      </w:r>
    </w:p>
    <w:p>
      <w:pPr>
        <w:spacing w:after="0" w:line="175"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Following the FDA’s determination in August 2023 that an additional Phase 3 clinical trial would be required to advance regulatory approval for Galera’s then lead product candidate, the Galera Board determined that continued development of that product candidate was not feasible in light of Galera’s then-current resources and Galera began to wind down its commercial readiness efforts, reduced headcount and publicly announced that it was reviewing strategic alternatives in an effort to enhance stockholder value. On September 4, 2024, Galera was delisted from Nasdaq and Galera’s common stock began trading on the OTC Pink Market.</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Following the conclusion of its review of strategic alternatives in the third quarter of 2024 without a viable strategic alternative that would enhance stockholder value being identified, the Galera Board sought stockholder approval for an orderly wind down and liquidation of Galera . At a special meeting of stockholders held on October 17, 2024, Galera’s stockholders rejected the proposed plan of liquidation.</w:t>
      </w:r>
    </w:p>
    <w:p>
      <w:pPr>
        <w:spacing w:after="0" w:line="176"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Throughout the remainder of 2024, the Galera Board with the assistance of Galera’s management, continued to explore what, if any, other alternatives were available for Galera in light of its discontinued business activities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and limited resources. Following discussions with a number of potential counterparties, on December 30, 2024, in an effort to provide Galera with a viable path to restarting its development efforts Galera acquired Nova Pharmaceuticals, Inc. (“Nova”), a privately-held biotechnology company advancing a pan-inhibitor of nitric oxide synthase to treat patients with highly resistant forms of breast cancer, including metaplastic breast cancer and other refractory subsets of triple-negative breast cancer. In connection with the Nova acquisition, a syndicate of investors led by Ikarian Capital invested approximately $2.9 million in Galera.</w:t>
      </w:r>
    </w:p>
    <w:p>
      <w:pPr>
        <w:spacing w:after="0" w:line="183"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Following the closing of the Nova acquisition, the Galera Board sought the additional financing necessary to pursue its new development programs and to enable Galera to regain its listing on Nasdaq. Despite extensive third party outreach by Galera and its advisors throughout the first seven months of 2025, the Galera Board was unable to identify a viable financing transaction.</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January 21, 2025, the Galera Board met with members of Galera’s management and representatives of Sidley Austin LLP (“Sidley”) present. At that meeting, the Galera Board reviewed Galera’s operations following its acquisition of Nova, discussed Galera’s research and development strategy and reviewed Galera’s financing and anticipated capital needs through 2026. Following such meeting the Galera Board continued its efforts to secure additional financing and explore strategic alternatives and directed members of Galera’s management team to continue looking for financing and other strategic alternatives.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July 18, 2025, the Galera Board met with members of Galera’s management and representatives of Sidley present. At that meeting, the Galera Board received an update regarding Galera’s programs and assets, including Galera’s potential path to regaining its Nasdaq listing, chemistry, manufacturing and controls activities and intellectual property position and plans. The Galera Board also reviewed Galera’s financial condition and the status of Galera’s fundraising efforts and discussed the process and timing for a potential dissolution of Galera, including the Galera Board’s fiduciary duties if Galera were to potentially become insolvent. The Galera Board directed members of Galera’s management team to continue looking for financing and other strategic alternatives.</w:t>
      </w:r>
    </w:p>
    <w:p>
      <w:pPr>
        <w:spacing w:after="0" w:line="187"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Between July 18, 2025 and August 27, 2025, the Galera Board, together with Galera’s management and advisors, actively explored financing and other strategic alternatives for Galera. Based on feedback from potential financing sources, the Galera Board determined that, for any financing transaction to be viable, Galera would need to reduce the aggregate amount of its royalty obligations and identify an actionable path to regaining its Nasdaq listing. Galera also evaluated potential financing alternatives for its tilarginine program, but concluded that such financing opportunities were not feasible at that time. Accordingly, the Galera Board determined that, in order to improve Galera’s ability to pursue a viable financing or strategic transaction, Galera would need to reduce its outstanding royalty obligations and directed management to explore potential asset sale and other strategic transactions that could facilitate the removal of such obligations from Galera’s balance sheet.</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August 27, 2025, Galera and Clarus IV Galera Royalty AIV, L.P., an affiliate of Blackstone Life Sciences (“Blackstone”), entered into the Second Amendment to the Royalty Agreement, as amended, that the parties initially entered into on November 14, 2018. Pursuant to the Second Amendment, Galera and Blackstone agreed to reduce, from a high single-digit percentage to 4%, the royalty payable to Blackstone on (i) worldwide net sales of avasopasem and rucosopasem; and (ii) all amounts received by Galera or its affiliates, licensees and sublicensees with respect to product-related damages during the royalty period.</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September 12, 2025, the Galera Board met with members of Galera’s management and representatives of Sidley present. At that meeting, management reviewed Galera’s intellectual property portfolio for its products, including avasopasem manganese, rucosopasem, and tilarginine, and updated the Galera Board on the status of Galera’s ongoing review of strategic alternatives. Management also informed the Galera Board that Galera had received two term sheets relating to potential licensing or disposition transactions involving avasopasem in different fields of use, one of which was from Biossil, and reviewed the terms of the proposed transactions. Following discussion, the Galera Board authorized management to seek to negotiate definitive agreements with Biossil and another potential counterparty, and authorized management to seek a 120-day exclusivity period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under the Biossil term sheet. Galera’s management also updated the Galera Board regarding Galera’s programs and assets, reviewed Galera’s finances and ongoing fundraising efforts and discussed the process and timing for a potential dissolution of Galera.</w:t>
      </w:r>
    </w:p>
    <w:p>
      <w:pPr>
        <w:spacing w:after="0" w:line="162" w:lineRule="exact"/>
        <w:rPr>
          <w:sz w:val="20"/>
          <w:szCs w:val="20"/>
          <w:color w:val="auto"/>
        </w:rPr>
      </w:pPr>
    </w:p>
    <w:p>
      <w:pPr>
        <w:jc w:val="both"/>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On September 30, 2025, the Galera Board met with members of Galera’s management and representatives of Sidley present. At that meeting, the Galera Board received a financial update. The Galera Board also discussed the timing for a potential dissolution of Galera and was advised that, based on the analysis presented, the dissolution process could take approximately two months from the time the Galera Board resolved to dissolve Galera.</w:t>
      </w:r>
    </w:p>
    <w:p>
      <w:pPr>
        <w:spacing w:after="0" w:line="2" w:lineRule="exact"/>
        <w:rPr>
          <w:sz w:val="20"/>
          <w:szCs w:val="20"/>
          <w:color w:val="auto"/>
        </w:rPr>
      </w:pPr>
    </w:p>
    <w:p>
      <w:pPr>
        <w:ind w:left="120" w:right="580"/>
        <w:spacing w:after="0" w:line="265" w:lineRule="auto"/>
        <w:rPr>
          <w:sz w:val="20"/>
          <w:szCs w:val="20"/>
          <w:color w:val="auto"/>
        </w:rPr>
      </w:pPr>
      <w:r>
        <w:rPr>
          <w:rFonts w:ascii="Times New Roman" w:cs="Times New Roman" w:eastAsia="Times New Roman" w:hAnsi="Times New Roman"/>
          <w:sz w:val="17"/>
          <w:szCs w:val="17"/>
          <w:color w:val="auto"/>
        </w:rPr>
        <w:t>Galera’s management then reviewed the terms and status of the proposed Biossil transaction, noting that definitive documentation for the Biossil transaction was nearly agreed on the terms previewed to the Galera Board. Following discussion and deliberation, the Galera Board unanimously</w:t>
      </w:r>
    </w:p>
    <w:p>
      <w:pPr>
        <w:ind w:left="120" w:right="880" w:hanging="4"/>
        <w:spacing w:after="0" w:line="260" w:lineRule="auto"/>
        <w:tabs>
          <w:tab w:leader="none" w:pos="33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terms and conditions of the proposed Biossil transaction were fair, reasonable and in the best interest of Galera and its stockholders; and (ii) authorized Galera’s management to finalize and enter into the definitive documentation on the terms discussed.</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October 15, 2025, Galera and Biossil entered into the Supportive Care Product Agreement and closed the Supportive-Care Product Divestiture.</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Following the Supportive-Care Product Divestiture, Galera redoubled its efforts to explore options to relist the Galera common stock on Nasdaq, including by pursuing a potential reverse merger transaction. In addition, members of the Galera Board and Galera’s management continued to explore potential financing alternatives, including potential transactions to monetize its tilarginine product.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November 3, 2025, Galera commenced a process to solicit third party indications of interest for a financing or reverse merger transaction. Over the following 14 weeks, process letters were ultimately sent to 13 investment banks, 6 investment funds and 6 law firms. In addition to discussions with Obsidian, Company A and Company B (each as further described below), the process resulted in Galera engaging in preliminary discussions with two other potential counterparties in February 2026. No non-disclosure agreements were entered with these two potential counterparties and discussions did not progress beyond initial stages, as the Galera Board determined that these counterparties did not present compelling concurrent financing opportunities or transactions with sufficient certainty of closing.</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November 4, 2025, the Galera Board met with members of Galera’s management present. At that meeting, Galera’s management discussed its efforts to finalize Galera’s financial statements reflecting the assumption by Biossil of Galera’s royalty obligations to Blackstone and also potentially remove the going concern qualification. The Galera Board discussed the importance of finalizing the updated financial statements to Galera’s ongoing fundraising efforts, and discussed the status of Galera’s efforts to identify a potential financing transaction or reverse merger.</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December 1, 2025, Galera received a written non-binding indication of interest from a potential counterparty referred to as Company A with respect to a potential strategic transaction with Galera. On December 2, 2025, Company A and Galera executed a non-disclosure agreement and entered into term sheet negotiations with respect to a potential reverse merger transaction and a concurrent financing with Company A. The non-disclosure agreement with Company A did not contain a “standstill” provision. Discussions and negotiations continued with Company A up until the execution of a term sheet with Obsidian on March 13, 2026 (as further described below). Company A was concurrently pursuing other potential transactions, which provided less visibility into a potential timeline for a transaction and the Galera Board subsequently determined that a transaction with Company A did not provide sufficient certainty of execution.</w:t>
      </w:r>
    </w:p>
    <w:p>
      <w:pPr>
        <w:spacing w:after="0" w:line="189"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On December 18, 2025, the Galera Board met with members of Galera’s management and representatives of Sidley present. At that meeting, the Galera Board discussed Galera’s potential strategic alternatives and the process and expected timing for those alternatives. In order to remain informed as Galera’s strategic alternatives and related discussions evolved, the Galera Board determined to schedule weekly update calls for the foreseeable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future, subject to cancellation if no significant developments had occurred since the prior meeting. The Galera Board also received an executive summary regarding the status of the ongoing tilarginine study.</w:t>
      </w:r>
    </w:p>
    <w:p>
      <w:pPr>
        <w:spacing w:after="0" w:line="16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January 6, 2026, Galera’s management determined that Galera’s December 31, 2025, balance sheet would reflect Biossil’s assumption of the Blackstone royalty obligations in connection with the Supportive-Care Product Divestiture. The Galera Board determined that the removal of those obligations from Galera’s balance sheet would improve Galera’s prospects for pursuing a reverse merger transaction.</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20, 2026, the Galera Board met with Galera’s management and representatives of Sidley present. At that meeting, the Galera Board discussed Galera’s efforts to pursue a strategic alternative, with a particular focus on a potential reverse merger transaction involving a privately held company. The Galera Board reviewed the timing and cost of such a transaction in light of Galera’s limited cash resources. Representatives of Sidley also reviewed with the Galera Board a proposed timeline for effecting a reverse merger and a plan to return Galera to listing on Nasdaq.</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On January 20, 2026, as part of Galera’s solicitation efforts, members of the Galera Board contacted Leerink Partners LLC (“Leerink Partners”) who, later that same day, informed Galera that they had a client who may be interested in a potential reverse merger transaction.</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On February 12, 2026, Galera filed a Certificate of Amendment to the Certificate of Designation of the Galera Series B preferred stock with the Secretary of State of the State of Delaware. The amendment provides that, in the sole discretion of the Galera Board, Galera may elect to convert, in whole or in part, outstanding shares of the Galera Series B preferred stock into a number of shares of Galera common stock calculated based on a conversion rate set forth in such Certificate of Designation. In response to feedback received from third parties during Galera’s solicitation process, the Galera Board determined that the amendment would enhance Galera’s financing prospects.</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February 13, 2026, Galera received a non-binding letter of intent from a potential counterparty referred to as Company B with respect to a potential strategic transaction with Galera, after an introduction by an investment bank. The letter of intent from Company B proposed a reverse merger transaction with a concurrent financing. Galera and Company B engaged in discussions and negotiations thereafter, on a non-confidential basis. Discussions and negotiations continued with Company B up until the execution of a term sheet with Obsidian on March 13, 2026 (as further described below).</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February 19, 2026, members of the Galera Board informed Leerink Partners of Galera’s continued interest in pursuing a potential reverse merger transaction. The following day, on February 20, 2026, Leerink Partners contacted members of the Galera Board and informed them that the same Leerink Partners client (later identified as Obsidian) continued to show interest in pursuing a potential transaction with Galera.</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Between February 21, 2026 and March 5, 2026, Galera had several teleconference calls with representatives of Sidley and Leerink Partners regarding the viability of listing the combined company on Nasdaq. The Galera Board and Sidley discussed the potential transactions with Company A, Company B and Obsidian, each of which contemplated a reverse merger transaction with a concurrent financing. The Galera Board determined that a potential transaction with a privately held company with strong clinical results, management team and an institutional investor base offered potential value to Galera and its stockholders.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a meeting of the Galera Board on March 3, 2026, Galera’s management updated the Galera Board with respect to its preliminary discussions with Obsidian as well as of the status of its discussions with Company A and Company B, each of which contemplated a reverse merger transaction with a concurrent financing. The Galera Board directed Galera’s management to continue pursuing discussions with Obsidian, Company A and Company B, and to keep the Galera Board informed regarding any material developments with respect to other potential strategic alternatives.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Leerink Partners facilitated the execution of a mutual non-disclosure agreement between Galera and Obsidian on March 6, 2026, following which Leerink Partners disclosed Obsidian’s name and other initial information, including Obsidian’s capitalization table, funding to date and commitments for future funding. The non-disclosure agreement between Galera and Obsidian did not contain a “standstill” provision. Following execution of the mutual non-disclosure agreement, each of Galera and Obsidian provided the other party with limited non-public diligence information. The Galera Board determined that Obsidian presented strong clinical results, management team and an institutional investor base with potential to enhance stockholder value and directed Galera’s management to pursue further diligence of Obsidian.</w:t>
      </w:r>
    </w:p>
    <w:p>
      <w:pPr>
        <w:spacing w:after="0" w:line="187"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On March 6, 2026, Obsidian sent Galera a non-binding letter of intent with an ascribed valuation of Galera of $11.8 million and an ascribed valuation of Obsidian of $515 million, with an implied ownership interest in the combined company of approximately 1.5% for existing Galera securityholders. Obsidian’s proposal also contemplated a $200 million financing concurrent with the consummation of the reverse merger transaction.</w:t>
      </w:r>
    </w:p>
    <w:p>
      <w:pPr>
        <w:spacing w:after="0" w:line="15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Between March 6, 2026 and March 13, 2026, Galera, Obsidian and their respective advisors held a number of teleconference calls during which they discussed, among other things, diligence of both Galera and Obsidian, investor support, valuation, structural considerations regarding the listing on Nasdaq, Galera’s conversion of the Galera Series B preferred stock, and other procedures to announce and close the transactions.</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March 9, 2026, Galera executed a non-disclosure agreement with Company B, which did not include a “standstill” provision. Galera and Company B entered into the non-disclosure agreement with the intent to pursue discussions and negotiations on a confidential basis. The Galera Board subsequently determined that a potential transaction with Company B did not provide financing possibilities as strong as those potentially available with Obsidian, and further discussions with Company B did not materialize.</w:t>
      </w:r>
    </w:p>
    <w:p>
      <w:pPr>
        <w:spacing w:after="0" w:line="180"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On March 12, 2026, Galera received from Leerink Partners the first draft of a non-binding term sheet relating to the proposed transaction with Obsidian. Later that day, noting the lengthy and diligent search for strategic alternatives for Galera to realize value for Galera stockholders and following the Galera Board’s evaluation of Obsidian, its business and the proposed transaction, the Galera Board unanimously (i) determined that the proposed reverse merger transaction with Obsidian and the concurrent financing contemplated by the non-binding term sheet offered greater value to Galera than any other potential transaction proposed to Galera; and (ii) approved the non-binding term sheet in substantially the form presented to the Galera Board. The non-binding term sheet provided for, among other things, a “top-hat” reverse merger structure, pursuant to which Galera and Obsidian stockholders would exchange their respective equity interests for shares of a newly formed parent company and Galera and Obsidian would each become wholly owned subsidiaries of such parent company, a concurrent financing of approximately $200 million and the issuance of contingent value rights to Galera stockholders with respect to certain proceeds from Galera’s legacy assets and related intellectual property. The Galera Board determined to proceed with a transaction with Obsidian instead of a transaction with Company A or Company B because the proposed transaction with Obsidian presented stronger demonstrated investor interest in the concurrent financing and a clearer pathway toward receiving regulatory approval for the transaction.</w:t>
      </w:r>
    </w:p>
    <w:p>
      <w:pPr>
        <w:spacing w:after="0" w:line="19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On March 14, 2026, Galera and Obsidian entered into a non-binding term sheet with respect to the proposed reverse merger transaction and related concurrent private placement financing, which provided for a 45-day exclusivity period.</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On March 16, 2026, as discussions regarding the proposed transaction with Obsidian continued, Galera received from Leerink Partners a draft placement agent engagement letter relating to the proposed concurrent financing.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0"/>
          </w:cols>
          <w:pgMar w:left="320" w:top="455"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During the period commencing in March 2026 through the execution of the merger agreement on April 14, 2026, each of Galera and Obsidian continued to conduct their respective business and financial due diligence investigations of the other company and its business, with the assistance of the respective advisors of Galera and Obsidian. Galera and Obsidian focused on customary due diligence regarding finance, legal, tax, accounting, operations, clinical, scientific and related matters. During this period, Galera’s management and representatives of Sidley held regular discussions with the Galera Board regarding the status of Galera’s negotiations with Obsidian, the progress of diligence, significant open issues and the anticipated timing and structure of the transactions.</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April 2, 2026, representatives of Goodwin Procter LLP (“Goodwin”) delivered the initial draft of the subscription agreement for the concurrent financing to representatives of Sidley. The subscription agreement contemplated that certain qualified institutional buyers and/or accredited investors would purchase shares of Galera’s Series C preferred stock immediately prior to the transactions occurring.</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April 4, 2026, representatives of Goodwin delivered the initial draft of the merger agreement to representatives of Sidley. The initial draft of the merger agreement provided for, among other things, a “top-hat” reverse merger structure, wherein Merger Sub 1 would merge with and into Obsidian with Obsidian surviving as a wholly-owned subsidiary of Parent, followed by the merger of Merger Sub 2 with and into Galera, with Galera surviving as a wholly-owned subsidiary of Parent. Galera and Obsidian stockholders would all receive Parent common stock as the merger consideration in accordance with the exchange ratios contained therein. Under the initial draft merger agreement, Galera and Obsidian would also make largely reciprocal representations and warranties regarding their respective businesses and agree to largely reciprocal interim operating covenants and other pre-closing covenants. The draft merger agreement contained customary closing conditions, including a bring-down of the general representations and warranties at a “Material Adverse Effect” standard and the fundamental representations and warranties at an “all material respects” standard. The Parent common stock to be issued in the mergers was proposed to be listed on Nasdaq. Simultaneously with the signing of the merger agreement, certain Galera stockholders and Obsidian stockholders would also deliver support agreements, committing to vote in favor of the mergers and Obsidian would deliver lock-up agreements providing for a 180-day post-closing lock-up period for certain of Obsidian’s stockholders.</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Following delivery of the initial draft of the merger agreement, the Galera Board, members of Galera’s management and representatives of Sidley discussed the proposed structure of the transactions and the principal terms of the draft merger agreement. The Galera Board and its advisors also discussed legal, structural and execution considerations relating to the proposed mergers, including the steps required to obtain stockholder approval, satisfy Nasdaq listing requirements and coordinate the proposed concurrent financing and related transaction documents.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6, 2026, representatives of Goodwin delivered the initial draft of the form of lock-up agreement to representatives of Sidley.</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April 6, 2026, a videoconference call was held among representatives of Galera, Obsidian, Sidley, Goodwin and Leerink Partners to discuss the timing of and open issues related to the transactions.</w:t>
      </w:r>
    </w:p>
    <w:p>
      <w:pPr>
        <w:spacing w:after="0" w:line="162"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On April 7, 2026, representatives of Sidley delivered revised drafts of the subscription agreement and the form of lock-up agreement to representatives of Goodwin.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8, 2026, representatives of Sidley delivered the initial draft of the form of Galera’s support agreement to representatives of Goodwin.</w:t>
      </w:r>
    </w:p>
    <w:p>
      <w:pPr>
        <w:spacing w:after="0" w:line="225"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April 8, 2026, following a discussion between members of the Galera Board and Galera’s management with respect to Lucid’s independence from Galera, and after the Galera Board determined that there were no conflicts that would impair Lucid’s ability to provide the contemplated services, Galera retained Lucid pursuant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to an engagement letter (the “Lucid Engagement Letter”) to deliver an opinion to the Galera Board as to the fairness of the Galera exchange ratio and the Obsidian exchange ratio, from a financial point of view, to the holders of Galera common stock (the “Lucid Opinion”).</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April 9, 2026, a videoconference call was held among representatives of Galera, Obsidian, Sidley, Goodwin and Leerink Partners to discuss the timing of and open issues related to the transactions.</w:t>
      </w:r>
    </w:p>
    <w:p>
      <w:pPr>
        <w:spacing w:after="0" w:line="162"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On April 9, 10 and 11, 2026, representatives of Goodwin delivered successive revised drafts of the subscription agreement to representatives of Sidley.</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April 9, 2026, representatives of Sidley delivered a revised draft of the merger agreement to representatives of Goodwin. The revised draft of the merger agreement provided for, among other things, updated definitions related to the calculation of the exchange ratios, revisions to certain representations and warranties, provisions permitting Galera to undertake certain bridge financings in the period between signing of the merger agreement and the closing of the transactions, and revised closing conditions and termination provisions.</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On April 10, 2026, representatives of Sidley delivered the initial draft of the CVR agreement to representatives of Goodwin. The initial draft of the CVR agreement provided for, among other things, the characteristics of the CVRs, the calculations for any payments with respect to a CVR and related payment procedures, and certain covenants of Parent, Obsidian and Rights Agent with respect to the CVR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10, 2026, representatives of Goodwin delivered a revised draft of the form of Galera’s support agreement to representatives of Sidley.</w:t>
      </w:r>
    </w:p>
    <w:p>
      <w:pPr>
        <w:spacing w:after="0" w:line="225"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On April 10, 2026, a videoconference call was held among representatives of Galera, Obsidian, Sidley, Goodwin and Leerink Partners to discuss the timing of, and open issues related to, the transactions.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On April 11, 2026, a videoconference call was held among representatives of Sidley and Goodwin to discuss the revised draft of the merger agreement delivered by Sidley to Goodwin on April 9, 2026.</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April 11, 2026, representatives of Sidley delivered the final draft of the form of Galera’s support agreement to representatives of Goodwin.</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April 12, 2026, representatives of Goodwin delivered a revised draft of the merger agreement to representatives of Sidley. The revised draft of the merger agreement provided for, among other things, updated definitions related to the calculation of the exchange ratios and revised termination provisions.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Later that evening on April 12, 2026, representatives of Sidley delivered a further revised draft of the merger agreement to representatives of Goodwin.</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On April 13, 2026, a videoconference call was held among representatives of Sidley and Goodwin to discuss the revised draft of the merger agreement delivered by Sidley to Goodwin on April 12, 2026.</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On April 13, 2026, representatives of Goodwin delivered revised drafts of the merger agreement, the CVR agreement and the lock-up agreement, as well as the final version of the subscription agreement and the form of Obsidian’s support agreement, to representatives of Sidley.</w:t>
      </w:r>
    </w:p>
    <w:p>
      <w:pPr>
        <w:spacing w:after="0" w:line="16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Throughout its negotiations of the merger agreement with Obsidian, Galera’s representatives focused on certainty of closing of the transaction and maximizing value for the Galera stockholders. For example, Galera attempted to negotiate having Obsidian’s stockholders deliver an executed stockholders’ consent at the time of execution of the merger agreement. While Galera was not ultimately successful in doing so, it was able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successfully negotiate having Obsidian (i) stockholders holding approximately 62.8% of the outstanding Obsidian capital stock execute and deliver Obsidian stockholder support agreements at the time of execution of the merger agreement and (ii) pay a termination fee to Galera if the Required Obsidian Stockholder Approval is not delivered to Galera within 15 days of the registration statement of which this information statement/prospectus forms a part becoming effective or the Obsidian Board or a committee thereof makes an Obsidian Board Adverse Recommendation Change. While Galera attempted to negotiate a floor for its valuation as it relates to the Galera Net Cash adjustment, this was rejected by Obsidian. With respect to the CVR agreement, Galera was successful in negotiating a higher percentage payment amount (95% vs. 80%) for certain of its Supportive-Care products.</w:t>
      </w:r>
    </w:p>
    <w:p>
      <w:pPr>
        <w:spacing w:after="0" w:line="200" w:lineRule="exact"/>
        <w:rPr>
          <w:sz w:val="20"/>
          <w:szCs w:val="20"/>
          <w:color w:val="auto"/>
        </w:rPr>
      </w:pPr>
    </w:p>
    <w:p>
      <w:pPr>
        <w:spacing w:after="0" w:line="203"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7"/>
          <w:szCs w:val="17"/>
          <w:color w:val="auto"/>
        </w:rPr>
        <w:t>In the evening of April 13, 2026, the Galera Board held a meeting at which members of Galera’s management and representatives of Lucid and Sidley were present. Galera’s directors discussed, among other things, the potential benefits and risks of the transactions. During the meeting, a representative from Sidley reviewed the fiduciary duties of the Galera Board in connection with the transactions and reviewed the material terms of the merger agreement, the subscription agreement and the CVR agreement. The Galera Board discussed various considerations with respect to the proposed transactions, as summarized in the section entitled “Galera’s Reasons for the Mergers.” In addition, Lucid rendered an oral opinion, subsequently confirmed by delivery of the Lucid Opinion dated April 13 2026, to the Galera Board, that each of the Galera exchange ratio and the Obsidian exchange ratio was fair, from a financial point of view, to the Galera stockholders, as further described in the section entitled “Opinion of Galera’s Financial Advisor.” Following discussion and delivery of the Lucid Opinion, the Galera Board unanimously (i) determined that the transactions are fair to, advisable and in the best interests of Galera and its stockholders; (ii) determined that the merger agreement and the transactions and the other actions contemplated by the merger agreement are advisable; (iii) determined that it is in the best interests of Galera and its stockholders to recommend, upon the terms and subject to the conditions set forth in the merger agreement, that the stockholders of Galera vote to approve the Galera merger;</w:t>
      </w:r>
    </w:p>
    <w:p>
      <w:pPr>
        <w:spacing w:after="0" w:line="2" w:lineRule="exact"/>
        <w:rPr>
          <w:sz w:val="20"/>
          <w:szCs w:val="20"/>
          <w:color w:val="auto"/>
        </w:rPr>
      </w:pPr>
    </w:p>
    <w:p>
      <w:pPr>
        <w:jc w:val="both"/>
        <w:ind w:left="120" w:hanging="4"/>
        <w:spacing w:after="0" w:line="277" w:lineRule="auto"/>
        <w:tabs>
          <w:tab w:leader="none" w:pos="425"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the transactions, as fair to and in the best interests of Galera and its stockholders; (v) adopted and declared advisable the merger agreement and the consummation by Galera of the transactions on the terms and subject to the conditions set forth in the merger agreement; and (vi) recommended, on the terms and subject to the conditions set forth in the merger agreement, that the stockholders of Galera vote to approve the Galera merger.</w:t>
      </w:r>
    </w:p>
    <w:p>
      <w:pPr>
        <w:spacing w:after="0" w:line="169"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During the morning of April 14, 2026, Goodwin and Sidley exchanged final versions of the merger agreement, the CVR agreement, the form of Obsidian’s support agreement and the lock-up agreement. That same morning, representatives of Sidley circulated to Galera’s management the final versions of the merger agreement, the subscription agreement, the CVR agreement, the forms of the support agreements and the form of lock-up agreement who then circulated such documents to the Galera Board. Later that morning on April 14, 2026, Galera and Obsidian executed the merger agreement.</w:t>
      </w:r>
    </w:p>
    <w:p>
      <w:pPr>
        <w:spacing w:after="0" w:line="183"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Before the opening of trading on Nasdaq on April 14, 2026, Obsidian issued a press release announcing Galera’s and Obsidian’s entry into the merger agreement and Galera’s entry into the subscription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Galera’s Reasons for the Mergers</w:t>
      </w:r>
    </w:p>
    <w:p>
      <w:pPr>
        <w:spacing w:after="0" w:line="121"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After careful consideration, the Galera Board (i) determined that the transactions contemplated by the merger agreement are fair to, advisable and in the best interests of Galera and its stockholders; (ii) determined that the merger agreement and the transactions contemplated thereby and the other actions contemplated by the merger agreement are advisable; (iii) determined that it is in the best interests of Galera and its stockholders to recommend, upon the terms and subject to the conditions set forth in the merger agreement, that the stockholders of the Company vote to approve the Galera merger;</w:t>
      </w:r>
    </w:p>
    <w:p>
      <w:pPr>
        <w:spacing w:after="0" w:line="3" w:lineRule="exact"/>
        <w:rPr>
          <w:sz w:val="20"/>
          <w:szCs w:val="20"/>
          <w:color w:val="auto"/>
        </w:rPr>
      </w:pPr>
    </w:p>
    <w:p>
      <w:pPr>
        <w:jc w:val="both"/>
        <w:ind w:left="120" w:right="140" w:hanging="4"/>
        <w:spacing w:after="0" w:line="253" w:lineRule="auto"/>
        <w:tabs>
          <w:tab w:leader="none" w:pos="42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transactions contemplated by the merger agreement, as fair to and in the best interests of Galera and its stockholders; (v) adopted and declared advisable the merger agreement and the consummation by Galera of the transactions contemplated by the merger agreement on the terms and subject to the conditions set forth in the merger agreement; and (vi) recommended, on the terms and subject to the conditions set forth in the merger agreement, that the stockholders of Galera vote to approve the Galera merger.</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In evaluating the merger agreement and reaching its decision to recommend that Galera’s stockholders approve the Galera merger, the Galera Board consulted with Galera’s management, as well as its outside legal and financial advisors, and considered a number of factors, including the following material factors (not in any relative order of importance):</w:t>
      </w:r>
    </w:p>
    <w:p>
      <w:pPr>
        <w:spacing w:after="0" w:line="81" w:lineRule="exact"/>
        <w:rPr>
          <w:sz w:val="20"/>
          <w:szCs w:val="20"/>
          <w:color w:val="auto"/>
        </w:rPr>
      </w:pPr>
    </w:p>
    <w:p>
      <w:pPr>
        <w:ind w:left="1080" w:right="18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a stand-alone scenario presented significant risk and dilution to Galera stockholders, taking into account Galera’s business, operational and financial prospects, including its cash position and the substantially diminished price of Galera common stock;</w:t>
      </w:r>
    </w:p>
    <w:p>
      <w:pPr>
        <w:spacing w:after="0" w:line="67"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risks associated with clinical development and, in particular, that deriving value from tilarginine would require additional funding and clinical trials, and based in part on the judgment, advice and analysis of Galera’s management with respect to the potential strategic, financial and operational benefits of the mergers (which judgement was informed in part by the business, technical, financial and legal due diligence investigation performed by Galera with respect to Obsidian), the belief that Obsidian’s focus and development of novel engineered TIL cell therapies for the treatment of patients with solid tumors, along with the experience of its management and other personnel, and the granting of CVRs to Galera stockholders to provide a potential financial benefit in the event that tilarginine, GC4419 or GC4711 is sold or licensed during a future period, would create more value for Galera stockholders in the long term than Galera could create as an independent stand-alone company;</w:t>
      </w:r>
    </w:p>
    <w:p>
      <w:pPr>
        <w:spacing w:after="0" w:line="97" w:lineRule="exact"/>
        <w:rPr>
          <w:rFonts w:ascii="Times New Roman" w:cs="Times New Roman" w:eastAsia="Times New Roman" w:hAnsi="Times New Roman"/>
          <w:sz w:val="18"/>
          <w:szCs w:val="18"/>
          <w:color w:val="auto"/>
        </w:rPr>
      </w:pPr>
    </w:p>
    <w:p>
      <w:pPr>
        <w:ind w:left="1080" w:right="180" w:hanging="424"/>
        <w:spacing w:after="0" w:line="258"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Galera Board’s evaluation of strategic alternatives, including continued independent operation, transactions with other counterparties, potential partnering transactions, additional financings and a potential liquidation, and its belief that the mergers represented the most favorable alternative reasonably available due to, among other things, Obsidian’s support from the investors in the concurrent financing, and Obsidian’s potential to achieve key milestones that could enable the combined company to access the public markets for additional financial resources; and</w:t>
      </w:r>
    </w:p>
    <w:p>
      <w:pPr>
        <w:spacing w:after="0" w:line="88"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terms and expected availability of the concurrent financing and the Galera Board’s belief that such financing was necessary to support the combined company’s business plan and was not otherwise available to Galera on a stand-alone basis on comparable or more favorable terms; and</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mergers provide existing Galera stockholders an opportunity to participate in the potential growth of the combined company following the mergers, while potentially receiving certain cash payments from the future monetization of legacy assets through the CVRs.</w:t>
      </w:r>
    </w:p>
    <w:p>
      <w:pPr>
        <w:spacing w:after="0" w:line="162"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Galera Board also considered the recent results of operations and financial conditions of Galera, including (not in any relative order of importance):</w:t>
      </w:r>
    </w:p>
    <w:p>
      <w:pPr>
        <w:spacing w:after="0" w:line="67" w:lineRule="exact"/>
        <w:rPr>
          <w:sz w:val="20"/>
          <w:szCs w:val="20"/>
          <w:color w:val="auto"/>
        </w:rPr>
      </w:pPr>
    </w:p>
    <w:p>
      <w:pPr>
        <w:ind w:left="1080" w:right="28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sufficient capital to complete the development of tilarginine, as well as the challenge of raising sufficient capital to complete this work under terms that would be more favorable to Galera stockholders than the mergers;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continuing to operate Galera on a stand-alone basis, including Galera’s current limited number of employees and reliance on outside consultants and third-party contractors for ongoing preclinical and any clinical activities;</w:t>
      </w:r>
    </w:p>
    <w:p>
      <w:pPr>
        <w:spacing w:after="0" w:line="67"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Galera to identify a pharmaceutical partner willing to provide significant financial support to co-develop or acquire tilarginine;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volatility and trading volume of Galera common stock; and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amount of available cash expected to be left, if any, to be distributed to Galera stockholders in a potential dissolution and liquidation of Galera and the risks, costs and timing of such a process;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Galera’s potential inability to resume its listing on Nasdaq without completing a strategic transaction.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Galera Board also reviewed the terms of the merger agreement, the CVR agreement and the transactions contemplated thereby, including (not in any relative order of importance):</w:t>
      </w:r>
    </w:p>
    <w:p>
      <w:pPr>
        <w:spacing w:after="0" w:line="67" w:lineRule="exact"/>
        <w:rPr>
          <w:sz w:val="20"/>
          <w:szCs w:val="20"/>
          <w:color w:val="auto"/>
        </w:rPr>
      </w:pPr>
    </w:p>
    <w:p>
      <w:pPr>
        <w:ind w:left="1080" w:right="36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and limitations on, Galera and Obsidian under the merger agreement to consider certain unsolicited acquisition proposals under certain circumstances;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Galera Board’s belief that the terms of the merger agreement, including the parties’ representations, warranties and covenants and the deal protection provisions and conditions to the mergers contained therein, are reasonable for a transaction of this nature;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Galera Board’s belief that the terms of the CVR agreement are reasonable under the circumstances.</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Galera Board also considered a variety of risks and other countervailing factors related to the mergers, including (not in any relative order of importance):</w:t>
      </w:r>
    </w:p>
    <w:p>
      <w:pPr>
        <w:spacing w:after="0" w:line="67" w:lineRule="exact"/>
        <w:rPr>
          <w:sz w:val="20"/>
          <w:szCs w:val="20"/>
          <w:color w:val="auto"/>
        </w:rPr>
      </w:pPr>
    </w:p>
    <w:p>
      <w:pPr>
        <w:ind w:left="1080" w:right="40" w:hanging="424"/>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that the mergers might not be consummated in a timely manner or at all and the potential effect of the public announcement of the mergers, or failure to complete the mergers, on the business, operations and reputation of Galera and the market price of Galera common stock;</w:t>
      </w:r>
    </w:p>
    <w:p>
      <w:pPr>
        <w:spacing w:after="0" w:line="81"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ownership of Galera stockholders in the combined company following the mergers and the resulting significant dilution relative to their current ownership;</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$0.75 million termination fee payable by Galera to Obsidian upon the occurrence of certain events and the potential effect of such termination fee in deterring other potential acquirers from proposing an alternative transaction that may be more advantageous to Galera stockholders;</w:t>
      </w:r>
    </w:p>
    <w:p>
      <w:pPr>
        <w:spacing w:after="0" w:line="81"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agreements signed by certain Galera stockholders and the potential effect of such support agreements in deterring other potential acquirers from proposing an alternative transaction that may be more advantageous to Galera stockholders;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expenses incurred and to be incurred by Galera in connection with the mergers;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Obsidian’s control of the strategic direction of the combined company following the mergers, which will be determined by Obsidian’s management and a board of directors that will consist of Obsidian’s directors;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shares of Parent common stock to be issued in the mergers may not be approved for listing on Nasdaq;</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conditions to payment under the CVRs may not be met and the CVRs may never deliver any value to Galera stockholders;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other risks associated with Galera, Obsidian, the combined company and the mergers, including those described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 Concerning Forward-Looking Statements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the Galera Board considered the interests that its directors and executive officers may have with respect to the mergers that are different from or in addition to their interests as Galera stockholders generally, as described under “</w:t>
      </w:r>
      <w:r>
        <w:rPr>
          <w:rFonts w:ascii="Times New Roman" w:cs="Times New Roman" w:eastAsia="Times New Roman" w:hAnsi="Times New Roman"/>
          <w:sz w:val="18"/>
          <w:szCs w:val="18"/>
          <w:i w:val="1"/>
          <w:iCs w:val="1"/>
          <w:color w:val="auto"/>
        </w:rPr>
        <w:t>The Mergers—Interests of Galera’s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foregoing discussion of the information and factors considered by the Galera Board is not intended to be exhaustive but includes the material factors considered by the Galera Board. In view of the wide variety of factors considered in connection with its evaluation of the mergers and the complexity of these matters, the Galera Board did not find it useful, and did not attempt, to quantify, rank or otherwise assign relative weights to these factors. In considering the factors described above, the individual members of the Galera Board may have given different weight to different factors. The Galera Board conducted an overall analysis of the factors described above including through discussions with, and questioning of, Galera’s management and legal and financial advisors, and considered the factors overall to be favorable to, and to support, its determination to approve the transactions contemplated by the merger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Obsidian Reasons for the Mergers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the course of reaching its decision to approve the Obsidian merger, the Obsidian Board held numerous meetings, consulted with Obsidian’s senior management, its financial advisors and legal counsel, and considered a wide variety of factors, including, among others, the following material factors (which factors are not necessarily presented in any order of relative importance):</w:t>
      </w:r>
    </w:p>
    <w:p>
      <w:pPr>
        <w:spacing w:after="0" w:line="81" w:lineRule="exact"/>
        <w:rPr>
          <w:sz w:val="20"/>
          <w:szCs w:val="20"/>
          <w:color w:val="auto"/>
        </w:rPr>
      </w:pPr>
    </w:p>
    <w:p>
      <w:pPr>
        <w:ind w:left="1080" w:right="120" w:hanging="424"/>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are expected to provide Obsidian’s current stockholders with greater liquidity through ownership of publicly-traded stock and expand the range of potential investors available to Obsidian as a public company, compared to those it could access if it remained a privately-held company;</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terms of the concurrent financing, including the Obsidian Board’s view that such financing was, on balance, favorable to support Parent’s business plan and clinical development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from increased public market awareness of Obsidian and its pipeline;</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and current information concerning Obsidian’s business, including its financial performance and condition, operations, management, and clinical and preclinical data;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nature of the industry in which Obsidian operates;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61"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Obsidian Board’s evaluation of strategic alternatives, including remaining a private company, pursuing private financings or a traditional initial public offering, and its belief that no such alternatives were reasonably likely to create greater value for Obsidian’s stockholders than the mergers, taking into account market conditions, execution risk, timing considerations and the potential dilution associated with such alternatives;</w:t>
      </w:r>
    </w:p>
    <w:p>
      <w:pPr>
        <w:spacing w:after="0" w:line="85"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financial position, operations, operating plans, cash burn rate and financial projections of the combined company, including the expected cash resources of the combined organization (including the ability to support the combined company’s current clinical trials and operations), as further discussed in the section entitled “</w:t>
      </w:r>
      <w:r>
        <w:rPr>
          <w:rFonts w:ascii="Times New Roman" w:cs="Times New Roman" w:eastAsia="Times New Roman" w:hAnsi="Times New Roman"/>
          <w:sz w:val="18"/>
          <w:szCs w:val="18"/>
          <w:i w:val="1"/>
          <w:iCs w:val="1"/>
          <w:color w:val="auto"/>
        </w:rPr>
        <w:t>The Mergers—Unaudited Financial Projections</w:t>
      </w:r>
      <w:r>
        <w:rPr>
          <w:rFonts w:ascii="Times New Roman" w:cs="Times New Roman" w:eastAsia="Times New Roman" w:hAnsi="Times New Roman"/>
          <w:sz w:val="18"/>
          <w:szCs w:val="18"/>
          <w:color w:val="auto"/>
        </w:rPr>
        <w:t>” beginning on page 124 of this information statement/prospectus;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history, operations, financial resources, assets and credibility of Galera;</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appraisal rights under the DGCL to holders of Obsidian’s capital stock who comply with the required procedures under the DGCL, which allow such holders to seek appraisal of the fair value of their shares of Obsidian capital stock as determined by the Delaware Court of Chancery;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merger agreement, including the following:</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66" w:lineRule="auto"/>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that the expected relative percentage ownership of Galera’s stockholders and Obsidian’s stockholders in the combined organization was appropriate, based on the Obsidian Board’s judgment and assessment of the approximate valuations of Galera and Obsidian;</w:t>
      </w:r>
    </w:p>
    <w:p>
      <w:pPr>
        <w:spacing w:after="0" w:line="81"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for United States federal income tax purposes, the Obsidian merger and Galera merger should qualify as (i) a “reorganization” within the meaning of Section 368(a) of the Code and the Treasury Regulations, with respect to which each of Obsidian, Merger Sub 1, Galera, Merger Sub 2 and Parent are a “party to a reorganization” under Section 368(b) of the Code, and the merger agreement is intended to constitute a “plan of reorganization” for purposes of Sections 354, 361 and 368 of the Code and within the meaning of Section 368 of the Code and Treasury Regulations Section 1.368-2(g) or (ii) a tax-deferred exchange governed by Section 351(a) of the Code;</w:t>
      </w:r>
    </w:p>
    <w:p>
      <w:pPr>
        <w:spacing w:after="0" w:line="92" w:lineRule="exact"/>
        <w:rPr>
          <w:rFonts w:ascii="Times New Roman" w:cs="Times New Roman" w:eastAsia="Times New Roman" w:hAnsi="Times New Roman"/>
          <w:sz w:val="18"/>
          <w:szCs w:val="18"/>
          <w:color w:val="auto"/>
        </w:rPr>
      </w:pPr>
    </w:p>
    <w:p>
      <w:pPr>
        <w:ind w:left="1540" w:right="440" w:hanging="331"/>
        <w:spacing w:after="0" w:line="282" w:lineRule="auto"/>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outside date under the merger agreement allows for sufficient time to complete the Obsidian merger and Galera merger;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and nature of the conditions to Galera’s obligation to consummate the Galera merger;</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140" w:hanging="331"/>
        <w:spacing w:after="0" w:line="282"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Obsidian under the merger agreement to consider certain unsolicited acquisition proposals under certain circumstances should Obsidian receive a proposal that constitutes or is reasonably likely to lead to a superior proposal;</w:t>
      </w:r>
    </w:p>
    <w:p>
      <w:pPr>
        <w:spacing w:after="0" w:line="67" w:lineRule="exact"/>
        <w:rPr>
          <w:rFonts w:ascii="Times New Roman" w:cs="Times New Roman" w:eastAsia="Times New Roman" w:hAnsi="Times New Roman"/>
          <w:sz w:val="18"/>
          <w:szCs w:val="18"/>
          <w:color w:val="auto"/>
        </w:rPr>
      </w:pPr>
    </w:p>
    <w:p>
      <w:pPr>
        <w:ind w:left="1540" w:right="80" w:hanging="331"/>
        <w:spacing w:after="0" w:line="263"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Obsidian Board that the potential termination fee of $1,000,000 plus the reasonable and documented out-of-pocket third-party expenses incurred in connection with the transactions contemplated by the merger agreement, such expenses not to exceed $250,000, payable by Obsidian to Galera, and the circumstances under which such fee may be payable, were reasonable;</w:t>
      </w:r>
    </w:p>
    <w:p>
      <w:pPr>
        <w:spacing w:after="0" w:line="305" w:lineRule="exact"/>
        <w:rPr>
          <w:rFonts w:ascii="Times New Roman" w:cs="Times New Roman" w:eastAsia="Times New Roman" w:hAnsi="Times New Roman"/>
          <w:sz w:val="18"/>
          <w:szCs w:val="18"/>
          <w:color w:val="auto"/>
        </w:rPr>
      </w:pPr>
    </w:p>
    <w:p>
      <w:pPr>
        <w:ind w:left="1540" w:right="420" w:hanging="331"/>
        <w:spacing w:after="0" w:line="282" w:lineRule="auto"/>
        <w:tabs>
          <w:tab w:leader="none" w:pos="15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belief that the other terms of the merger agreement, including the parties’ representations, warranties and covenants, and the conditions to their respective obligations, were reasonable in light of the entire transaction;</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agreements, pursuant to which certain directors, officers and stockholders of Obsidian and Galera have agreed, solely in their capacity as stockholders of Obsidian and Galera, respectively, to vote all of their respective shares of Obsidian capital stock or Galera capital stock in favor of the adoption or approval of the merger agreement;</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ability to obtain a Nasdaq listing and the change of the combined organization’s name to Obsidian Therapeutics, Inc. upon the closing of the Obsidian merger and Galera merger;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Obsidian merger and the Galera merger will be consummated on a timely basis.</w:t>
      </w:r>
    </w:p>
    <w:p>
      <w:pPr>
        <w:spacing w:after="0" w:line="225"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Obsidian Board also considered a number of uncertainties and risks in its deliberations concerning the Obsidian merger and the other transactions contemplated by the merger agreement, including the following (which factors are not necessarily presented in any order of relative importance):</w:t>
      </w:r>
    </w:p>
    <w:p>
      <w:pPr>
        <w:spacing w:after="0" w:line="81" w:lineRule="exact"/>
        <w:rPr>
          <w:sz w:val="20"/>
          <w:szCs w:val="20"/>
          <w:color w:val="auto"/>
        </w:rPr>
      </w:pPr>
    </w:p>
    <w:p>
      <w:pPr>
        <w:ind w:left="1080" w:right="120" w:hanging="424"/>
        <w:spacing w:after="0" w:line="258"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mergers might not be completed for a variety of reasons, including the failure to obtain required stockholder approvals, the failure to satisfy other closing conditions (including the consummation of the concurrent financing and receipt of Nasdaq listing approval), or the occurrence of an event giving rise to termination rights under the merger agreement (including in connection with a superior proposal), and the potential adverse effect of the public announcement of the mergers on Obsidian’s reputation and ability to obtain financing in the future in the event the mergers are not completed;</w:t>
      </w:r>
    </w:p>
    <w:p>
      <w:pPr>
        <w:spacing w:after="0" w:line="88"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future sales of Parent common stock by stockholders may cause the price of Parent common stock to decline, thus reducing the potential value of Parent common stock received by Obsidian stockholders in the Obsidian merger;</w:t>
      </w:r>
    </w:p>
    <w:p>
      <w:pPr>
        <w:spacing w:after="0" w:line="67" w:lineRule="exact"/>
        <w:rPr>
          <w:rFonts w:ascii="Times New Roman" w:cs="Times New Roman" w:eastAsia="Times New Roman" w:hAnsi="Times New Roman"/>
          <w:sz w:val="18"/>
          <w:szCs w:val="18"/>
          <w:color w:val="auto"/>
        </w:rPr>
      </w:pPr>
    </w:p>
    <w:p>
      <w:pPr>
        <w:ind w:left="1080" w:right="140" w:hanging="424"/>
        <w:spacing w:after="0" w:line="258"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Obsidian exchange ratio used to establish the number of shares of Parent common stock to be issued to Obsidian’s stockholders in the Obsidian merger, and therefore the relative percentage ownership of Galera stockholders and Obsidian stockholders in the combined organization immediately following the completion of the mergers, is fixed at signing (subject to adjustments based on the parties’ respective cash balances and outstanding capital stock at closing), regardless of changes in the businesses, operations, financial condition, results of operations or prospects of the parties between signing and closing;</w:t>
      </w:r>
    </w:p>
    <w:p>
      <w:pPr>
        <w:spacing w:after="0" w:line="88"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fee payable by Obsidian to Galera upon the occurrence of certain events, and the potential effect that such termination fee may have in deterring other potential acquirers from proposing an alternative transaction that may be more advantageous to Obsidian’s stockholders;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 agreements entered into by certain stockholders of Obsidian and Galera, which, while increasing the likelihood that the mergers will be completed, may have the effect of deterring other potential acquirers from proposing an alternative transaction that may be more advantageous to Obsidian’s stockholders;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reduction of Galera Net Cash prior to the closing;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312" w:lineRule="auto"/>
        <w:tabs>
          <w:tab w:leader="none" w:pos="108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Galera could, under certain circumstances, consider unsolicited acquisition proposals if they constitute or are reasonably likely to lead to a superior proposal to the Galera merger, or change its recommendation to approve the Galera merger upon certain events;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Obsidian merger or the Galera merger might not be consummated in a timely manner or at all;</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connection with completing the mergers, the time and effort required of Obsidian’s senior management in connection with the mergers, the related disruptions or potential disruptions to Obsidian’s business operations and future prospects, including its relationships with its employees, suppliers, partners and others that do business or may do business in the future with Obsidian, and the administrative challenges associated with combining the companies;</w:t>
      </w:r>
    </w:p>
    <w:p>
      <w:pPr>
        <w:spacing w:after="0" w:line="85"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expenses and obligations to which Obsidian’s business will be subject following the mergers that Obsidian has not previously been subject to, including pursuant to the CVR agreement and with respect to operational changes to Obsidian’s business that may result from being a public company;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disruptive stockholder litigation following the announcement of the mergers;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representations and warranties in the merger agreement do not survive the closing of the mergers and the potential risk of liabilities that may arise post-closing; and</w:t>
      </w:r>
    </w:p>
    <w:p>
      <w:pPr>
        <w:spacing w:after="0" w:line="65" w:lineRule="exact"/>
        <w:rPr>
          <w:rFonts w:ascii="Times New Roman" w:cs="Times New Roman" w:eastAsia="Times New Roman" w:hAnsi="Times New Roman"/>
          <w:sz w:val="18"/>
          <w:szCs w:val="18"/>
          <w:color w:val="auto"/>
        </w:rPr>
      </w:pPr>
    </w:p>
    <w:p>
      <w:pPr>
        <w:ind w:left="1080" w:right="220" w:hanging="424"/>
        <w:spacing w:after="0" w:line="284" w:lineRule="auto"/>
        <w:tabs>
          <w:tab w:leader="none" w:pos="10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risks associated with the combined organization and the mergers, including the risks described in the section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information statement/prospectus.</w:t>
      </w:r>
    </w:p>
    <w:p>
      <w:pPr>
        <w:spacing w:after="0" w:line="16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foregoing information is not intended to be exhaustive, but summarizes the material factors considered by the Obsidian Board in its consideration of the merger agreement and the transactions. The Obsidian Board concluded that the benefits, advantages and opportunities of a potential transaction outweighed the uncertainties and risks described above. After considering these and other factors, the Obsidian Board unanimously approved the merger agreement, the Obsidian merger and the other transactions.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Unaudited Financial Projections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Neither Galera nor Obsidian, as a matter of course, makes public long-term forecasts or internal projections as to future performance, revenues, earnings, expenses or other financial or operating results due to, among other reasons, the uncertainty of the underlying assumptions and estimates. However, in connection with the evaluation of the transactions, Obsidian prepared and provided to Galera in April 2026 unaudited internal financial information consisting of a cash burn summary for the 2026 financial year (such information, presented below in summarized form, the “Financial Projections”). The Financial Projections reflect a summary presentation of Obsidian’s expected cash expenditures for fiscal year 2026, based on certain assumptions regarding Obsidian’s planned clinical development activities, anticipated manufacturing and development expenditures, and expected research and development, general and administrative and personnel-related costs for that period. The Financial Projections consist solely of a cash burn summary for fiscal year 2026, as Obsidian does not prepare longer-term or full income statement projections in the ordinary course given the early-stage nature of its business and the inherent uncertainty in forecasting revenues and operating results.</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inclusion of the Financial Projections in this information statement/prospectus should not be regarded as an indication that any of Galera, Obsidian, their respective affiliates, officers, directors, advisors, other representatives, or any other recipient of the Financial Projections considered, or now considers, such Financial Projections to be predictive of actual future performance or events, or that they should be construed as financial guidance, and such Financial Projections should not be relied on as such. Accordingly, the Financial Projections are not included in this information statement/prospectus to influence any person’s views on the mergers and are summarized in this information statement/prospectus solely to provide access to information that was provided to the Galera Board to assist in its analysis of the transactions.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Financial Projections were prepared solely for internal use and are subjective in many respects. While presented with numeric specificity, the Financial Projections reflect numerous estimates and assumptions made at the time the Financial Projections were prepared that are inherently uncertain and many of which are beyond the control of Obsidian’s management. The Financial Projections are subject to various risks, including, among others, the effect of future regulatory or legislative actions on Obsidian or the industry in which it operates, the potential impact of the announcement or consummation of the transactions on Obsidian’s business and employee relationships, changes in the general economic environment, or social or political conditions, that could affect Obsidian’s business, potential liability resulting from pending or future litigation and the uncertainties, costs and risks involved in Obsidian’s operations, including the matters described in the sections entitled “</w:t>
      </w:r>
      <w:r>
        <w:rPr>
          <w:rFonts w:ascii="Times New Roman" w:cs="Times New Roman" w:eastAsia="Times New Roman" w:hAnsi="Times New Roman"/>
          <w:sz w:val="18"/>
          <w:szCs w:val="18"/>
          <w:i w:val="1"/>
          <w:iCs w:val="1"/>
          <w:color w:val="auto"/>
        </w:rPr>
        <w:t>Cautionary Statement Regarding 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pages 1 and 24, respectively, of this information statement/prospectus.</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Financial Projections reflect both assumptions as to certain business decisions that are subject to change and, in many respects, personal judgment, and thus are susceptible to multiple interpretations and, in the ordinary course, would be expected to undergo periodic revisions based on actual experience and business developments. None of Galera, Obsidian or their respective affiliates, officers, directors, advisors or other representatives can give assurance that the Financial Projections and the underlying estimates and assumptions will be realized. The Financial Projections constitute “forward-looking statements” and actual results may differ materially and adversely from those set forth below.</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Financial Projections were not prepared with a view toward public disclosure. The Financial Projections do not take into account any circumstances or events occurring after the date they were prepared and neither Galera nor Obsidian can give assurance that, had the Financial Projections been prepared either as of the date of the merger agreement or as of the date of this information statement/prospectus, similar estimates and assumptions would be used.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Financial Projections do not take into account all of the possible financial and other effects of the transactions on Galera or Obsidian, the effect on Galera or Obsidian of any business or strategic decision or action that has been or will be taken as a result of the merger agreement having been executed, or the effect of any business or strategic decisions or actions that would likely have been taken if the merger agreement had not been executed, but which were instead altered, accelerated, postponed or not taken in anticipation of the transactions. Further, the Financial Projections do not take into account the effect on Galera or Obsidian of any possible failure of the transactions to occur. None of Galera or Obsidian or any of their respective affiliates, officers, directors, advisors or other representatives has made, makes or is authorized in the future to make any representation to any Galera stockholder or Obsidian stockholder or other person regarding Obsidian’s ultimate performance compared to the information contained in the Financial Projections or that the Financial Projections will be achieved. The inclusion of the Financial Projections herein should not be deemed an admission or representation by Galera, Obsidian, their respective affiliates, officers, directors, advisors or other representatives or any other person that it is viewed as material information of Galera or Obsidian, particularly in light of the inherent risks and uncertainties associated with such forecasts. The summary of the Financial Projections included below is not being included in this information statement/prospectus in order to influence the decision of any Galera stockholder or Obsidian stockholder to take any action relating to the transactions.</w:t>
      </w:r>
    </w:p>
    <w:p>
      <w:pPr>
        <w:spacing w:after="0" w:line="190"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Financial Projections were not prepared with a view toward compliance with GAAP, published guidelines of the SEC or the guidelines established by the American Institute of Certified Public Accountants for preparation or presentation of prospective financial information. KPMG LLP has not audited, reviewed, examined, compiled or applied agreed-upon procedures with respect to the Financial Projections and, accordingly, KPMG LLP expresses no opinion or any other form of assurance on such information or its achievability, and assumes no responsibility for, and disclaims any association with, the prospective financial information with respect thereto. The reports of KPMG LLP which are included in this information statement/prospectus relate to historical financial information of Obsidian and Galera, respectively, and such reports do not extend to the Financial Projections and should not be read to do so.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Financial Projections include non-GAAP financial measures. Non-GAAP financial measures should not be considered in isolation from, or as a substitute for, financial information presented in accordance with GAAP, and non-GAAP financial measures used by Obsidian may not be comparable to one another or to similarly titled measures used by other companies. The SEC rules that would otherwise require a reconciliation of a non-GAAP financial measure to a GAAP financial measure do not apply to non-GAAP financial measures provided to a board of directors or a financial advisor in connection with a proposed business combination transaction such as the transactions if the disclosure is included in a document such as this information statement/prospectus. Accordingly, Obsidian is not presenting a reconciliation of the financial measures included in the Financial Projections to the relevant GAAP financial measures in this information statement/prospectus.</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light of the foregoing, as well as the uncertainties inherent in any forecasted information, Galera stockholders and Obsidian stockholders are cautioned not to place undue reliance on such information, and each of Galera and Obsidian caution you that the Financial Projections should be evaluated, if at all, in conjunction with the historical financial statements and other information regarding Galera and Obsidian, as applicable, contained elsewhere in this information statement/prospectus.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$m</w:t>
            </w:r>
          </w:p>
        </w:tc>
        <w:tc>
          <w:tcPr>
            <w:tcW w:w="31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26Q1</w:t>
            </w:r>
          </w:p>
        </w:tc>
        <w:tc>
          <w:tcPr>
            <w:tcW w:w="7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26Q2</w:t>
            </w: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26Q3</w:t>
            </w:r>
          </w:p>
        </w:tc>
        <w:tc>
          <w:tcPr>
            <w:tcW w:w="80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26Q4</w:t>
            </w:r>
          </w:p>
        </w:tc>
        <w:tc>
          <w:tcPr>
            <w:tcW w:w="7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FY26</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 &amp; Product Supply</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11.7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R&amp;D Non-Staff</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SG&amp;A Non-Staff</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8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Staff Costs</w:t>
            </w:r>
            <w:r>
              <w:rPr>
                <w:rFonts w:ascii="Times New Roman" w:cs="Times New Roman" w:eastAsia="Times New Roman" w:hAnsi="Times New Roman"/>
                <w:sz w:val="25"/>
                <w:szCs w:val="25"/>
                <w:color w:val="auto"/>
                <w:vertAlign w:val="superscript"/>
              </w:rPr>
              <w:t>(1)</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OpEx</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23.3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30.0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138.4</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Working Capital Adj.</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 Burn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23.0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35.8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132.5</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Start of Period Cash</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80.5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57.5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6"/>
              </w:rPr>
              <w:t>(15.1)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80.5</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 Cash</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57.6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21.7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(15.0)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6"/>
              </w:rPr>
              <w:t>(52.0)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r>
    </w:tbl>
    <w:p>
      <w:pPr>
        <w:spacing w:after="0" w:line="202"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26YE Headcount: </w:t>
      </w:r>
      <w:r>
        <w:rPr>
          <w:rFonts w:ascii="Times New Roman" w:cs="Times New Roman" w:eastAsia="Times New Roman" w:hAnsi="Times New Roman"/>
          <w:sz w:val="18"/>
          <w:szCs w:val="18"/>
          <w:color w:val="auto"/>
        </w:rPr>
        <w:t>113 FTEs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Obsidian’s Directors and Executive Officers in the Obsidian Merger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the Obsidian Board with respect to approving the Obsidian merger, stockholders should be aware that certain of Obsidian’s directors and executive officers have interests in the Obsidian merger that are different from, or in addition to, the interests of Obsidian stockholders generally. These interests may present them with actual or potential conflicts of interest, and these interests, to the extent material, are described below.</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Obsidian Board was aware of these potential conflicts of interest and considered them, among other matters, in reaching its decision to approve the merger agreement and the Obsidian merger, and to recommend that the Obsidian stockholders approve the Obsidian merger as contemplated by this information statement/prospectus.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Ownership Interests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of May 19, 2026, Obsidian’s non-employee directors and executive officers beneficially owned, in the aggregate, approximately 0.01% of the shares of Obsidian capital stock, which for purposes of this subsection excludes any Obsidian shares issuable upon exercise of Obsidian stock options held by such individuals. Such shares of Obsidian capital stock will be converted into shares of Parent common stock at the Obsidian merger effective time. Each of Obsidian’s officers, directors and affiliated stockholders have also entered into a support agreement in connection with the merger agreement. For a more detailed discussion of the support agreements, please see the section titled “</w:t>
      </w:r>
      <w:r>
        <w:rPr>
          <w:rFonts w:ascii="Times New Roman" w:cs="Times New Roman" w:eastAsia="Times New Roman" w:hAnsi="Times New Roman"/>
          <w:sz w:val="18"/>
          <w:szCs w:val="18"/>
          <w:i w:val="1"/>
          <w:iCs w:val="1"/>
          <w:color w:val="auto"/>
        </w:rPr>
        <w:t>Agreements Related to the Mergers—Support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beginning on page 169 of this information statement/prospectus.</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Obsidian’s directors and executive officers currently hold options to purchase shares of Obsidian common stock. Each option to purchase shares of Obsidian common stock outstanding immediately prior to the Obsidian merger effective time shall automatically without any further action on the part of Parent, Merger Sub 1, Obsidian or any holder of an Obsidian option, be converted, at the Obsidian merger effective time, into an option to acquire, on the same terms and conditions (including the same vesting and exercisability terms and conditions) as were applicable under the Obsidian Therapeutics, Inc. 2016 Stock Option and Grant Plan, as amended (the “Obsidian 2016 Plan”) and the option agreement applicable to such Obsidian option immediately prior to the Obsidian merger effective time, the number of shares of Parent common stock determined by multiplying the number of shares of Obsidian common stock subject to such Obsidian option immediately prior to the Obsidian merger effective time by the Obsidian exchange ratio (as defined in the merger agreement), rounding down to the nearest whole number of shares, at a per share exercise price determined by dividing the per share exercise price of such Obsidian option immediately prior to the Obsidian merger effective time by the Obsidian exchange ratio, rounding up to the nearest whole cent. As of the Obsidian merger effective time, Parent will assume the Obsidian 2016 Plan.</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details the outstanding options held by Obsidian’s directors and executive officers as of May 19, 2026.</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3020" w:type="dxa"/>
            <w:vAlign w:val="bottom"/>
            <w:vMerge w:val="restart"/>
          </w:tcPr>
          <w:p>
            <w:pPr>
              <w:jc w:val="center"/>
              <w:ind w:left="1536"/>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920" w:type="dxa"/>
            <w:vAlign w:val="bottom"/>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020" w:type="dxa"/>
            <w:vAlign w:val="bottom"/>
            <w:vMerge w:val="continue"/>
          </w:tcPr>
          <w:p>
            <w:pPr>
              <w:spacing w:after="0"/>
              <w:rPr>
                <w:sz w:val="12"/>
                <w:szCs w:val="12"/>
                <w:color w:val="auto"/>
              </w:rPr>
            </w:pPr>
          </w:p>
        </w:tc>
        <w:tc>
          <w:tcPr>
            <w:tcW w:w="920" w:type="dxa"/>
            <w:vAlign w:val="bottom"/>
          </w:tcPr>
          <w:p>
            <w:pPr>
              <w:jc w:val="center"/>
              <w:ind w:left="136"/>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020" w:type="dxa"/>
            <w:vAlign w:val="bottom"/>
          </w:tcPr>
          <w:p>
            <w:pPr>
              <w:jc w:val="center"/>
              <w:ind w:left="1536"/>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tcPr>
          <w:p>
            <w:pPr>
              <w:jc w:val="center"/>
              <w:ind w:left="13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3020" w:type="dxa"/>
            <w:vAlign w:val="bottom"/>
          </w:tcPr>
          <w:p>
            <w:pPr>
              <w:jc w:val="center"/>
              <w:ind w:left="1516"/>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jc w:val="center"/>
              <w:ind w:left="156"/>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3020" w:type="dxa"/>
            <w:vAlign w:val="bottom"/>
          </w:tcPr>
          <w:p>
            <w:pPr>
              <w:jc w:val="center"/>
              <w:ind w:left="1516"/>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20" w:type="dxa"/>
            <w:vAlign w:val="bottom"/>
          </w:tcPr>
          <w:p>
            <w:pPr>
              <w:jc w:val="center"/>
              <w:ind w:left="156"/>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4420" w:type="dxa"/>
            <w:vAlign w:val="bottom"/>
            <w:vMerge w:val="continue"/>
          </w:tcPr>
          <w:p>
            <w:pPr>
              <w:spacing w:after="0"/>
              <w:rPr>
                <w:sz w:val="15"/>
                <w:szCs w:val="15"/>
                <w:color w:val="auto"/>
              </w:rPr>
            </w:pPr>
          </w:p>
        </w:tc>
        <w:tc>
          <w:tcPr>
            <w:tcW w:w="3020" w:type="dxa"/>
            <w:vAlign w:val="bottom"/>
          </w:tcPr>
          <w:p>
            <w:pPr>
              <w:jc w:val="center"/>
              <w:ind w:left="1516"/>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920" w:type="dxa"/>
            <w:vAlign w:val="bottom"/>
          </w:tcPr>
          <w:p>
            <w:pPr>
              <w:jc w:val="center"/>
              <w:ind w:left="156"/>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Madan Jagasia, M.D., M.S.</w:t>
            </w:r>
          </w:p>
        </w:tc>
        <w:tc>
          <w:tcPr>
            <w:tcW w:w="30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12,010,014</w:t>
            </w:r>
          </w:p>
        </w:tc>
        <w:tc>
          <w:tcPr>
            <w:tcW w:w="9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Julie Feder</w:t>
            </w:r>
          </w:p>
        </w:tc>
        <w:tc>
          <w:tcPr>
            <w:tcW w:w="30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3,003,941</w:t>
            </w:r>
          </w:p>
        </w:tc>
        <w:tc>
          <w:tcPr>
            <w:tcW w:w="92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Parameswaran Hari, M.D.</w:t>
            </w:r>
          </w:p>
        </w:tc>
        <w:tc>
          <w:tcPr>
            <w:tcW w:w="30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3,005,979</w:t>
            </w:r>
          </w:p>
        </w:tc>
        <w:tc>
          <w:tcPr>
            <w:tcW w:w="9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Dana Alexander, M.B.A.</w:t>
            </w:r>
          </w:p>
        </w:tc>
        <w:tc>
          <w:tcPr>
            <w:tcW w:w="30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2,674,851</w:t>
            </w:r>
          </w:p>
        </w:tc>
        <w:tc>
          <w:tcPr>
            <w:tcW w:w="92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3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Maria Fardis, Ph.D.</w:t>
            </w:r>
          </w:p>
        </w:tc>
        <w:tc>
          <w:tcPr>
            <w:tcW w:w="30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1,222,500</w:t>
            </w:r>
          </w:p>
        </w:tc>
        <w:tc>
          <w:tcPr>
            <w:tcW w:w="92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Barrett, Ph.D.</w:t>
            </w:r>
          </w:p>
        </w:tc>
        <w:tc>
          <w:tcPr>
            <w:tcW w:w="30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Raymond Camahort, Ph.D.</w:t>
            </w:r>
          </w:p>
        </w:tc>
        <w:tc>
          <w:tcPr>
            <w:tcW w:w="302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Caridad Chester</w:t>
            </w:r>
          </w:p>
        </w:tc>
        <w:tc>
          <w:tcPr>
            <w:tcW w:w="30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w w:val="88"/>
              </w:rPr>
              <w:t>— </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Heidi Hagen, M.B.A.</w:t>
            </w:r>
          </w:p>
        </w:tc>
        <w:tc>
          <w:tcPr>
            <w:tcW w:w="30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517,500</w:t>
            </w:r>
          </w:p>
        </w:tc>
        <w:tc>
          <w:tcPr>
            <w:tcW w:w="92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Norkunas, M.D., M.B.A.</w:t>
            </w:r>
          </w:p>
        </w:tc>
        <w:tc>
          <w:tcPr>
            <w:tcW w:w="30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231,563</w:t>
            </w:r>
          </w:p>
        </w:tc>
        <w:tc>
          <w:tcPr>
            <w:tcW w:w="920" w:type="dxa"/>
            <w:vAlign w:val="bottom"/>
            <w:shd w:val="clear" w:color="auto" w:fill="CCEEFF"/>
          </w:tcPr>
          <w:p>
            <w:pPr>
              <w:jc w:val="center"/>
              <w:ind w:left="436"/>
              <w:spacing w:after="0"/>
              <w:rPr>
                <w:sz w:val="20"/>
                <w:szCs w:val="20"/>
                <w:color w:val="auto"/>
              </w:rPr>
            </w:pPr>
            <w:r>
              <w:rPr>
                <w:rFonts w:ascii="Times New Roman" w:cs="Times New Roman" w:eastAsia="Times New Roman" w:hAnsi="Times New Roman"/>
                <w:sz w:val="18"/>
                <w:szCs w:val="18"/>
                <w:color w:val="auto"/>
              </w:rPr>
              <w:t>0.78</w:t>
            </w:r>
          </w:p>
        </w:tc>
        <w:tc>
          <w:tcPr>
            <w:tcW w:w="0" w:type="dxa"/>
            <w:vAlign w:val="bottom"/>
          </w:tcPr>
          <w:p>
            <w:pPr>
              <w:spacing w:after="0"/>
              <w:rPr>
                <w:sz w:val="1"/>
                <w:szCs w:val="1"/>
                <w:color w:val="auto"/>
              </w:rPr>
            </w:pPr>
          </w:p>
        </w:tc>
      </w:tr>
      <w:tr>
        <w:trPr>
          <w:trHeight w:val="234"/>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Robert Ross, M.D.</w:t>
            </w:r>
          </w:p>
        </w:tc>
        <w:tc>
          <w:tcPr>
            <w:tcW w:w="30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517,500</w:t>
            </w:r>
          </w:p>
        </w:tc>
        <w:tc>
          <w:tcPr>
            <w:tcW w:w="920" w:type="dxa"/>
            <w:vAlign w:val="bottom"/>
          </w:tcPr>
          <w:p>
            <w:pPr>
              <w:jc w:val="center"/>
              <w:ind w:left="436"/>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Management Following the Mergers</w:t>
      </w:r>
    </w:p>
    <w:p>
      <w:pPr>
        <w:spacing w:after="0" w:line="119"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As described elsewhere in this information statement/prospectus, including in the section titled “</w:t>
      </w:r>
      <w:r>
        <w:rPr>
          <w:rFonts w:ascii="Times New Roman" w:cs="Times New Roman" w:eastAsia="Times New Roman" w:hAnsi="Times New Roman"/>
          <w:sz w:val="18"/>
          <w:szCs w:val="18"/>
          <w:i w:val="1"/>
          <w:iCs w:val="1"/>
          <w:color w:val="auto"/>
        </w:rPr>
        <w:t>Information Regarding Parent—Governance—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Officers” </w:t>
      </w:r>
      <w:r>
        <w:rPr>
          <w:rFonts w:ascii="Times New Roman" w:cs="Times New Roman" w:eastAsia="Times New Roman" w:hAnsi="Times New Roman"/>
          <w:sz w:val="18"/>
          <w:szCs w:val="18"/>
          <w:color w:val="auto"/>
        </w:rPr>
        <w:t>beginning on page 307 of this information statement/prospectus, all of Obsidian’s executive officers are expected to become the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of the combined company upon the closing of the mergers, in connection with which they may enter into employment agreements and/or be covered by a severance plan comparable to those of applicable executive officers of a publicly traded company, which arrangements will supersede and replace existing offer letters and severance and change in control agreements with Obsidian’s executive officers, as disclosed in greater detail under “</w:t>
      </w:r>
      <w:r>
        <w:rPr>
          <w:rFonts w:ascii="Times New Roman" w:cs="Times New Roman" w:eastAsia="Times New Roman" w:hAnsi="Times New Roman"/>
          <w:sz w:val="18"/>
          <w:szCs w:val="18"/>
          <w:i w:val="1"/>
          <w:iCs w:val="1"/>
          <w:color w:val="auto"/>
        </w:rPr>
        <w:t>Executive Compensation of Obsidian—Employment Arrangements with Named Executive Officers</w:t>
      </w:r>
      <w:r>
        <w:rPr>
          <w:rFonts w:ascii="Times New Roman" w:cs="Times New Roman" w:eastAsia="Times New Roman" w:hAnsi="Times New Roman"/>
          <w:sz w:val="18"/>
          <w:szCs w:val="18"/>
          <w:color w:val="auto"/>
        </w:rPr>
        <w:t>” beginning on page 289 of this information statement/prospectus. Ms. Feder entered into an offer letter and Severance and Change in Control Agreement with Obsidian on the same terms as Mr. Alexander and Dr. Hari as described under “</w:t>
      </w:r>
      <w:r>
        <w:rPr>
          <w:rFonts w:ascii="Times New Roman" w:cs="Times New Roman" w:eastAsia="Times New Roman" w:hAnsi="Times New Roman"/>
          <w:sz w:val="18"/>
          <w:szCs w:val="18"/>
          <w:i w:val="1"/>
          <w:iCs w:val="1"/>
          <w:color w:val="auto"/>
        </w:rPr>
        <w:t>Executive Compensation of Obsidian—Employment Arrangements with Named Executive Officers</w:t>
      </w:r>
      <w:r>
        <w:rPr>
          <w:rFonts w:ascii="Times New Roman" w:cs="Times New Roman" w:eastAsia="Times New Roman" w:hAnsi="Times New Roman"/>
          <w:sz w:val="18"/>
          <w:szCs w:val="18"/>
          <w:color w:val="auto"/>
        </w:rPr>
        <w:t>” beginning on page 289 of this information statement/prospectus.</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Insurance</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a discussion of the indemnification and insurance provisions related to the Obsidian directors and officers under the merger agreement, please see the section titled “</w:t>
      </w:r>
      <w:r>
        <w:rPr>
          <w:rFonts w:ascii="Times New Roman" w:cs="Times New Roman" w:eastAsia="Times New Roman" w:hAnsi="Times New Roman"/>
          <w:sz w:val="18"/>
          <w:szCs w:val="18"/>
          <w:i w:val="1"/>
          <w:iCs w:val="1"/>
          <w:color w:val="auto"/>
        </w:rPr>
        <w:t>The Merger Agreement—Indemnification of Directors and Officers</w:t>
      </w:r>
      <w:r>
        <w:rPr>
          <w:rFonts w:ascii="Times New Roman" w:cs="Times New Roman" w:eastAsia="Times New Roman" w:hAnsi="Times New Roman"/>
          <w:sz w:val="18"/>
          <w:szCs w:val="18"/>
          <w:color w:val="auto"/>
        </w:rPr>
        <w:t>” beginning on page 167 of this information statement/prospectus.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mergers, Parent’s Board is expected to select members of the compensation committee. Each member of the compensation committee is expected to be a “non-employee” director within the meaning of Rule 16b-3 of the rules promulgated under the Exchange Act and independent within the meaning of the independent director guidelines of Nasdaq. None of the proposed executive officers of Parent serves as a member of the board of directors or compensation committee of any entity that has one or more executive officers who is proposed to serve on Parent’s Board or compensation committee following the completion of the mergers.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During the fiscal year ended December 31, 2025, Obsidian did not have a formal non-employee director compensation program; however, in the fiscal year ended December 31, 2025, Dr. Fardis received $50,000 in cash compensation for her services as chairperson of the Obsidian Board,</w:t>
      </w: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Ms. Hagen and Dr. Ross each received $25,000 in cash compensation for service as an independent director and Dr. Norkunas received $35,000 in cash compensation for service as an independent director and chair of the audit committee of the Obsidian Board. Pursuant to offer letters with Obsidian, each of the independent non-employee directors received an option to purchase 180,000 shares of Obsidian common stock in connection with his or her appointment to the Obsidian Board, which options vest in equal quarterly installments over four years from the date the director joined the Obsidian Board. None of Obsidian’s non-employee directors received equity awards from Obsidian in the fiscal year ended 2025 but all outstanding Obsidian stock options held by the non-employee directors with a per share exercise price above $0.78 were repriced to have a per share exercise price equal to $0.78 as part of a company-wide option repricing in June 2025.</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Galera’s Financial Advisor</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stated above, pursuant to the Lucid Engagement Letter, Galera retained Lucid to render an opinion to the Galera Board as to the fairness of the Galera exchange ratio and the Obsidian exchange ratio (together, for purposes of this section, the “Exchange Ratio”), each as of the date of the Lucid Opinion and from a financial point of view, to the holders of Galera common stock. On April 13, 2026, at the request of the Galera Board, Lucid rendered an oral opinion, subsequently confirmed by delivery of the Lucid Opinion, dated April 13 2026, to the Galera Board, that the Exchange Ratio was fair, from a financial point of view, to the holders of Galera common stock as of the date of the Lucid Opinion and based upon the various assumptions, qualifications and limitations set forth therein.</w:t>
      </w:r>
    </w:p>
    <w:p>
      <w:pPr>
        <w:spacing w:after="0" w:line="183"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The full text of the Lucid Opinion is attached as </w:t>
      </w:r>
      <w:r>
        <w:rPr>
          <w:rFonts w:ascii="Times New Roman" w:cs="Times New Roman" w:eastAsia="Times New Roman" w:hAnsi="Times New Roman"/>
          <w:sz w:val="18"/>
          <w:szCs w:val="18"/>
          <w:b w:val="1"/>
          <w:bCs w:val="1"/>
          <w:u w:val="single" w:color="auto"/>
          <w:color w:val="auto"/>
        </w:rPr>
        <w:t>Appendix C</w:t>
      </w:r>
      <w:r>
        <w:rPr>
          <w:rFonts w:ascii="Times New Roman" w:cs="Times New Roman" w:eastAsia="Times New Roman" w:hAnsi="Times New Roman"/>
          <w:sz w:val="18"/>
          <w:szCs w:val="18"/>
          <w:b w:val="1"/>
          <w:bCs w:val="1"/>
          <w:color w:val="auto"/>
        </w:rPr>
        <w:t xml:space="preserve"> to this information statement/prospectus and is incorporated by reference. Galera encourages its stockholders to read the Lucid Opinion in its entirety for the assumptions made, procedures followed, other matters considered and limits of the review by Lucid. The summary of the Lucid Opinion set forth herein is qualified by reference to the full text of the Lucid Opinion. The Lucid Opinion is not a recommendation to the Galera Board or to any Galera stockholder to take any action in connection with the mergers or otherwise.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5"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Lucid Opinion, Lucid took into account an assessment of general economic, market and financial conditions as well as its experience in connection with similar transactions and securities valuations generally and, among other things:</w:t>
      </w:r>
    </w:p>
    <w:p>
      <w:pPr>
        <w:spacing w:after="0" w:line="67" w:lineRule="exact"/>
        <w:rPr>
          <w:sz w:val="20"/>
          <w:szCs w:val="20"/>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merger agreement, dated April 13,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publicly available financial and other information for each of Galera and Obsidian;</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certain members of the management of Galera the historical and current business operations, financial condition and prospects of Galera and Obsidian;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operating results of Obsidian as compared to operating results and the reported price and trading histories of certain publicly traded companies that Lucid deemed relevant;</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financial terms of the merger agreement as compared to the publicly available financial terms of certain selected business combinations that Lucid deemed relevant;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financial terms of completed initial public offerings for certain companies that Lucid deemed relevant; and</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such other information and such other factors, and conducted such other financial studies, analyses and investigations, as Lucid deemed relevant for the purposes of the Lucid Opinion.</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conducting Lucid’s review and arriving at the Lucid Opinion, Lucid has, with Galera’s consent, assumed and relied upon the accuracy and completeness of all financial and other information provided to or discussed with Lucid by Galera and Obsidian, respectively (or their respective employees, representatives or affiliates), or which is publicly available or was otherwise reviewed by Lucid. Lucid has not undertaken any responsibility for the accuracy, completeness or reasonableness of, or conducted independent verification of, such information. Lucid has, with Galera’s consent, relied upon the assumption that all information provided to Lucid by Galera and Obsidian is accurate and complete in all material respects.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Lucid has expressly disclaimed any undertaking or obligation to advise any person of any change in any fact or matter affecting the Lucid Opinion of which Lucid becomes aware after the date of the Lucid Opinion. Lucid assumed there were no material changes in the assets, liabilities, financial condition, results of operations, business or prospects of Galera or Obsidian since the date of the last financial statements made available to Lucid. Lucid has not obtained any independent evaluations, valuations or appraisals of the assets or liabilities of Galera or Obsidian, nor has Lucid been furnished with such materials. In addition, Lucid has not evaluated the solvency or fair value of Galera or Obsidian under any state or federal laws relating to bankruptcy, insolvency or similar matters. The Lucid Opinion does not address any legal, regulatory, tax or accounting matters related to the mergers, as to which Lucid has assumed that Galera and the Galera Board have received advice from legal, regulatory, tax and accounting advisors as each has determined appropriate. The Lucid Opinion addresses only the fairness of the Exchange Ratio, as of the date of the Lucid Opinion and from a financial point of view, to the holders of Galera common stock. Lucid expresses no view as to any other aspect or implication of the mergers or any other agreement or arrangement entered into in connection with the mergers. The Lucid Opinion is necessarily based upon economic and market conditions and other circumstances as they existed and could be evaluated by Lucid on the date of the Lucid Opinion. It should be understood that although subsequent developments may affect the Lucid Opinion, Lucid does not have any obligation to update, revise or reaffirm the Lucid Opinion and Lucid expressly disclaims any responsibility to do so.</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Lucid did not consider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 the Financial Accounting Standards Board, or any similar foreign regulatory body or board.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For purposes of rendering the Lucid Opinion, Lucid assumed with Galera’s consent that, except as would not be in any way meaningful to Lucid’s analysis, the representations and warranties of each party contained in the merger agreement were true and correct in all respects, that each party will perform all of the covenants and agreements required to be performed by it under the merger agreement and that all conditions to the consummation of the mergers will be satisfied without waiver or amendment of any term or condition thereof. Lucid assumed that the final form of the merger agreement would be substantially similar to the last draft reviewed by Lucid. Lucid also assumed that all governmental, regulatory and other consents and approvals contemplated by the merger agreement or otherwise required for the transactions will be obtained and that in the course of obtaining any of those consents no restrictions will be imposed or waivers made that would have an adverse effect on Galera, Obsidian or the contemplated benefits of the mergers. Lucid has assumed that the mergers will be consummated in a manner that complies with the applicable provisions of the Securities Act and the Exchange Act, and all other applicable federal and state statutes and the rules and regulations promulgated thereunder.</w:t>
      </w:r>
    </w:p>
    <w:p>
      <w:pPr>
        <w:spacing w:after="0" w:line="173"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For purposes of rendering the Lucid Opinion, Lucid has, with Galera’s consent, assumed that (i) prior to the closing of the mergers, Galera will receive approximately $350.0 million in proceeds from the concurrent financing, (ii) at the Galera merger effective time, each share of Galera common stock outstanding shall be converted to the right to receive a number of shares of Parent common stock determined using the Galera exchange ratio, (iii) at the Obsidian merger effective time, each share of Obsidian common stock outstanding shall be converted to the right to receive a number of shares of Parent common stock determined using the Obsidian exchange ratio, (iv) for the purpose of the Lucid Opinion, Lucid assumed the “Exchange Ratio” to be comprised of the Galera exchange ratio and the Obsidian exchange ratio, (v) Lucid, with the approval of Galera and its advisors, understood the Exchange Ratio would be determined post-signing and utilized the implied Exchange Ratio set forth in its presentation and (vi) upon closing of the mergers, former Galera securityholders (other than investors in the concurrent financing, former Obsidian securityholders and investors in the concurrent financing (assuming proceeds from the concurrent financing of $350 million)) will own approximately 1.8%, 53.2% and 45.0% of the outstanding shares of Parent common stock, respectively, in each case, calculated on a fully diluted basis, using the treasury stock method.</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It is understood that the Lucid Opinion is intended for the benefit and use of the Galera Board in its consideration of the financial terms of the mergers and, except as set forth in the Engagement Letter, may not be used for any other purpose or reproduced, disseminated, quoted or referred to at any time, in any manner or for any purpose without Lucid’s prior written consent, unless pursuant to applicable law or regulations or required by other regulatory authority by the order or ruling of a court or administrative body, except that the Lucid Opinion may be included in its entirety in any filing related to the mergers to be filed with the SEC and the information statement/prospectus to be mailed to Galera’s stockholders. The Lucid Opinion does not constitute a recommendation to the Galera Board of whether or not to approve the mergers or to any Galera stockholder or any other person to take any action in connection with the mergers or otherwise. The Lucid Opinion does not address Galera’s underlying business decision to proceed with the mergers or the relative merits of the mergers compared to other alternatives that might be available to Galera. Lucid expressed no opinion as to the prices or ranges of prices at which the securities of any person, including Galera, will trade at any time, including following the announcement or consummation of the mergers. Lucid has not been requested to opine as to, and the Lucid Opinion does not in any manner address, the amount or nature of compensation to any of the officers, directors or employees of any party to the mergers, or any class of such persons, relative to the compensation to be paid to Galera or Obsidian stockholders in connection with the mergers or with respect to the fairness of any such compensation.</w:t>
      </w:r>
    </w:p>
    <w:p>
      <w:pPr>
        <w:spacing w:after="0" w:line="19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Lucid Opinion may not be published or otherwise used or referred to, nor will any public reference to Lucid be made, without Lucid’s prior written consent.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Analyses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principal financial analyses performed by Lucid to arrive at the Lucid Opinion. Some of the summaries of financial analyses include information presented in tabular format. In order to fully understand the financial analyses, the tables must be read together with the text of each summary.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5"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tables alone do not constitute a complete description of the financial analyses. Considering the data set forth in the tables without considering the full narrative description of the financial analyses, including the methodologies and assumptions underlying the analyses, could create a misleading or incomplete view of the financial analyses. Lucid performed certain procedures, including each of the financial analyses described below, and reviewed with the Galera Board the assumptions on which such analyses were based and other factors, including the historical financial results of Galera and Obsidian.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Obsidian Valuation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Selected Initial Public Offering Transactions – Cell Therapy Companies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Lucid reviewed certain publicly available information for the initial public offerings (“IPOs”) of 12 cell therapy-focused biopharmaceutical companies that have completed an IPO since February 2021 and whose lead product at the time of IPO was in clinical stage of development. Although the companies referred to below were used for comparison purposes, none of these companies are directly comparable to Obsidian. Accordingly, the analysis involves considerations and judgments concerning differences in historical and projected financial and operating characteristics of the selected companies. These companies, which are referred to as the “Selected Precedent IPO – Cell Therapy Companies,” were:</w:t>
      </w:r>
    </w:p>
    <w:p>
      <w:pPr>
        <w:spacing w:after="0" w:line="89" w:lineRule="exact"/>
        <w:rPr>
          <w:sz w:val="20"/>
          <w:szCs w:val="20"/>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Artiva Biotherapeutics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Kyverna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Turnstone Biologics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Arcellx,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Immix Biopharma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MiNK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In8bio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Caribou Biosciences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Talaris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Instil Bio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Longeveron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Immunocore</w:t>
      </w:r>
    </w:p>
    <w:p>
      <w:pPr>
        <w:spacing w:after="0" w:line="225"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The total enterprise value at IPO is defined as the pre-money equity value plus indebtedness, liquidation value of preferred stock and non-controlling interest, minus cash and cash equivalents, in each case at the time of the applicable IPO. The Selected Precedent IPO – Cell Therapy Companies had total enterprise values between $21.1 million and $1.9 billion. Lucid derived a median total enterprise value of $332.2 million for the Selected Precedent IPO – Cell Therapy Companies. Using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enterprise values, Lucid then derived a range of implied total equity values for Obsidian by adding $57.6 million in net cash at closing, resulting in a range of approximately $194.3 million to $543.4 million. Lucid then compared that figure to the Obsidian Equity Value (as defined in the merger agreement) of $413.5 million.</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Precedent IPO Companies – Cell Therapy Companies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4000" w:type="dxa"/>
            <w:vAlign w:val="bottom"/>
          </w:tcPr>
          <w:p>
            <w:pPr>
              <w:spacing w:after="0"/>
              <w:rPr>
                <w:sz w:val="13"/>
                <w:szCs w:val="13"/>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60"/>
        </w:trPr>
        <w:tc>
          <w:tcPr>
            <w:tcW w:w="1540" w:type="dxa"/>
            <w:vAlign w:val="bottom"/>
            <w:gridSpan w:val="2"/>
            <w:vMerge w:val="continue"/>
          </w:tcPr>
          <w:p>
            <w:pPr>
              <w:spacing w:after="0"/>
              <w:rPr>
                <w:sz w:val="13"/>
                <w:szCs w:val="13"/>
                <w:color w:val="auto"/>
              </w:rPr>
            </w:pPr>
          </w:p>
        </w:tc>
        <w:tc>
          <w:tcPr>
            <w:tcW w:w="2080" w:type="dxa"/>
            <w:vAlign w:val="bottom"/>
            <w:gridSpan w:val="2"/>
            <w:vMerge w:val="continue"/>
          </w:tcPr>
          <w:p>
            <w:pPr>
              <w:spacing w:after="0"/>
              <w:rPr>
                <w:sz w:val="13"/>
                <w:szCs w:val="13"/>
                <w:color w:val="auto"/>
              </w:rPr>
            </w:pPr>
          </w:p>
        </w:tc>
        <w:tc>
          <w:tcPr>
            <w:tcW w:w="4000" w:type="dxa"/>
            <w:vAlign w:val="bottom"/>
          </w:tcPr>
          <w:p>
            <w:pPr>
              <w:spacing w:after="0"/>
              <w:rPr>
                <w:sz w:val="13"/>
                <w:szCs w:val="13"/>
                <w:color w:val="auto"/>
              </w:rPr>
            </w:pPr>
          </w:p>
        </w:tc>
        <w:tc>
          <w:tcPr>
            <w:tcW w:w="7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7/18/2024</w:t>
            </w:r>
          </w:p>
        </w:tc>
        <w:tc>
          <w:tcPr>
            <w:tcW w:w="20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Artiva Biotherapeutics</w:t>
            </w:r>
          </w:p>
        </w:tc>
        <w:tc>
          <w:tcPr>
            <w:tcW w:w="4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65.8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2/7/2024</w:t>
            </w:r>
          </w:p>
        </w:tc>
        <w:tc>
          <w:tcPr>
            <w:tcW w:w="86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Kyverna Therapeutics</w:t>
            </w:r>
          </w:p>
        </w:tc>
        <w:tc>
          <w:tcPr>
            <w:tcW w:w="4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7/21/2023</w:t>
            </w: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Turnstone Biologics</w:t>
            </w:r>
          </w:p>
        </w:tc>
        <w:tc>
          <w:tcPr>
            <w:tcW w:w="4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2/8/2022</w:t>
            </w:r>
          </w:p>
        </w:tc>
        <w:tc>
          <w:tcPr>
            <w:tcW w:w="86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Arcellx, Inc.</w:t>
            </w:r>
          </w:p>
        </w:tc>
        <w:tc>
          <w:tcPr>
            <w:tcW w:w="4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275.1</w:t>
            </w:r>
          </w:p>
        </w:tc>
        <w:tc>
          <w:tcPr>
            <w:tcW w:w="0" w:type="dxa"/>
            <w:vAlign w:val="bottom"/>
          </w:tcPr>
          <w:p>
            <w:pPr>
              <w:spacing w:after="0"/>
              <w:rPr>
                <w:sz w:val="1"/>
                <w:szCs w:val="1"/>
                <w:color w:val="auto"/>
              </w:rPr>
            </w:pPr>
          </w:p>
        </w:tc>
      </w:tr>
      <w:tr>
        <w:trPr>
          <w:trHeight w:val="346"/>
        </w:trPr>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4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60"/>
        </w:trPr>
        <w:tc>
          <w:tcPr>
            <w:tcW w:w="1200" w:type="dxa"/>
            <w:vAlign w:val="bottom"/>
            <w:gridSpan w:val="2"/>
            <w:vMerge w:val="continue"/>
          </w:tcPr>
          <w:p>
            <w:pPr>
              <w:spacing w:after="0"/>
              <w:rPr>
                <w:sz w:val="13"/>
                <w:szCs w:val="13"/>
                <w:color w:val="auto"/>
              </w:rPr>
            </w:pPr>
          </w:p>
        </w:tc>
        <w:tc>
          <w:tcPr>
            <w:tcW w:w="6400" w:type="dxa"/>
            <w:vAlign w:val="bottom"/>
            <w:gridSpan w:val="3"/>
            <w:vMerge w:val="continue"/>
          </w:tcPr>
          <w:p>
            <w:pPr>
              <w:spacing w:after="0"/>
              <w:rPr>
                <w:sz w:val="13"/>
                <w:szCs w:val="13"/>
                <w:color w:val="auto"/>
              </w:rPr>
            </w:pPr>
          </w:p>
        </w:tc>
        <w:tc>
          <w:tcPr>
            <w:tcW w:w="7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12/20/2021</w:t>
            </w:r>
          </w:p>
        </w:tc>
        <w:tc>
          <w:tcPr>
            <w:tcW w:w="6400" w:type="dxa"/>
            <w:vAlign w:val="bottom"/>
            <w:gridSpan w:val="3"/>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Immix Biopharma</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10/19/2021</w:t>
            </w: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MiNK Therapeutics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8/3/2021</w:t>
            </w:r>
          </w:p>
        </w:tc>
        <w:tc>
          <w:tcPr>
            <w:tcW w:w="52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In8bio</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7/27/2021</w:t>
            </w: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Caribou Biosciences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473.8</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5/6/2021</w:t>
            </w:r>
          </w:p>
        </w:tc>
        <w:tc>
          <w:tcPr>
            <w:tcW w:w="52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Talaris Therapeutics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391.4</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3/23/2021</w:t>
            </w: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Instil Bio</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1,954.5</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2/12/2021</w:t>
            </w: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Longeveron</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2/9/2021</w:t>
            </w:r>
          </w:p>
        </w:tc>
        <w:tc>
          <w:tcPr>
            <w:tcW w:w="520" w:type="dxa"/>
            <w:vAlign w:val="bottom"/>
          </w:tcPr>
          <w:p>
            <w:pPr>
              <w:spacing w:after="0"/>
              <w:rPr>
                <w:sz w:val="20"/>
                <w:szCs w:val="20"/>
                <w:color w:val="auto"/>
              </w:rPr>
            </w:pP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Immunocore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Selected Initial Public Offering Transactions – Solid Tumor Companies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Lucid reviewed certain publicly available information for the IPOs of 36 solid tumor-focused biopharmaceutical companies that have completed an IPO since January 2021 and whose lead product at the time of IPO was in clinical stage of development. Although the companies referred to below were used for comparison purposes, none of these companies are directly comparable to Obsidian. Accordingly, the analysis involves considerations and judgments concerning differences in historical and projected financial and operating characteristics of the selected companies. These companies, which are referred to as the “Selected Precedent IPO Companies – Solid Tumor Companies,” were:</w:t>
      </w:r>
    </w:p>
    <w:p>
      <w:pPr>
        <w:spacing w:after="0" w:line="89" w:lineRule="exact"/>
        <w:rPr>
          <w:sz w:val="20"/>
          <w:szCs w:val="20"/>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Eikon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Aktis Oncology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Kairos Pharma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Bicara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Actuate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Boundless Bio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Adagene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ArriVent BioPharma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Oncology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Turnstone Biologics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Intensity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Genelux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Acrivon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MAIA Biotechnology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Nuvectis Pharma,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Immix Biopharma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Genenta Science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 Biotech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Aura Biosciences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Context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Xilio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MiNK Therapeutics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00"/>
          </w:cols>
          <w:pgMar w:left="320" w:top="455" w:right="4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RenovoRx</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In8bio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Candel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Erasca,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Elevation Oncology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Cyteir 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One Biopharmaceuticals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Instil Bio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Immunocore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Evaxion Biotech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Bolt Biotherapeutics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Sensei Biotherapeutics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Cullinan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total enterprise value at IPO is defined as the pre-money equity value plus indebtedness, liquidation value of preferred stock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non-controlling interest, minus cash and cash equivalents, in each case at the time of the applicable IPO. The Selected Precedent IPO – Solid Tumor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Companies had total enterprise values between $21.1 million and $1.9 billion. Lucid derived a median total enterprise value of $207.0 million for the</w:t>
      </w:r>
    </w:p>
    <w:p>
      <w:pPr>
        <w:ind w:left="120"/>
        <w:spacing w:after="0" w:line="181" w:lineRule="auto"/>
        <w:rPr>
          <w:sz w:val="20"/>
          <w:szCs w:val="20"/>
          <w:color w:val="auto"/>
        </w:rPr>
      </w:pPr>
      <w:r>
        <w:rPr>
          <w:rFonts w:ascii="Times New Roman" w:cs="Times New Roman" w:eastAsia="Times New Roman" w:hAnsi="Times New Roman"/>
          <w:sz w:val="18"/>
          <w:szCs w:val="18"/>
          <w:color w:val="auto"/>
        </w:rPr>
        <w:t>Selected Precedent IPO Companies – Solid Tumor Companies. Using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enterprise values, Lucid then</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derived a range of implied total equity values for Obsidian by adding $57.6 million in net cash at closing, resulting in a range of approximately</w:t>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$175.2 million to $467.7 million. Lucid then compared that figure to the Obsidian Equity Value (as defined in the merger agreement) of $413.5 million.</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Precedent IPO Companies – Solid Tumor Companies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39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60"/>
        </w:trPr>
        <w:tc>
          <w:tcPr>
            <w:tcW w:w="1620" w:type="dxa"/>
            <w:vAlign w:val="bottom"/>
            <w:gridSpan w:val="2"/>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3980" w:type="dxa"/>
            <w:vAlign w:val="bottom"/>
          </w:tcPr>
          <w:p>
            <w:pPr>
              <w:spacing w:after="0"/>
              <w:rPr>
                <w:sz w:val="13"/>
                <w:szCs w:val="13"/>
                <w:color w:val="auto"/>
              </w:rPr>
            </w:pPr>
          </w:p>
        </w:tc>
        <w:tc>
          <w:tcPr>
            <w:tcW w:w="7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2/6/2026</w:t>
            </w:r>
          </w:p>
        </w:tc>
        <w:tc>
          <w:tcPr>
            <w:tcW w:w="94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Eikon Therapeutics</w:t>
            </w:r>
          </w:p>
        </w:tc>
        <w:tc>
          <w:tcPr>
            <w:tcW w:w="39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264.5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1/12/2026</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Aktis Oncology</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359.6</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9/17/2024</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Kairos Pharma</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9/13/2024</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Bicara Therapeutics</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8/13/2024</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Actuate Therapeutics</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8/2/2024</w:t>
            </w:r>
          </w:p>
        </w:tc>
        <w:tc>
          <w:tcPr>
            <w:tcW w:w="9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 Therapies</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90.5</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4/2/2024</w:t>
            </w:r>
          </w:p>
        </w:tc>
        <w:tc>
          <w:tcPr>
            <w:tcW w:w="9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Boundless Bio</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2/9/2024</w:t>
            </w:r>
          </w:p>
        </w:tc>
        <w:tc>
          <w:tcPr>
            <w:tcW w:w="9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Adagene</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786.1</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1/30/2024</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ArriVent BioPharma</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250.1</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1/29/2024</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 Oncology</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7/21/2023</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Turnstone Biologics</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7/5/2023</w:t>
            </w:r>
          </w:p>
        </w:tc>
        <w:tc>
          <w:tcPr>
            <w:tcW w:w="9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Intensity Therapeutics</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1/30/2023</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Genelux</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1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11/17/2022</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Acrivon Therapeutics</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8/1/2022</w:t>
            </w:r>
          </w:p>
        </w:tc>
        <w:tc>
          <w:tcPr>
            <w:tcW w:w="9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MAIA Biotechnology</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2/8/2022</w:t>
            </w:r>
          </w:p>
        </w:tc>
        <w:tc>
          <w:tcPr>
            <w:tcW w:w="940" w:type="dxa"/>
            <w:vAlign w:val="bottom"/>
          </w:tcPr>
          <w:p>
            <w:pPr>
              <w:spacing w:after="0"/>
              <w:rPr>
                <w:sz w:val="18"/>
                <w:szCs w:val="18"/>
                <w:color w:val="auto"/>
              </w:rPr>
            </w:pP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Nuvectis Pharma, Inc.</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12/20/2021</w:t>
            </w:r>
          </w:p>
        </w:tc>
        <w:tc>
          <w:tcPr>
            <w:tcW w:w="2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Immix Biopharma</w:t>
            </w:r>
          </w:p>
        </w:tc>
        <w:tc>
          <w:tcPr>
            <w:tcW w:w="4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4"/>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12/17/2021</w:t>
            </w:r>
          </w:p>
        </w:tc>
        <w:tc>
          <w:tcPr>
            <w:tcW w:w="2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Genenta Science</w:t>
            </w:r>
          </w:p>
        </w:tc>
        <w:tc>
          <w:tcPr>
            <w:tcW w:w="4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346"/>
        </w:trPr>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98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134</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4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Issuer</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60"/>
        </w:trPr>
        <w:tc>
          <w:tcPr>
            <w:tcW w:w="1200" w:type="dxa"/>
            <w:vAlign w:val="bottom"/>
            <w:gridSpan w:val="2"/>
            <w:vMerge w:val="continue"/>
          </w:tcPr>
          <w:p>
            <w:pPr>
              <w:spacing w:after="0"/>
              <w:rPr>
                <w:sz w:val="13"/>
                <w:szCs w:val="13"/>
                <w:color w:val="auto"/>
              </w:rPr>
            </w:pPr>
          </w:p>
        </w:tc>
        <w:tc>
          <w:tcPr>
            <w:tcW w:w="6400" w:type="dxa"/>
            <w:vAlign w:val="bottom"/>
            <w:gridSpan w:val="3"/>
            <w:vMerge w:val="continue"/>
          </w:tcPr>
          <w:p>
            <w:pPr>
              <w:spacing w:after="0"/>
              <w:rPr>
                <w:sz w:val="13"/>
                <w:szCs w:val="13"/>
                <w:color w:val="auto"/>
              </w:rPr>
            </w:pPr>
          </w:p>
        </w:tc>
        <w:tc>
          <w:tcPr>
            <w:tcW w:w="7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11/9/2021</w:t>
            </w:r>
          </w:p>
        </w:tc>
        <w:tc>
          <w:tcPr>
            <w:tcW w:w="6400" w:type="dxa"/>
            <w:vAlign w:val="bottom"/>
            <w:gridSpan w:val="3"/>
            <w:shd w:val="clear" w:color="auto" w:fill="CCEEFF"/>
          </w:tcPr>
          <w:p>
            <w:pPr>
              <w:ind w:left="380"/>
              <w:spacing w:after="0" w:line="203" w:lineRule="exact"/>
              <w:rPr>
                <w:sz w:val="20"/>
                <w:szCs w:val="20"/>
                <w:color w:val="auto"/>
              </w:rPr>
            </w:pPr>
            <w:r>
              <w:rPr>
                <w:rFonts w:ascii="Times New Roman" w:cs="Times New Roman" w:eastAsia="Times New Roman" w:hAnsi="Times New Roman"/>
                <w:sz w:val="18"/>
                <w:szCs w:val="18"/>
                <w:color w:val="auto"/>
              </w:rPr>
              <w:t>IO Biotech</w:t>
            </w: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11/2/2021</w:t>
            </w: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Aura Biosciences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240.3</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10/22/2021</w:t>
            </w: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Context Therapeutics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10/22/2021</w:t>
            </w: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Xilio Therapeutics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218.8</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10/19/2021</w:t>
            </w: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MiNK Therapeutics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8/30/2021</w:t>
            </w: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RenovoRx</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8/3/2021</w:t>
            </w:r>
          </w:p>
        </w:tc>
        <w:tc>
          <w:tcPr>
            <w:tcW w:w="52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In8bio</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7/29/2021</w:t>
            </w: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Candel Therapeutics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7/20/2021</w:t>
            </w: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Erasca, Inc.</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1,364.6</w:t>
            </w:r>
          </w:p>
        </w:tc>
        <w:tc>
          <w:tcPr>
            <w:tcW w:w="0" w:type="dxa"/>
            <w:vAlign w:val="bottom"/>
          </w:tcPr>
          <w:p>
            <w:pPr>
              <w:spacing w:after="0"/>
              <w:rPr>
                <w:sz w:val="1"/>
                <w:szCs w:val="1"/>
                <w:color w:val="auto"/>
              </w:rPr>
            </w:pPr>
          </w:p>
        </w:tc>
      </w:tr>
      <w:tr>
        <w:trPr>
          <w:trHeight w:val="216"/>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6/24/2021</w:t>
            </w: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Elevation Oncology</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6/22/2021</w:t>
            </w: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Cyteir Therapeutics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403.0</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6/1/2021</w:t>
            </w:r>
          </w:p>
        </w:tc>
        <w:tc>
          <w:tcPr>
            <w:tcW w:w="520" w:type="dxa"/>
            <w:vAlign w:val="bottom"/>
          </w:tcPr>
          <w:p>
            <w:pPr>
              <w:spacing w:after="0"/>
              <w:rPr>
                <w:sz w:val="18"/>
                <w:szCs w:val="18"/>
                <w:color w:val="auto"/>
              </w:rPr>
            </w:pP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Day One Biopharmaceuticals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652.0</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3/23/2021</w:t>
            </w: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Instil Bio</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1,954.5</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2/9/2021</w:t>
            </w:r>
          </w:p>
        </w:tc>
        <w:tc>
          <w:tcPr>
            <w:tcW w:w="520" w:type="dxa"/>
            <w:vAlign w:val="bottom"/>
          </w:tcPr>
          <w:p>
            <w:pPr>
              <w:spacing w:after="0"/>
              <w:rPr>
                <w:sz w:val="18"/>
                <w:szCs w:val="18"/>
                <w:color w:val="auto"/>
              </w:rPr>
            </w:pP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Immunocore</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700.9</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2/4/2021</w:t>
            </w:r>
          </w:p>
        </w:tc>
        <w:tc>
          <w:tcPr>
            <w:tcW w:w="52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Evaxion Biotech</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2/4/2021</w:t>
            </w:r>
          </w:p>
        </w:tc>
        <w:tc>
          <w:tcPr>
            <w:tcW w:w="520" w:type="dxa"/>
            <w:vAlign w:val="bottom"/>
          </w:tcPr>
          <w:p>
            <w:pPr>
              <w:spacing w:after="0"/>
              <w:rPr>
                <w:sz w:val="18"/>
                <w:szCs w:val="18"/>
                <w:color w:val="auto"/>
              </w:rPr>
            </w:pP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Bolt Biotherapeutics</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437.6</w:t>
            </w: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2/3/2021</w:t>
            </w:r>
          </w:p>
        </w:tc>
        <w:tc>
          <w:tcPr>
            <w:tcW w:w="520" w:type="dxa"/>
            <w:vAlign w:val="bottom"/>
            <w:shd w:val="clear" w:color="auto" w:fill="CCEEFF"/>
          </w:tcPr>
          <w:p>
            <w:pPr>
              <w:spacing w:after="0"/>
              <w:rPr>
                <w:sz w:val="18"/>
                <w:szCs w:val="18"/>
                <w:color w:val="auto"/>
              </w:rPr>
            </w:pPr>
          </w:p>
        </w:tc>
        <w:tc>
          <w:tcPr>
            <w:tcW w:w="64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Sensei Biotherapeutics</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34"/>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1/12/2021</w:t>
            </w:r>
          </w:p>
        </w:tc>
        <w:tc>
          <w:tcPr>
            <w:tcW w:w="64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Cullinan</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Selected Publicly Traded Companies – Cell Therapy Companies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Lucid reviewed certain publicly available data for 18 publicly traded cell therapy-focused biopharmaceutical companies with lead candidates in clinical stage development that share similar business characteristics to Obsidian (referred to as the “Selected Publicly Traded Companies – Cell Therapy Companies”). In selecting these companies, Lucid focused on comparable companies reporting cash balances exceeding $75 million, aligning with Obsidian’s expected cash balance of $57.6 million at closing which Lucid considered generally indicative of companies with sufficient capital to support clinical-stage development, and broadly comparable to Obsidian’s expected cash balance of $407.6 million at closing (inclusive of the $350.0 million concurrent financing). Although the companies referred to below were used for comparison purposes, none of those companies is directly comparable to Obsidian. Accordingly, the analysis involves considerations and judgments concerning differences in historical and projected financial and operating characteristics of the selected companies. The total enterprise values are based on closing stock prices on April 13, 2026. The Selected Publicly Traded Companies were:</w:t>
      </w:r>
    </w:p>
    <w:p>
      <w:pPr>
        <w:spacing w:after="0" w:line="94" w:lineRule="exact"/>
        <w:rPr>
          <w:sz w:val="20"/>
          <w:szCs w:val="20"/>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Adicet Bio,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Allogene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Arcellx,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Artiva Biotherapeutics,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Cabaletta Bio,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Capricor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Caribou Biosciences,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Cartesian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Fate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Immatics N.V.</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Immix Biopharma,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Iovance Biotherapeutics, Inc.</w:t>
      </w:r>
    </w:p>
    <w:p>
      <w:pPr>
        <w:spacing w:after="0" w:line="15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60"/>
          </w:cols>
          <w:pgMar w:left="320" w:top="455" w:right="6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Kyverna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Lyell Immunopharma,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Nkarta,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ProKidney Corp.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Protara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Sana Biotechnology, Inc.</w:t>
      </w:r>
    </w:p>
    <w:p>
      <w:pPr>
        <w:spacing w:after="0" w:line="225" w:lineRule="exact"/>
        <w:rPr>
          <w:sz w:val="20"/>
          <w:szCs w:val="20"/>
          <w:color w:val="auto"/>
        </w:rPr>
      </w:pPr>
    </w:p>
    <w:p>
      <w:pPr>
        <w:ind w:left="120" w:right="60" w:firstLine="440"/>
        <w:spacing w:after="0" w:line="224" w:lineRule="auto"/>
        <w:rPr>
          <w:sz w:val="20"/>
          <w:szCs w:val="20"/>
          <w:color w:val="auto"/>
        </w:rPr>
      </w:pPr>
      <w:r>
        <w:rPr>
          <w:rFonts w:ascii="Times New Roman" w:cs="Times New Roman" w:eastAsia="Times New Roman" w:hAnsi="Times New Roman"/>
          <w:sz w:val="18"/>
          <w:szCs w:val="18"/>
          <w:color w:val="auto"/>
        </w:rPr>
        <w:t>The Selected Publicly Traded Companies – Cell Therapy Companies had total enterprise values between negative $113.0 million and $6.8 billion. Lucid derived a median total enterprise value of $253.3 million for the Selected Publicly Traded Companies – Cell Therapy Companies. Using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enterprise values, Lucid then derived a range of implied total equity values for Obsidian by adding</w:t>
      </w:r>
    </w:p>
    <w:p>
      <w:pPr>
        <w:spacing w:after="0" w:line="3" w:lineRule="exact"/>
        <w:rPr>
          <w:sz w:val="20"/>
          <w:szCs w:val="20"/>
          <w:color w:val="auto"/>
        </w:rPr>
      </w:pPr>
    </w:p>
    <w:p>
      <w:pPr>
        <w:ind w:left="120" w:right="560"/>
        <w:spacing w:after="0" w:line="258" w:lineRule="auto"/>
        <w:rPr>
          <w:sz w:val="20"/>
          <w:szCs w:val="20"/>
          <w:color w:val="auto"/>
        </w:rPr>
      </w:pPr>
      <w:r>
        <w:rPr>
          <w:rFonts w:ascii="Times New Roman" w:cs="Times New Roman" w:eastAsia="Times New Roman" w:hAnsi="Times New Roman"/>
          <w:sz w:val="18"/>
          <w:szCs w:val="18"/>
          <w:color w:val="auto"/>
        </w:rPr>
        <w:t>$57.6 million in net cash at closing, resulting in a range of approximately $94.0 million to $719.9 million. Lucid then compared that figure to the Obsidian Equity Value (as defined in the merger agreement) of $413.5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Publicly Traded Companies – Cell Therapy Companies</w:t>
      </w:r>
    </w:p>
    <w:p>
      <w:pPr>
        <w:spacing w:after="0" w:line="23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5680" w:type="dxa"/>
            <w:vAlign w:val="bottom"/>
            <w:vMerge w:val="restart"/>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80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 xml:space="preserve">Value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M)</w:t>
            </w:r>
          </w:p>
        </w:tc>
        <w:tc>
          <w:tcPr>
            <w:tcW w:w="0" w:type="dxa"/>
            <w:vAlign w:val="bottom"/>
          </w:tcPr>
          <w:p>
            <w:pPr>
              <w:spacing w:after="0"/>
              <w:rPr>
                <w:sz w:val="1"/>
                <w:szCs w:val="1"/>
                <w:color w:val="auto"/>
              </w:rPr>
            </w:pPr>
          </w:p>
        </w:tc>
      </w:tr>
      <w:tr>
        <w:trPr>
          <w:trHeight w:val="203"/>
        </w:trPr>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Arcellx, Inc.</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$ 6,289.4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Capricor 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1,668.3</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Iovance Biotherapeutics,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1,127.3</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Immatics N.V.</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906.6</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Sana Biotechnology,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718.3</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Allogene 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494.5</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Immix Biopharma,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Kyverna 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Lyell Immunopharma,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283.9</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Cabaletta Bio,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Protara Therapeutics,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Artiva Biotherapeutics,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Caribou Biosciences,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Cartesian 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ProKidney Corp.</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Fate Therapeutics, Inc.</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Adicet Bio, Inc.</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(90.3)</w:t>
            </w: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Nkarta, Inc.</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Selected Publicly Traded Companies – Solid Tumor Companies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Lucid reviewed certain publicly available data for 39 publicly traded solid tumor-focused biopharmaceutical companies with lead candidates in clinical stage development that share similar business characteristics to Obsidian (referred to as the “Selected Publicly Traded Companies – Solid Tumor Companies”). In selecting these companies, Lucid focused on comparable companies reporting cash balances exceeding $75 million, aligning with Obsidian’s anticipated cash balance of $57.6 million at closing which Lucid considered generally indicative of companies with sufficient capital to support clinical-stage development, and broadly comparable to Obsidian’s expected cash balance of $407.6 million at closing (inclusive of the</w:t>
      </w:r>
    </w:p>
    <w:p>
      <w:pPr>
        <w:spacing w:after="0" w:line="3" w:lineRule="exact"/>
        <w:rPr>
          <w:sz w:val="20"/>
          <w:szCs w:val="20"/>
          <w:color w:val="auto"/>
        </w:rPr>
      </w:pPr>
    </w:p>
    <w:p>
      <w:pPr>
        <w:ind w:left="120" w:right="580"/>
        <w:spacing w:after="0" w:line="260" w:lineRule="auto"/>
        <w:rPr>
          <w:sz w:val="20"/>
          <w:szCs w:val="20"/>
          <w:color w:val="auto"/>
        </w:rPr>
      </w:pPr>
      <w:r>
        <w:rPr>
          <w:rFonts w:ascii="Times New Roman" w:cs="Times New Roman" w:eastAsia="Times New Roman" w:hAnsi="Times New Roman"/>
          <w:sz w:val="18"/>
          <w:szCs w:val="18"/>
          <w:color w:val="auto"/>
        </w:rPr>
        <w:t>$350.0 million concurrent financing). Although the companies referred to below were used for comparison purposes, none of those companies is directly comparable to Obsidian. Accordingly, the analysis involves considerations and judgments concerning</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differences in historical and projected financial and operating characteristics of the selected companies. The total enterprise values are based on closing stock prices on April 13, 2026. The Selected Publicly Traded Companies were:</w:t>
      </w:r>
    </w:p>
    <w:p>
      <w:pPr>
        <w:spacing w:after="0" w:line="67" w:lineRule="exact"/>
        <w:rPr>
          <w:sz w:val="20"/>
          <w:szCs w:val="20"/>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Acrivon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Adagene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Adlai Nortye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Aktis Oncology,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ALX Oncology Holdings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ArriVent BioPharma,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Aura Biosciences,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Bicara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Diamond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BridgeBio Oncology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Candel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Celcuity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 Oncology,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Compass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Compugen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Cullinan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CytomX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Eikon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Erasca,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Foghorn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IDEAYA Biosciences,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Immatics N.V.</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Immuneering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Immunome,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Inhibrx Biosciences,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Iovance Biotherapeutics,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Janux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NovaBridge Biosciences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Nuvalent,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Olema Pharmaceuticals,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ORIC Pharmaceuticals,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Perspective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PMV Pharmaceuticals,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Protara Therapeutics, Inc.</w:t>
      </w:r>
    </w:p>
    <w:p>
      <w:pPr>
        <w:spacing w:after="0" w:line="15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320" w:top="455" w:right="5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Relmada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Tango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Tyra Biosciences,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Xilio Therapeutics, Inc.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Zentalis Pharmaceuticals, Inc.</w:t>
      </w:r>
    </w:p>
    <w:p>
      <w:pPr>
        <w:spacing w:after="0" w:line="225" w:lineRule="exact"/>
        <w:rPr>
          <w:sz w:val="20"/>
          <w:szCs w:val="20"/>
          <w:color w:val="auto"/>
        </w:rPr>
      </w:pPr>
    </w:p>
    <w:p>
      <w:pPr>
        <w:ind w:left="120" w:right="160" w:firstLine="440"/>
        <w:spacing w:after="0" w:line="224" w:lineRule="auto"/>
        <w:rPr>
          <w:sz w:val="20"/>
          <w:szCs w:val="20"/>
          <w:color w:val="auto"/>
        </w:rPr>
      </w:pPr>
      <w:r>
        <w:rPr>
          <w:rFonts w:ascii="Times New Roman" w:cs="Times New Roman" w:eastAsia="Times New Roman" w:hAnsi="Times New Roman"/>
          <w:sz w:val="18"/>
          <w:szCs w:val="18"/>
          <w:color w:val="auto"/>
        </w:rPr>
        <w:t>The Selected Publicly Traded Companies – Solid Tumor Companies had total enterprise values between negative $88.6 million and $6.8 billion. Lucid derived a median total enterprise value of $490.7 million for the Selected Publicly Traded Companies – Solid Tumor Companies. Using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enterprise values, Lucid then derived a range of implied total equity values for Obsidian by adding</w:t>
      </w:r>
    </w:p>
    <w:p>
      <w:pPr>
        <w:spacing w:after="0" w:line="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$57.6 million in net cash at closing, resulting in a range of approximately $174.6 million to $1.1 billion. Lucid then compared that figure to the Obsidian Equity Value (as defined in the merger agreement) of $413.5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Publicly Traded Companies – Solid Tumor Companies</w:t>
      </w:r>
    </w:p>
    <w:p>
      <w:pPr>
        <w:spacing w:after="0" w:line="23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2220" w:type="dxa"/>
            <w:vAlign w:val="bottom"/>
            <w:vMerge w:val="restart"/>
          </w:tcPr>
          <w:p>
            <w:pPr>
              <w:spacing w:after="0"/>
              <w:rPr>
                <w:sz w:val="13"/>
                <w:szCs w:val="13"/>
                <w:color w:val="auto"/>
              </w:rPr>
            </w:pPr>
          </w:p>
        </w:tc>
        <w:tc>
          <w:tcPr>
            <w:tcW w:w="352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vMerge w:val="continue"/>
          </w:tcPr>
          <w:p>
            <w:pPr>
              <w:spacing w:after="0"/>
              <w:rPr>
                <w:sz w:val="15"/>
                <w:szCs w:val="15"/>
                <w:color w:val="auto"/>
              </w:rPr>
            </w:pPr>
          </w:p>
        </w:tc>
        <w:tc>
          <w:tcPr>
            <w:tcW w:w="2220" w:type="dxa"/>
            <w:vAlign w:val="bottom"/>
            <w:vMerge w:val="continue"/>
          </w:tcPr>
          <w:p>
            <w:pPr>
              <w:spacing w:after="0"/>
              <w:rPr>
                <w:sz w:val="15"/>
                <w:szCs w:val="15"/>
                <w:color w:val="auto"/>
              </w:rPr>
            </w:pPr>
          </w:p>
        </w:tc>
        <w:tc>
          <w:tcPr>
            <w:tcW w:w="3520" w:type="dxa"/>
            <w:vAlign w:val="bottom"/>
          </w:tcPr>
          <w:p>
            <w:pPr>
              <w:spacing w:after="0"/>
              <w:rPr>
                <w:sz w:val="15"/>
                <w:szCs w:val="15"/>
                <w:color w:val="auto"/>
              </w:rPr>
            </w:pPr>
          </w:p>
        </w:tc>
        <w:tc>
          <w:tcPr>
            <w:tcW w:w="7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Value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03"/>
        </w:trPr>
        <w:tc>
          <w:tcPr>
            <w:tcW w:w="32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Nuvalent, Inc.</w:t>
            </w:r>
          </w:p>
        </w:tc>
        <w:tc>
          <w:tcPr>
            <w:tcW w:w="3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$ 6,779.8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Celcuity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5,700.1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CG Oncology,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4,977.1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Erasca,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4,635.1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Tango Therapeutics,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2,733.2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IDEAYA Biosciences,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2,242.7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Immunome,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1,905.6</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Tyra Biosciences,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1,662.7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Iovance Biotherapeutics,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1,129.4</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Inhibrx Biosciences,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1,107.8</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Immatics N.V.</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906.6</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Olema Pharmaceuticals,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886.0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ArriVent BioPharma,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871.3</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Bicara Therapeutics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CytomX Therapeutics,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812.0</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ORIC Pharmaceuticals,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762.2</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Aktis Oncology,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Compass Therapeutics,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727.6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Relmada Therapeutics,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Cullinan Therapeutics,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Perspective Therapeutics,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Adlai Nortye Ltd.</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302.7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Aura Biosciences,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BridgeBio Oncology Therapeutics,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Eikon Therapeutics,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Immuneering Corporation</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Candel Therapeutics,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Zentalis Pharmaceuticals, Inc.</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Protara Therapeutics,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Compugen Ltd.</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Adagene Inc.</w:t>
            </w:r>
          </w:p>
        </w:tc>
        <w:tc>
          <w:tcPr>
            <w:tcW w:w="4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NovaBridge Biosciences</w:t>
            </w:r>
          </w:p>
        </w:tc>
        <w:tc>
          <w:tcPr>
            <w:tcW w:w="4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346"/>
        </w:trPr>
        <w:tc>
          <w:tcPr>
            <w:tcW w:w="10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520" w:type="dxa"/>
            <w:vAlign w:val="bottom"/>
          </w:tcPr>
          <w:p>
            <w:pPr>
              <w:jc w:val="right"/>
              <w:ind w:right="2770"/>
              <w:spacing w:after="0"/>
              <w:rPr>
                <w:sz w:val="20"/>
                <w:szCs w:val="20"/>
                <w:color w:val="auto"/>
              </w:rPr>
            </w:pPr>
            <w:r>
              <w:rPr>
                <w:rFonts w:ascii="Times New Roman" w:cs="Times New Roman" w:eastAsia="Times New Roman" w:hAnsi="Times New Roman"/>
                <w:sz w:val="18"/>
                <w:szCs w:val="18"/>
                <w:color w:val="auto"/>
              </w:rPr>
              <w:t>138</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5680" w:type="dxa"/>
            <w:vAlign w:val="bottom"/>
            <w:vMerge w:val="restart"/>
          </w:tcPr>
          <w:p>
            <w:pPr>
              <w:spacing w:after="0"/>
              <w:rPr>
                <w:sz w:val="13"/>
                <w:szCs w:val="13"/>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Enterprise</w:t>
            </w:r>
          </w:p>
        </w:tc>
        <w:tc>
          <w:tcPr>
            <w:tcW w:w="0" w:type="dxa"/>
            <w:vAlign w:val="bottom"/>
          </w:tcPr>
          <w:p>
            <w:pPr>
              <w:spacing w:after="0"/>
              <w:rPr>
                <w:sz w:val="1"/>
                <w:szCs w:val="1"/>
                <w:color w:val="auto"/>
              </w:rPr>
            </w:pPr>
          </w:p>
        </w:tc>
      </w:tr>
      <w:tr>
        <w:trPr>
          <w:trHeight w:val="180"/>
        </w:trPr>
        <w:tc>
          <w:tcPr>
            <w:tcW w:w="1000" w:type="dxa"/>
            <w:vAlign w:val="bottom"/>
            <w:tcBorders>
              <w:bottom w:val="single" w:sz="8" w:color="auto"/>
            </w:tcBorders>
            <w:vMerge w:val="continue"/>
          </w:tcPr>
          <w:p>
            <w:pPr>
              <w:spacing w:after="0"/>
              <w:rPr>
                <w:sz w:val="15"/>
                <w:szCs w:val="15"/>
                <w:color w:val="auto"/>
              </w:rPr>
            </w:pPr>
          </w:p>
        </w:tc>
        <w:tc>
          <w:tcPr>
            <w:tcW w:w="5680" w:type="dxa"/>
            <w:vAlign w:val="bottom"/>
            <w:vMerge w:val="continue"/>
          </w:tcPr>
          <w:p>
            <w:pPr>
              <w:spacing w:after="0"/>
              <w:rPr>
                <w:sz w:val="15"/>
                <w:szCs w:val="15"/>
                <w:color w:val="auto"/>
              </w:rPr>
            </w:pPr>
          </w:p>
        </w:tc>
        <w:tc>
          <w:tcPr>
            <w:tcW w:w="800" w:type="dxa"/>
            <w:vAlign w:val="bottom"/>
            <w:gridSpan w:val="2"/>
          </w:tcPr>
          <w:p>
            <w:pPr>
              <w:jc w:val="right"/>
              <w:ind w:right="1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 xml:space="preserve">Value </w:t>
            </w: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M)</w:t>
            </w:r>
          </w:p>
        </w:tc>
        <w:tc>
          <w:tcPr>
            <w:tcW w:w="0" w:type="dxa"/>
            <w:vAlign w:val="bottom"/>
          </w:tcPr>
          <w:p>
            <w:pPr>
              <w:spacing w:after="0"/>
              <w:rPr>
                <w:sz w:val="1"/>
                <w:szCs w:val="1"/>
                <w:color w:val="auto"/>
              </w:rPr>
            </w:pPr>
          </w:p>
        </w:tc>
      </w:tr>
      <w:tr>
        <w:trPr>
          <w:trHeight w:val="203"/>
        </w:trPr>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Foghorn Therapeutics Inc.</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ALX Oncology Holdings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 Diamond Therapeutics,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PMV Pharmaceuticals, Inc.</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Acrivon Therapeutics, Inc.</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Janux Therapeutics, Inc.</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Xilio Therapeutics, Inc.</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Nuvalent,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$ 6,779.8</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Celcuity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5,700.1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CG Oncology,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4,977.1</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Erasca,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4,635.1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Tango 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2,733.2</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IDEAYA Biosciences,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2,242.7</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Immunome,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1,905.6</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Tyra Biosciences,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1,662.7</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Iovance Biotherapeutics,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1,129.4</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Inhibrx Biosciences,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1,107.8</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Immatics N.V.</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906.6</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Olema Pharmaceuticals,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886.0</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ArriVent BioPharma,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871.3</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Bicara Therapeutics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862.1</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CytomX 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812.0</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ORIC Pharmaceuticals,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762.2</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Aktis Oncology,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731.7</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Compass Therapeutics,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Relmada 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Cullinan Therapeutics,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484.6</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Perspective 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352.5</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Adlai Nortye Ltd.</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302.7</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Aura Biosciences,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299.0</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BridgeBio Oncology Therapeutics, Inc.</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290.8</w:t>
            </w:r>
          </w:p>
        </w:tc>
        <w:tc>
          <w:tcPr>
            <w:tcW w:w="0" w:type="dxa"/>
            <w:vAlign w:val="bottom"/>
          </w:tcPr>
          <w:p>
            <w:pPr>
              <w:spacing w:after="0"/>
              <w:rPr>
                <w:sz w:val="1"/>
                <w:szCs w:val="1"/>
                <w:color w:val="auto"/>
              </w:rPr>
            </w:pPr>
          </w:p>
        </w:tc>
      </w:tr>
      <w:tr>
        <w:trPr>
          <w:trHeight w:val="216"/>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Eikon 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Immuneering Corporation</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195.7</w:t>
            </w:r>
          </w:p>
        </w:tc>
        <w:tc>
          <w:tcPr>
            <w:tcW w:w="0" w:type="dxa"/>
            <w:vAlign w:val="bottom"/>
          </w:tcPr>
          <w:p>
            <w:pPr>
              <w:spacing w:after="0"/>
              <w:rPr>
                <w:sz w:val="1"/>
                <w:szCs w:val="1"/>
                <w:color w:val="auto"/>
              </w:rPr>
            </w:pPr>
          </w:p>
        </w:tc>
      </w:tr>
      <w:tr>
        <w:trPr>
          <w:trHeight w:val="23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Candel Therapeutics, Inc.</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Precedent M&amp;A Transactions – Cell Therapy Companies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Lucid reviewed certain publicly available information for 9 merger transactions involving cell therapy-focused biopharmaceutical companies with lead candidate in clinical development (referred to as the “Selected Precedent M&amp;A Transactions – Cell Therapy Companies”). Although the precedent transactions referred to below were used for comparison purposes, none of the target companies is directly comparable to Obsidian. Accordingly, the analysis involves considerations and judgments concerning differences in historical and projected financial and operating characteristics of the companies involved and other factors that could affect the merger value of such transactions. Lucid reviewed the total enterprise values of the target companies, including potential future milestone payments. These transactions, including the date each was closed, were as follows below.</w:t>
      </w:r>
    </w:p>
    <w:p>
      <w:pPr>
        <w:spacing w:after="0" w:line="173"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The Selected Precedent M&amp;A Transactions – Cell Therapy Companies had total enterprise values between $70.0 million and $3.1 billion. Lucid derived a median total enterprise value of $509.0 million for the Selected Precedent M&amp;A Transactions – Cell Therapy Companies. Using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and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w:t>
      </w:r>
    </w:p>
    <w:p>
      <w:pPr>
        <w:jc w:val="center"/>
        <w:ind w:right="-1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55"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enterprise values, Lucid then derived a range of implied total enterprise values for Obsidian by adding $57.6 million in net cash at closing, resulting in a range of approximately $352.6 million to $1.0 billion. Lucid then compared that figure to the Obsidian Equity Value (as defined in the merger agreement) of $413.5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Precedent M&amp;A Transactions – Cell Therapy Companies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Closed Date</w:t>
            </w:r>
          </w:p>
        </w:tc>
        <w:tc>
          <w:tcPr>
            <w:tcW w:w="4080" w:type="dxa"/>
            <w:vAlign w:val="bottom"/>
            <w:vMerge w:val="restart"/>
          </w:tcPr>
          <w:p>
            <w:pPr>
              <w:spacing w:after="0"/>
              <w:rPr>
                <w:sz w:val="13"/>
                <w:szCs w:val="13"/>
                <w:color w:val="auto"/>
              </w:rPr>
            </w:pPr>
          </w:p>
        </w:tc>
        <w:tc>
          <w:tcPr>
            <w:tcW w:w="242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34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Implied Enterprise</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vMerge w:val="continue"/>
          </w:tcPr>
          <w:p>
            <w:pPr>
              <w:spacing w:after="0"/>
              <w:rPr>
                <w:sz w:val="15"/>
                <w:szCs w:val="15"/>
                <w:color w:val="auto"/>
              </w:rPr>
            </w:pPr>
          </w:p>
        </w:tc>
        <w:tc>
          <w:tcPr>
            <w:tcW w:w="4080" w:type="dxa"/>
            <w:vAlign w:val="bottom"/>
            <w:vMerge w:val="continue"/>
          </w:tcPr>
          <w:p>
            <w:pPr>
              <w:spacing w:after="0"/>
              <w:rPr>
                <w:sz w:val="15"/>
                <w:szCs w:val="15"/>
                <w:color w:val="auto"/>
              </w:rPr>
            </w:pPr>
          </w:p>
        </w:tc>
        <w:tc>
          <w:tcPr>
            <w:tcW w:w="2420" w:type="dxa"/>
            <w:vAlign w:val="bottom"/>
            <w:gridSpan w:val="2"/>
            <w:vMerge w:val="continue"/>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Value ($M)</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12/29/2025</w:t>
            </w:r>
          </w:p>
        </w:tc>
        <w:tc>
          <w:tcPr>
            <w:tcW w:w="19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Halda Therapeutics</w:t>
            </w:r>
          </w:p>
        </w:tc>
        <w:tc>
          <w:tcPr>
            <w:tcW w:w="4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Johnson &amp; Johnson</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3,050.0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5/20/2025</w:t>
            </w:r>
          </w:p>
        </w:tc>
        <w:tc>
          <w:tcPr>
            <w:tcW w:w="408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EsoBiotec B.V.</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AstraZeneca</w:t>
            </w: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1/7/2025</w:t>
            </w:r>
          </w:p>
        </w:tc>
        <w:tc>
          <w:tcPr>
            <w:tcW w:w="40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Poseida Therapeutics</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Roche Holdings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1,038.5</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10/31/2024</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ImmPACT Bio</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Lyell Immunopharma</w:t>
            </w: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2/22/2024</w:t>
            </w:r>
          </w:p>
        </w:tc>
        <w:tc>
          <w:tcPr>
            <w:tcW w:w="40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Gracell Biotechnologies</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AstraZeneca</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11/22/2023</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T3 Pharma</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Boehringer Ingelheim</w:t>
            </w: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7/11/2022</w:t>
            </w:r>
          </w:p>
        </w:tc>
        <w:tc>
          <w:tcPr>
            <w:tcW w:w="40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ViaCyte</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Vertex Pharmaceuticals</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295.0</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10/19/2021</w:t>
            </w: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TeneoBio</w:t>
            </w: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Amgen</w:t>
            </w: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5/4/2021</w:t>
            </w:r>
          </w:p>
        </w:tc>
        <w:tc>
          <w:tcPr>
            <w:tcW w:w="408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Kuur Therapeutics</w:t>
            </w:r>
          </w:p>
        </w:tc>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Athenex</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Precedent M&amp;A Transactions – Solid Tumor Companies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Lucid reviewed certain publicly available information for 22 merger transactions involving solid tumor-focused biopharmaceutical companies with had a lead candidate in clinical development (referred to as the “Selected Precedent M&amp;A Transactions – Solid Tumor Companies”). Although the precedent transactions referred to below were used for comparison purposes, none of the target companies is directly comparable to Obsidian. Accordingly, the analysis involves considerations and judgments concerning differences in historical and projected financial and operating characteristics of the companies involved and other factors that could affect the merger value of such transactions. Lucid reviewed the total enterprise values of the target companies, including potential future milestone payments. These transactions, including the date each was closed, were as follows below.</w:t>
      </w:r>
    </w:p>
    <w:p>
      <w:pPr>
        <w:spacing w:after="0" w:line="189"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Selected Precedent M&amp;A Transactions – Solid Tumor Companies had total enterprise values between $78.0 million and $3.1 billion. Lucid derived a median total enterprise value of $847.5 million for the Selected Precedent M&amp;A Transactions – Solid Tumor Companies. Using the</w:t>
      </w:r>
    </w:p>
    <w:p>
      <w:pPr>
        <w:ind w:left="120"/>
        <w:spacing w:after="0" w:line="181" w:lineRule="auto"/>
        <w:rPr>
          <w:sz w:val="20"/>
          <w:szCs w:val="20"/>
          <w:color w:val="auto"/>
        </w:rPr>
      </w:pPr>
      <w:r>
        <w:rPr>
          <w:rFonts w:ascii="Times New Roman" w:cs="Times New Roman" w:eastAsia="Times New Roman" w:hAnsi="Times New Roman"/>
          <w:sz w:val="17"/>
          <w:szCs w:val="17"/>
          <w:color w:val="auto"/>
        </w:rPr>
        <w:t>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 and the 75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percentile of the enterprise values, Lucid then derived a range of implied total enterprise values for Obsidian by adding</w:t>
      </w:r>
    </w:p>
    <w:p>
      <w:pPr>
        <w:spacing w:after="0" w:line="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$57.6 million in net cash at closing, resulting in a range of approximately $251.4 million to $1.7 billion. Lucid then compared that figure to the Obsidian Equity Value (as defined in the merger agreement) of $413.5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Precedent M&amp;A Transactions – Solid Tumor Companies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Closed Date</w:t>
            </w:r>
          </w:p>
        </w:tc>
        <w:tc>
          <w:tcPr>
            <w:tcW w:w="1860" w:type="dxa"/>
            <w:vAlign w:val="bottom"/>
            <w:vMerge w:val="restart"/>
          </w:tcPr>
          <w:p>
            <w:pPr>
              <w:spacing w:after="0"/>
              <w:rPr>
                <w:sz w:val="13"/>
                <w:szCs w:val="13"/>
                <w:color w:val="auto"/>
              </w:rPr>
            </w:pPr>
          </w:p>
        </w:tc>
        <w:tc>
          <w:tcPr>
            <w:tcW w:w="1780" w:type="dxa"/>
            <w:vAlign w:val="bottom"/>
          </w:tcPr>
          <w:p>
            <w:pPr>
              <w:spacing w:after="0"/>
              <w:rPr>
                <w:sz w:val="13"/>
                <w:szCs w:val="13"/>
                <w:color w:val="auto"/>
              </w:rPr>
            </w:pPr>
          </w:p>
        </w:tc>
        <w:tc>
          <w:tcPr>
            <w:tcW w:w="1980" w:type="dxa"/>
            <w:vAlign w:val="bottom"/>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420" w:type="dxa"/>
            <w:vAlign w:val="bottom"/>
          </w:tcPr>
          <w:p>
            <w:pPr>
              <w:spacing w:after="0"/>
              <w:rPr>
                <w:sz w:val="13"/>
                <w:szCs w:val="13"/>
                <w:color w:val="auto"/>
              </w:rPr>
            </w:pPr>
          </w:p>
        </w:tc>
        <w:tc>
          <w:tcPr>
            <w:tcW w:w="236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420" w:type="dxa"/>
            <w:vAlign w:val="bottom"/>
          </w:tcPr>
          <w:p>
            <w:pPr>
              <w:spacing w:after="0"/>
              <w:rPr>
                <w:sz w:val="13"/>
                <w:szCs w:val="13"/>
                <w:color w:val="auto"/>
              </w:rPr>
            </w:pPr>
          </w:p>
        </w:tc>
        <w:tc>
          <w:tcPr>
            <w:tcW w:w="14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Implied Enterprise</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right"/>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Value ($M)</w:t>
            </w:r>
          </w:p>
        </w:tc>
        <w:tc>
          <w:tcPr>
            <w:tcW w:w="0" w:type="dxa"/>
            <w:vAlign w:val="bottom"/>
          </w:tcPr>
          <w:p>
            <w:pPr>
              <w:spacing w:after="0"/>
              <w:rPr>
                <w:sz w:val="1"/>
                <w:szCs w:val="1"/>
                <w:color w:val="auto"/>
              </w:rPr>
            </w:pPr>
          </w:p>
        </w:tc>
      </w:tr>
      <w:tr>
        <w:trPr>
          <w:trHeight w:val="203"/>
        </w:trPr>
        <w:tc>
          <w:tcPr>
            <w:tcW w:w="2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12/29/2025</w:t>
            </w:r>
          </w:p>
        </w:tc>
        <w:tc>
          <w:tcPr>
            <w:tcW w:w="17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Halda Therapeutics</w:t>
            </w:r>
          </w:p>
        </w:tc>
        <w:tc>
          <w:tcPr>
            <w:tcW w:w="42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Johnson &amp; Johnson</w:t>
            </w: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3,050.0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12/18/2025</w:t>
            </w:r>
          </w:p>
        </w:tc>
        <w:tc>
          <w:tcPr>
            <w:tcW w:w="37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CureVac</w:t>
            </w:r>
          </w:p>
        </w:tc>
        <w:tc>
          <w:tcPr>
            <w:tcW w:w="2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BioNTech</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795.0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3/5/2025</w:t>
            </w:r>
          </w:p>
        </w:tc>
        <w:tc>
          <w:tcPr>
            <w:tcW w:w="186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Chimerix</w:t>
            </w:r>
          </w:p>
        </w:tc>
        <w:tc>
          <w:tcPr>
            <w:tcW w:w="2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Jazz Pharma</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677.4</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2/24/2025</w:t>
            </w:r>
          </w:p>
        </w:tc>
        <w:tc>
          <w:tcPr>
            <w:tcW w:w="1860" w:type="dxa"/>
            <w:vAlign w:val="bottom"/>
          </w:tcPr>
          <w:p>
            <w:pPr>
              <w:spacing w:after="0"/>
              <w:rPr>
                <w:sz w:val="18"/>
                <w:szCs w:val="18"/>
                <w:color w:val="auto"/>
              </w:rPr>
            </w:pPr>
          </w:p>
        </w:tc>
        <w:tc>
          <w:tcPr>
            <w:tcW w:w="37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IDRx</w:t>
            </w:r>
          </w:p>
        </w:tc>
        <w:tc>
          <w:tcPr>
            <w:tcW w:w="2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GSK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1/13/2025</w:t>
            </w:r>
          </w:p>
        </w:tc>
        <w:tc>
          <w:tcPr>
            <w:tcW w:w="186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Scorpion Therapeutics</w:t>
            </w:r>
          </w:p>
        </w:tc>
        <w:tc>
          <w:tcPr>
            <w:tcW w:w="2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Eli Lilly</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10/31/2024</w:t>
            </w:r>
          </w:p>
        </w:tc>
        <w:tc>
          <w:tcPr>
            <w:tcW w:w="37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ImmPACT Bio</w:t>
            </w:r>
          </w:p>
        </w:tc>
        <w:tc>
          <w:tcPr>
            <w:tcW w:w="2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Lyell Immunopharma</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6/4/2024</w:t>
            </w:r>
          </w:p>
        </w:tc>
        <w:tc>
          <w:tcPr>
            <w:tcW w:w="186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Fusion</w:t>
            </w:r>
          </w:p>
        </w:tc>
        <w:tc>
          <w:tcPr>
            <w:tcW w:w="2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AstraZeneca</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1,766.0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4/3/2024</w:t>
            </w:r>
          </w:p>
        </w:tc>
        <w:tc>
          <w:tcPr>
            <w:tcW w:w="1860" w:type="dxa"/>
            <w:vAlign w:val="bottom"/>
          </w:tcPr>
          <w:p>
            <w:pPr>
              <w:spacing w:after="0"/>
              <w:rPr>
                <w:sz w:val="18"/>
                <w:szCs w:val="18"/>
                <w:color w:val="auto"/>
              </w:rPr>
            </w:pPr>
          </w:p>
        </w:tc>
        <w:tc>
          <w:tcPr>
            <w:tcW w:w="37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Kinnate Biopharma</w:t>
            </w:r>
          </w:p>
        </w:tc>
        <w:tc>
          <w:tcPr>
            <w:tcW w:w="2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XOMA Royalty Corporation</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3/11/2024</w:t>
            </w:r>
          </w:p>
        </w:tc>
        <w:tc>
          <w:tcPr>
            <w:tcW w:w="1860" w:type="dxa"/>
            <w:vAlign w:val="bottom"/>
            <w:shd w:val="clear" w:color="auto" w:fill="CCEEFF"/>
          </w:tcPr>
          <w:p>
            <w:pPr>
              <w:spacing w:after="0"/>
              <w:rPr>
                <w:sz w:val="18"/>
                <w:szCs w:val="18"/>
                <w:color w:val="auto"/>
              </w:rPr>
            </w:pPr>
          </w:p>
        </w:tc>
        <w:tc>
          <w:tcPr>
            <w:tcW w:w="376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18"/>
                <w:szCs w:val="18"/>
                <w:color w:val="auto"/>
              </w:rPr>
              <w:t>Harpoon Therapeutics</w:t>
            </w:r>
          </w:p>
        </w:tc>
        <w:tc>
          <w:tcPr>
            <w:tcW w:w="27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Merck</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2/22/2024</w:t>
            </w:r>
          </w:p>
        </w:tc>
        <w:tc>
          <w:tcPr>
            <w:tcW w:w="1860" w:type="dxa"/>
            <w:vAlign w:val="bottom"/>
          </w:tcPr>
          <w:p>
            <w:pPr>
              <w:spacing w:after="0"/>
              <w:rPr>
                <w:sz w:val="20"/>
                <w:szCs w:val="20"/>
                <w:color w:val="auto"/>
              </w:rPr>
            </w:pPr>
          </w:p>
        </w:tc>
        <w:tc>
          <w:tcPr>
            <w:tcW w:w="37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Gracell Biotechnologies</w:t>
            </w:r>
          </w:p>
        </w:tc>
        <w:tc>
          <w:tcPr>
            <w:tcW w:w="27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AstraZeneca</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346"/>
        </w:trPr>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760" w:type="dxa"/>
            <w:vAlign w:val="bottom"/>
            <w:gridSpan w:val="2"/>
          </w:tcPr>
          <w:p>
            <w:pPr>
              <w:jc w:val="right"/>
              <w:ind w:right="639"/>
              <w:spacing w:after="0"/>
              <w:rPr>
                <w:sz w:val="20"/>
                <w:szCs w:val="20"/>
                <w:color w:val="auto"/>
              </w:rPr>
            </w:pPr>
            <w:r>
              <w:rPr>
                <w:rFonts w:ascii="Times New Roman" w:cs="Times New Roman" w:eastAsia="Times New Roman" w:hAnsi="Times New Roman"/>
                <w:sz w:val="18"/>
                <w:szCs w:val="18"/>
                <w:color w:val="auto"/>
              </w:rPr>
              <w:t>140</w:t>
            </w: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Closed Date</w:t>
            </w:r>
          </w:p>
        </w:tc>
        <w:tc>
          <w:tcPr>
            <w:tcW w:w="1960" w:type="dxa"/>
            <w:vAlign w:val="bottom"/>
            <w:vMerge w:val="restart"/>
          </w:tcPr>
          <w:p>
            <w:pPr>
              <w:spacing w:after="0"/>
              <w:rPr>
                <w:sz w:val="13"/>
                <w:szCs w:val="13"/>
                <w:color w:val="auto"/>
              </w:rPr>
            </w:pPr>
          </w:p>
        </w:tc>
        <w:tc>
          <w:tcPr>
            <w:tcW w:w="1900" w:type="dxa"/>
            <w:vAlign w:val="bottom"/>
          </w:tcPr>
          <w:p>
            <w:pPr>
              <w:spacing w:after="0"/>
              <w:rPr>
                <w:sz w:val="13"/>
                <w:szCs w:val="13"/>
                <w:color w:val="auto"/>
              </w:rPr>
            </w:pPr>
          </w:p>
        </w:tc>
        <w:tc>
          <w:tcPr>
            <w:tcW w:w="20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540" w:type="dxa"/>
            <w:vAlign w:val="bottom"/>
          </w:tcPr>
          <w:p>
            <w:pPr>
              <w:spacing w:after="0"/>
              <w:rPr>
                <w:sz w:val="13"/>
                <w:szCs w:val="13"/>
                <w:color w:val="auto"/>
              </w:rPr>
            </w:pPr>
          </w:p>
        </w:tc>
        <w:tc>
          <w:tcPr>
            <w:tcW w:w="23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Acquirer</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Implied Enterprise</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190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148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Value ($M)</w:t>
            </w:r>
          </w:p>
        </w:tc>
        <w:tc>
          <w:tcPr>
            <w:tcW w:w="0" w:type="dxa"/>
            <w:vAlign w:val="bottom"/>
          </w:tcPr>
          <w:p>
            <w:pPr>
              <w:spacing w:after="0"/>
              <w:rPr>
                <w:sz w:val="1"/>
                <w:szCs w:val="1"/>
                <w:color w:val="auto"/>
              </w:rPr>
            </w:pPr>
          </w:p>
        </w:tc>
      </w:tr>
      <w:tr>
        <w:trPr>
          <w:trHeight w:val="203"/>
        </w:trPr>
        <w:tc>
          <w:tcPr>
            <w:tcW w:w="2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12/27/2023</w:t>
            </w:r>
          </w:p>
        </w:tc>
        <w:tc>
          <w:tcPr>
            <w:tcW w:w="19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POINT Biopharma</w:t>
            </w:r>
          </w:p>
        </w:tc>
        <w:tc>
          <w:tcPr>
            <w:tcW w:w="54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Eli Lilly</w:t>
            </w:r>
          </w:p>
        </w:tc>
        <w:tc>
          <w:tcPr>
            <w:tcW w:w="54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12/22/2023</w:t>
            </w:r>
          </w:p>
        </w:tc>
        <w:tc>
          <w:tcPr>
            <w:tcW w:w="39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Propella Therapeutics</w:t>
            </w:r>
          </w:p>
        </w:tc>
        <w:tc>
          <w:tcPr>
            <w:tcW w:w="29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Astellas Pharma</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11/22/2023</w:t>
            </w:r>
          </w:p>
        </w:tc>
        <w:tc>
          <w:tcPr>
            <w:tcW w:w="392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T3 Pharma</w:t>
            </w:r>
          </w:p>
        </w:tc>
        <w:tc>
          <w:tcPr>
            <w:tcW w:w="29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Boehringer Ingelheim</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3/8/2023</w:t>
            </w:r>
          </w:p>
        </w:tc>
        <w:tc>
          <w:tcPr>
            <w:tcW w:w="1960" w:type="dxa"/>
            <w:vAlign w:val="bottom"/>
          </w:tcPr>
          <w:p>
            <w:pPr>
              <w:spacing w:after="0"/>
              <w:rPr>
                <w:sz w:val="18"/>
                <w:szCs w:val="18"/>
                <w:color w:val="auto"/>
              </w:rPr>
            </w:pPr>
          </w:p>
        </w:tc>
        <w:tc>
          <w:tcPr>
            <w:tcW w:w="39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F-Star Therapeutics</w:t>
            </w:r>
          </w:p>
        </w:tc>
        <w:tc>
          <w:tcPr>
            <w:tcW w:w="29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InvoX Pharma</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11/7/2022</w:t>
            </w:r>
          </w:p>
        </w:tc>
        <w:tc>
          <w:tcPr>
            <w:tcW w:w="19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Fulgent Pharma LLC</w:t>
            </w:r>
          </w:p>
        </w:tc>
        <w:tc>
          <w:tcPr>
            <w:tcW w:w="29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Fulgent Genetics Inc.</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8/17/2022</w:t>
            </w:r>
          </w:p>
        </w:tc>
        <w:tc>
          <w:tcPr>
            <w:tcW w:w="1960" w:type="dxa"/>
            <w:vAlign w:val="bottom"/>
          </w:tcPr>
          <w:p>
            <w:pPr>
              <w:spacing w:after="0"/>
              <w:rPr>
                <w:sz w:val="18"/>
                <w:szCs w:val="18"/>
                <w:color w:val="auto"/>
              </w:rPr>
            </w:pPr>
          </w:p>
        </w:tc>
        <w:tc>
          <w:tcPr>
            <w:tcW w:w="39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Turning Point Tx</w:t>
            </w:r>
          </w:p>
        </w:tc>
        <w:tc>
          <w:tcPr>
            <w:tcW w:w="29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Bristol Myers Squibb</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3,057.6</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7/1/2022</w:t>
            </w:r>
          </w:p>
        </w:tc>
        <w:tc>
          <w:tcPr>
            <w:tcW w:w="19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Sierra Oncology</w:t>
            </w:r>
          </w:p>
        </w:tc>
        <w:tc>
          <w:tcPr>
            <w:tcW w:w="29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GSK</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1,656.7</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12/10/2021</w:t>
            </w:r>
          </w:p>
        </w:tc>
        <w:tc>
          <w:tcPr>
            <w:tcW w:w="39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NBE Therapeutics</w:t>
            </w:r>
          </w:p>
        </w:tc>
        <w:tc>
          <w:tcPr>
            <w:tcW w:w="29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Boehringer Ingelheim</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1,180.0</w:t>
            </w:r>
          </w:p>
        </w:tc>
        <w:tc>
          <w:tcPr>
            <w:tcW w:w="0" w:type="dxa"/>
            <w:vAlign w:val="bottom"/>
          </w:tcPr>
          <w:p>
            <w:pPr>
              <w:spacing w:after="0"/>
              <w:rPr>
                <w:sz w:val="1"/>
                <w:szCs w:val="1"/>
                <w:color w:val="auto"/>
              </w:rPr>
            </w:pPr>
          </w:p>
        </w:tc>
      </w:tr>
      <w:tr>
        <w:trPr>
          <w:trHeight w:val="216"/>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11/29/2021</w:t>
            </w:r>
          </w:p>
        </w:tc>
        <w:tc>
          <w:tcPr>
            <w:tcW w:w="392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Lengo Therapeutics</w:t>
            </w:r>
          </w:p>
        </w:tc>
        <w:tc>
          <w:tcPr>
            <w:tcW w:w="29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Blueprint Medicines</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10/19/2021</w:t>
            </w:r>
          </w:p>
        </w:tc>
        <w:tc>
          <w:tcPr>
            <w:tcW w:w="39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TeneoBio</w:t>
            </w:r>
          </w:p>
        </w:tc>
        <w:tc>
          <w:tcPr>
            <w:tcW w:w="29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Amgen</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3/4/2021</w:t>
            </w:r>
          </w:p>
        </w:tc>
        <w:tc>
          <w:tcPr>
            <w:tcW w:w="1960" w:type="dxa"/>
            <w:vAlign w:val="bottom"/>
            <w:shd w:val="clear" w:color="auto" w:fill="CCEEFF"/>
          </w:tcPr>
          <w:p>
            <w:pPr>
              <w:spacing w:after="0"/>
              <w:rPr>
                <w:sz w:val="18"/>
                <w:szCs w:val="18"/>
                <w:color w:val="auto"/>
              </w:rPr>
            </w:pPr>
          </w:p>
        </w:tc>
        <w:tc>
          <w:tcPr>
            <w:tcW w:w="392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Five Prime Therapeutics</w:t>
            </w:r>
          </w:p>
        </w:tc>
        <w:tc>
          <w:tcPr>
            <w:tcW w:w="292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Amgen</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1,900.0</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1/8/2021</w:t>
            </w:r>
          </w:p>
        </w:tc>
        <w:tc>
          <w:tcPr>
            <w:tcW w:w="1960" w:type="dxa"/>
            <w:vAlign w:val="bottom"/>
          </w:tcPr>
          <w:p>
            <w:pPr>
              <w:spacing w:after="0"/>
              <w:rPr>
                <w:sz w:val="20"/>
                <w:szCs w:val="20"/>
                <w:color w:val="auto"/>
              </w:rPr>
            </w:pPr>
          </w:p>
        </w:tc>
        <w:tc>
          <w:tcPr>
            <w:tcW w:w="39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Oncoceutics</w:t>
            </w:r>
          </w:p>
        </w:tc>
        <w:tc>
          <w:tcPr>
            <w:tcW w:w="29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Chimerix</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Galera Valuation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Precedent Reverse Merger Transactions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Lucid reviewed certain publicly available information for life sciences reverse merger transactions dating back to January 2018 (referred to as the “Selected Precedent Reverse Merger Transactions”). Although the transactions referred to below were used for comparison purposes, none of these transactions or the companies involved are directly comparable to Galera or Obsidian. Accordingly, the analysis involves considerations and judgments concerning differences in the characteristics of such transactions and the companies involved. Lucid reviewed the total premium to cash delivered to each target, along with other quantitative metrics.</w:t>
      </w:r>
    </w:p>
    <w:p>
      <w:pPr>
        <w:spacing w:after="0" w:line="183" w:lineRule="exact"/>
        <w:rPr>
          <w:sz w:val="20"/>
          <w:szCs w:val="20"/>
          <w:color w:val="auto"/>
        </w:rPr>
      </w:pPr>
    </w:p>
    <w:p>
      <w:pPr>
        <w:ind w:left="120" w:right="180" w:firstLine="440"/>
        <w:spacing w:after="0" w:line="236" w:lineRule="auto"/>
        <w:rPr>
          <w:sz w:val="20"/>
          <w:szCs w:val="20"/>
          <w:color w:val="auto"/>
        </w:rPr>
      </w:pPr>
      <w:r>
        <w:rPr>
          <w:rFonts w:ascii="Times New Roman" w:cs="Times New Roman" w:eastAsia="Times New Roman" w:hAnsi="Times New Roman"/>
          <w:sz w:val="18"/>
          <w:szCs w:val="18"/>
          <w:color w:val="auto"/>
        </w:rPr>
        <w:t>Lucid reviewed the value delivered for the public vehicle (net of cash) from the Selected Precedent Reverse Merger Transactions, which ranged from $0.0 million to $44.0 million. Lucid derived a median value of $11.0 million and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percentiles of $5.0 million and $16.0 million, respectively. In addition, Lucid reviewed the value delivered for the public vehicle (net of cash) from Selected Precedent Reverse Merger Transactions in which the public vehicle delivered less than $10M, and derived a median value of $5.0 million. Lucid also reviewed such values for Selected Precedent Reverse Merger Transactions in which the concurrent financing exceeded $75 million, and derived a median value of $9.0 million. This compares to the premium to net cash given to Galera pursuant to the Merger Agreement of $12.0 million.</w:t>
      </w:r>
    </w:p>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Selected Precedent Reverse Merger Transactions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 Delivered</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for Public</w:t>
            </w:r>
          </w:p>
        </w:tc>
        <w:tc>
          <w:tcPr>
            <w:tcW w:w="0" w:type="dxa"/>
            <w:vAlign w:val="bottom"/>
          </w:tcPr>
          <w:p>
            <w:pPr>
              <w:spacing w:after="0"/>
              <w:rPr>
                <w:sz w:val="1"/>
                <w:szCs w:val="1"/>
                <w:color w:val="auto"/>
              </w:rPr>
            </w:pPr>
          </w:p>
        </w:tc>
      </w:tr>
      <w:tr>
        <w:trPr>
          <w:trHeight w:val="149"/>
        </w:trPr>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Vehicle</w:t>
            </w:r>
          </w:p>
        </w:tc>
        <w:tc>
          <w:tcPr>
            <w:tcW w:w="0" w:type="dxa"/>
            <w:vAlign w:val="bottom"/>
          </w:tcPr>
          <w:p>
            <w:pPr>
              <w:spacing w:after="0"/>
              <w:rPr>
                <w:sz w:val="1"/>
                <w:szCs w:val="1"/>
                <w:color w:val="auto"/>
              </w:rPr>
            </w:pPr>
          </w:p>
        </w:tc>
      </w:tr>
      <w:tr>
        <w:trPr>
          <w:trHeight w:val="148"/>
        </w:trPr>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Closed Date</w:t>
            </w:r>
          </w:p>
        </w:tc>
        <w:tc>
          <w:tcPr>
            <w:tcW w:w="260" w:type="dxa"/>
            <w:vAlign w:val="bottom"/>
          </w:tcPr>
          <w:p>
            <w:pPr>
              <w:spacing w:after="0"/>
              <w:rPr>
                <w:sz w:val="12"/>
                <w:szCs w:val="12"/>
                <w:color w:val="auto"/>
              </w:rPr>
            </w:pPr>
          </w:p>
        </w:tc>
        <w:tc>
          <w:tcPr>
            <w:tcW w:w="310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Surviving Company</w:t>
            </w:r>
          </w:p>
        </w:tc>
        <w:tc>
          <w:tcPr>
            <w:tcW w:w="220" w:type="dxa"/>
            <w:vAlign w:val="bottom"/>
          </w:tcPr>
          <w:p>
            <w:pPr>
              <w:spacing w:after="0"/>
              <w:rPr>
                <w:sz w:val="12"/>
                <w:szCs w:val="12"/>
                <w:color w:val="auto"/>
              </w:rPr>
            </w:pPr>
          </w:p>
        </w:tc>
        <w:tc>
          <w:tcPr>
            <w:tcW w:w="492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Public Company</w:t>
            </w:r>
          </w:p>
        </w:tc>
        <w:tc>
          <w:tcPr>
            <w:tcW w:w="120" w:type="dxa"/>
            <w:vAlign w:val="bottom"/>
          </w:tcPr>
          <w:p>
            <w:pPr>
              <w:spacing w:after="0"/>
              <w:rPr>
                <w:sz w:val="12"/>
                <w:szCs w:val="12"/>
                <w:color w:val="auto"/>
              </w:rPr>
            </w:pPr>
          </w:p>
        </w:tc>
        <w:tc>
          <w:tcPr>
            <w:tcW w:w="13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Net of Cash</w:t>
            </w:r>
          </w:p>
        </w:tc>
        <w:tc>
          <w:tcPr>
            <w:tcW w:w="0" w:type="dxa"/>
            <w:vAlign w:val="bottom"/>
          </w:tcPr>
          <w:p>
            <w:pPr>
              <w:spacing w:after="0"/>
              <w:rPr>
                <w:sz w:val="1"/>
                <w:szCs w:val="1"/>
                <w:color w:val="auto"/>
              </w:rPr>
            </w:pPr>
          </w:p>
        </w:tc>
      </w:tr>
      <w:tr>
        <w:trPr>
          <w:trHeight w:val="180"/>
        </w:trPr>
        <w:tc>
          <w:tcPr>
            <w:tcW w:w="10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31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03"/>
        </w:trPr>
        <w:tc>
          <w:tcPr>
            <w:tcW w:w="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2/18/2026</w:t>
            </w: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3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Faeth Therapeutics</w:t>
            </w:r>
          </w:p>
        </w:tc>
        <w:tc>
          <w:tcPr>
            <w:tcW w:w="220" w:type="dxa"/>
            <w:vAlign w:val="bottom"/>
            <w:tcBorders>
              <w:top w:val="single" w:sz="8" w:color="CCEEFF"/>
            </w:tcBorders>
            <w:shd w:val="clear" w:color="auto" w:fill="CCEEFF"/>
          </w:tcPr>
          <w:p>
            <w:pPr>
              <w:spacing w:after="0"/>
              <w:rPr>
                <w:sz w:val="17"/>
                <w:szCs w:val="17"/>
                <w:color w:val="auto"/>
              </w:rPr>
            </w:pPr>
          </w:p>
        </w:tc>
        <w:tc>
          <w:tcPr>
            <w:tcW w:w="46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Sensei Bio (Nasdaq: SNSE)</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11/10/2025</w:t>
            </w:r>
          </w:p>
        </w:tc>
        <w:tc>
          <w:tcPr>
            <w:tcW w:w="3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Damora Therapeutics</w:t>
            </w:r>
          </w:p>
        </w:tc>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Galecto (Nasdaq: GLTO)</w:t>
            </w: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10/30/2025</w:t>
            </w:r>
          </w:p>
        </w:tc>
        <w:tc>
          <w:tcPr>
            <w:tcW w:w="3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Kadimastem (NewCelX)</w:t>
            </w:r>
          </w:p>
        </w:tc>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NLS Pharmaceuticals (Nasdaq: NLSP)</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10/1/2025</w:t>
            </w:r>
          </w:p>
        </w:tc>
        <w:tc>
          <w:tcPr>
            <w:tcW w:w="340" w:type="dxa"/>
            <w:vAlign w:val="bottom"/>
          </w:tcPr>
          <w:p>
            <w:pPr>
              <w:spacing w:after="0"/>
              <w:rPr>
                <w:sz w:val="18"/>
                <w:szCs w:val="18"/>
                <w:color w:val="auto"/>
              </w:rPr>
            </w:pPr>
          </w:p>
        </w:tc>
        <w:tc>
          <w:tcPr>
            <w:tcW w:w="3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KE Sdn Bhd (Black Titan Corp)</w:t>
            </w:r>
          </w:p>
        </w:tc>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Titan Pharmaceuticals (Nasdaq: TTNP)</w:t>
            </w: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8/14/2025</w:t>
            </w:r>
          </w:p>
        </w:tc>
        <w:tc>
          <w:tcPr>
            <w:tcW w:w="3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Vyome Therapeutics</w:t>
            </w:r>
          </w:p>
        </w:tc>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ReShape Lifesciences (Nasdaq: RSLS)</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7/25/2025</w:t>
            </w:r>
          </w:p>
        </w:tc>
        <w:tc>
          <w:tcPr>
            <w:tcW w:w="340" w:type="dxa"/>
            <w:vAlign w:val="bottom"/>
          </w:tcPr>
          <w:p>
            <w:pPr>
              <w:spacing w:after="0"/>
              <w:rPr>
                <w:sz w:val="18"/>
                <w:szCs w:val="18"/>
                <w:color w:val="auto"/>
              </w:rPr>
            </w:pPr>
          </w:p>
        </w:tc>
        <w:tc>
          <w:tcPr>
            <w:tcW w:w="3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Inmagene</w:t>
            </w:r>
          </w:p>
        </w:tc>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Ikena Oncology (Nasdaq: IKNA)</w:t>
            </w: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7/2/2025</w:t>
            </w:r>
          </w:p>
        </w:tc>
        <w:tc>
          <w:tcPr>
            <w:tcW w:w="3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Pelthos Therapeutics</w:t>
            </w:r>
          </w:p>
        </w:tc>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Channel Therapeutics (NYSEAM: CHRO)</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6/16/2025</w:t>
            </w:r>
          </w:p>
        </w:tc>
        <w:tc>
          <w:tcPr>
            <w:tcW w:w="340" w:type="dxa"/>
            <w:vAlign w:val="bottom"/>
          </w:tcPr>
          <w:p>
            <w:pPr>
              <w:spacing w:after="0"/>
              <w:rPr>
                <w:sz w:val="18"/>
                <w:szCs w:val="18"/>
                <w:color w:val="auto"/>
              </w:rPr>
            </w:pPr>
          </w:p>
        </w:tc>
        <w:tc>
          <w:tcPr>
            <w:tcW w:w="3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Crescent Biopharma</w:t>
            </w:r>
          </w:p>
        </w:tc>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GlycoMimetics (Nasdaq: GLYC)</w:t>
            </w: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4/28/2025</w:t>
            </w:r>
          </w:p>
        </w:tc>
        <w:tc>
          <w:tcPr>
            <w:tcW w:w="3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Jade Biosciences</w:t>
            </w:r>
          </w:p>
        </w:tc>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Aerovate Therapeutics (Nasdaq: AVTE)</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4/15/2025</w:t>
            </w:r>
          </w:p>
        </w:tc>
        <w:tc>
          <w:tcPr>
            <w:tcW w:w="340" w:type="dxa"/>
            <w:vAlign w:val="bottom"/>
          </w:tcPr>
          <w:p>
            <w:pPr>
              <w:spacing w:after="0"/>
              <w:rPr>
                <w:sz w:val="18"/>
                <w:szCs w:val="18"/>
                <w:color w:val="auto"/>
              </w:rPr>
            </w:pPr>
          </w:p>
        </w:tc>
        <w:tc>
          <w:tcPr>
            <w:tcW w:w="3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Tvardi Therapeutics</w:t>
            </w:r>
          </w:p>
        </w:tc>
        <w:tc>
          <w:tcPr>
            <w:tcW w:w="51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Cara Therapeutics (Nasdaq: CARA)</w:t>
            </w:r>
          </w:p>
        </w:tc>
        <w:tc>
          <w:tcPr>
            <w:tcW w:w="120" w:type="dxa"/>
            <w:vAlign w:val="bottom"/>
          </w:tcPr>
          <w:p>
            <w:pPr>
              <w:spacing w:after="0"/>
              <w:rPr>
                <w:sz w:val="18"/>
                <w:szCs w:val="18"/>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3/18/2025</w:t>
            </w:r>
          </w:p>
        </w:tc>
        <w:tc>
          <w:tcPr>
            <w:tcW w:w="34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Kalaris Therapeutics</w:t>
            </w:r>
          </w:p>
        </w:tc>
        <w:tc>
          <w:tcPr>
            <w:tcW w:w="51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AlloVir (Nasdaq: ALVR)</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64"/>
        </w:trPr>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8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141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Value Delivered</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for Public</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Vehicle</w:t>
            </w:r>
          </w:p>
        </w:tc>
        <w:tc>
          <w:tcPr>
            <w:tcW w:w="0" w:type="dxa"/>
            <w:vAlign w:val="bottom"/>
          </w:tcPr>
          <w:p>
            <w:pPr>
              <w:spacing w:after="0"/>
              <w:rPr>
                <w:sz w:val="1"/>
                <w:szCs w:val="1"/>
                <w:color w:val="auto"/>
              </w:rPr>
            </w:pPr>
          </w:p>
        </w:tc>
      </w:tr>
      <w:tr>
        <w:trPr>
          <w:trHeight w:val="148"/>
        </w:trPr>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Closed Date</w:t>
            </w:r>
          </w:p>
        </w:tc>
        <w:tc>
          <w:tcPr>
            <w:tcW w:w="600" w:type="dxa"/>
            <w:vAlign w:val="bottom"/>
            <w:vMerge w:val="restart"/>
          </w:tcPr>
          <w:p>
            <w:pPr>
              <w:spacing w:after="0"/>
              <w:rPr>
                <w:sz w:val="12"/>
                <w:szCs w:val="12"/>
                <w:color w:val="auto"/>
              </w:rPr>
            </w:pPr>
          </w:p>
        </w:tc>
        <w:tc>
          <w:tcPr>
            <w:tcW w:w="318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Surviving Company</w:t>
            </w:r>
          </w:p>
        </w:tc>
        <w:tc>
          <w:tcPr>
            <w:tcW w:w="220" w:type="dxa"/>
            <w:vAlign w:val="bottom"/>
          </w:tcPr>
          <w:p>
            <w:pPr>
              <w:spacing w:after="0"/>
              <w:rPr>
                <w:sz w:val="12"/>
                <w:szCs w:val="12"/>
                <w:color w:val="auto"/>
              </w:rPr>
            </w:pPr>
          </w:p>
        </w:tc>
        <w:tc>
          <w:tcPr>
            <w:tcW w:w="482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Public Company</w:t>
            </w: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Net of Cash</w:t>
            </w:r>
          </w:p>
        </w:tc>
        <w:tc>
          <w:tcPr>
            <w:tcW w:w="0" w:type="dxa"/>
            <w:vAlign w:val="bottom"/>
          </w:tcPr>
          <w:p>
            <w:pPr>
              <w:spacing w:after="0"/>
              <w:rPr>
                <w:sz w:val="1"/>
                <w:szCs w:val="1"/>
                <w:color w:val="auto"/>
              </w:rPr>
            </w:pPr>
          </w:p>
        </w:tc>
      </w:tr>
      <w:tr>
        <w:trPr>
          <w:trHeight w:val="180"/>
        </w:trPr>
        <w:tc>
          <w:tcPr>
            <w:tcW w:w="740" w:type="dxa"/>
            <w:vAlign w:val="bottom"/>
            <w:tcBorders>
              <w:bottom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gridSpan w:val="2"/>
            <w:vMerge w:val="continue"/>
          </w:tcPr>
          <w:p>
            <w:pPr>
              <w:spacing w:after="0"/>
              <w:rPr>
                <w:sz w:val="15"/>
                <w:szCs w:val="15"/>
                <w:color w:val="auto"/>
              </w:rPr>
            </w:pPr>
          </w:p>
        </w:tc>
        <w:tc>
          <w:tcPr>
            <w:tcW w:w="146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03"/>
        </w:trPr>
        <w:tc>
          <w:tcPr>
            <w:tcW w:w="1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12/13/2024</w:t>
            </w:r>
          </w:p>
        </w:tc>
        <w:tc>
          <w:tcPr>
            <w:tcW w:w="3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Palvella Therapeutics</w:t>
            </w:r>
          </w:p>
        </w:tc>
        <w:tc>
          <w:tcPr>
            <w:tcW w:w="220" w:type="dxa"/>
            <w:vAlign w:val="bottom"/>
            <w:tcBorders>
              <w:top w:val="single" w:sz="8" w:color="CCEEFF"/>
            </w:tcBorders>
            <w:shd w:val="clear" w:color="auto" w:fill="CCEEFF"/>
          </w:tcPr>
          <w:p>
            <w:pPr>
              <w:spacing w:after="0"/>
              <w:rPr>
                <w:sz w:val="17"/>
                <w:szCs w:val="17"/>
                <w:color w:val="auto"/>
              </w:rPr>
            </w:pPr>
          </w:p>
        </w:tc>
        <w:tc>
          <w:tcPr>
            <w:tcW w:w="4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Pieris Pharmaceuticals (Nasdaq: PIRS)</w:t>
            </w: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10/22/2024</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Opus Genetics</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Ocuphire Pharma (Nasdaq: OCUP)</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10/17/2024</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TuHURA Biosciences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Kintara Therapeutics (Nasdaq: KTRA)</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10/9/2024</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Wex Pharmaceuticals</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Virios Therapeutics (Nasdaq: VIRI)</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9/3/2024</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Oruka Therapeutics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ARCA Biopharma (Nasdaq: ABIO)</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8/12/24</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Firefly Neurosciences</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WaveDancer (Nasdaq: WAVD)</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6/20/24</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Tetonic Therapeutics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AVROBIO (Nasdaq: AVRO)</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4/1/2024</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Tawsfynydd Therapeutics</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Onconova Therapeutics (Nasdaq: ONTX)</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3/26/2024</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Serina Therapeutics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AgeX Therapeutics (Nasdaq: AGE)</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3/25/2024</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Q32 Bio</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Homology Medicines (Nasdaq: FIXX)</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3/21/2024</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LENZ Therapeutics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Graphite Bio (Nasdaq: GRPH)</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3/14/2024</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Immunogenx</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First Wave BioPharma (FWBI)</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3/6/2024</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Adaptive Phage Therapeutics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Biomx (NYSEAM: PHGE)</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12/27/2023</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Cyclo Therapeutics (Nasdaq: CYTH)</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Applied Molecular Transport (Nasdaq: AMTI)</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12/18/2023</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Neurogene</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Neoleukin Therapeutics (Nasdaq: NLTX)</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11/13/2023</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Cartesian Therapeutics</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Selecta Biosciences (Nasdaq: RNAC)</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11/3/2023</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Korro Bio</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Frequency Therapeutics (Nasdaq: FREQ)</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10/31/2023</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Lung Therapeutics</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Aileron Therapeutics (Nasdaq: ALRN)</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10/16/2023</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Notable Labs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Vascular Biogenics Ltd. (Nasdaq: VBLT)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9/11/2023</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Dianthus Therapeutics</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Magenta Therapeutics (Nasdaq: MGTA)</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8/16/2023</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EIP Pharma (CervoMed)</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Diffusion Pharmaceuticals (Nasdaq: DFFN)</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6/29/2023</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TeraImmune</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Baudax Bio (Nasdaq: BXRX)</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6/22/2023</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Spyre Therapeutics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Aeglea BioTherapeutics (Nasdaq: AGLE)</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6/1/2023</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Elicio Therapeutics</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Angion Biomedica (Nasdaq: ANGN)</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4/22/2023</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GRI Bio</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Vallon Pharmaceuticals (Nasdaq: VLON)</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3/20/2023</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CalciMedica</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Graybug Vision (Nasdaq: GRAY)</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3/7/2023</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Carisma Therapeutics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Sesen Bio (Nasdaq: SESN)</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2/23/2023</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Enliven Therapeutics</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Imara (Nasdaq: IMRA)</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1/9/2023</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Catheter Precision, Inc.</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Ra Medical Systems (NYSE: RMED)</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12/29/2022</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Disc Medicine</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Gemini Therapeutics (Nasdaq: GMTX)</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12/27/2022</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GNI Group (Gyre Therapeutics)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Catalyst Biosciences (Nasdaq: CBIO)</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12/19/2022</w:t>
            </w: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Kineta, Inc.</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Yumanity Therapeutics (Nasdaq: YMTX)</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11/8/2022</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ARS Pharmaceuticals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Silverback Therapeutics (Nasdaq: SBTX)</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9/28/2022</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Aceragen, Inc.</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Idera Pharmaceuticals (Nasdaq: IDRA)</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9/15/2022</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Lisata Therapeutics (Cend)</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Caladrius Biosciences (Nasdaq: CLBS)</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8/30/2022</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Vivani Medical (Nano Precision)</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Second Sight Medical (Nasdaq: EYES)</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7/5/2022</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Syros Pharmaceuticals (Nasdaq: SYRS)</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Tyme Technologies (Nasdaq: TYME)</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5/16/2022</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Aprea Therapeutics, Inc.</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Atrin Pharmaceuticals (NasdaqGS: APRE)</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10/24/2021</w:t>
            </w: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Quoin Pharmaceuticals, Inc.</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Cellect Biotechnology Ltd. (Nasdaq: APOP)</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8/26/2021</w:t>
            </w:r>
          </w:p>
        </w:tc>
        <w:tc>
          <w:tcPr>
            <w:tcW w:w="60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Aadi Bioscience, Inc.</w:t>
            </w:r>
          </w:p>
        </w:tc>
        <w:tc>
          <w:tcPr>
            <w:tcW w:w="50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Aerpio Pharmaceuticals, Inc. (Nasdaq: ARPO)</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8/3/2021</w:t>
            </w:r>
          </w:p>
        </w:tc>
        <w:tc>
          <w:tcPr>
            <w:tcW w:w="600" w:type="dxa"/>
            <w:vAlign w:val="bottom"/>
            <w:shd w:val="clear" w:color="auto" w:fill="CCEEFF"/>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Decoy Biosystems, Inc.</w:t>
            </w:r>
          </w:p>
        </w:tc>
        <w:tc>
          <w:tcPr>
            <w:tcW w:w="50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Indaptus Therapeutics (Intec) (Nasdaq: INDP)</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7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142</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Value Delivered</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for Public</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Vehicle</w:t>
            </w:r>
          </w:p>
        </w:tc>
        <w:tc>
          <w:tcPr>
            <w:tcW w:w="0" w:type="dxa"/>
            <w:vAlign w:val="bottom"/>
          </w:tcPr>
          <w:p>
            <w:pPr>
              <w:spacing w:after="0"/>
              <w:rPr>
                <w:sz w:val="1"/>
                <w:szCs w:val="1"/>
                <w:color w:val="auto"/>
              </w:rPr>
            </w:pPr>
          </w:p>
        </w:tc>
      </w:tr>
      <w:tr>
        <w:trPr>
          <w:trHeight w:val="148"/>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Closed Date</w:t>
            </w:r>
          </w:p>
        </w:tc>
        <w:tc>
          <w:tcPr>
            <w:tcW w:w="34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Surviving Company</w:t>
            </w:r>
          </w:p>
        </w:tc>
        <w:tc>
          <w:tcPr>
            <w:tcW w:w="482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Public Company</w:t>
            </w: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Net of Cash</w:t>
            </w:r>
          </w:p>
        </w:tc>
        <w:tc>
          <w:tcPr>
            <w:tcW w:w="0" w:type="dxa"/>
            <w:vAlign w:val="bottom"/>
          </w:tcPr>
          <w:p>
            <w:pPr>
              <w:spacing w:after="0"/>
              <w:rPr>
                <w:sz w:val="1"/>
                <w:szCs w:val="1"/>
                <w:color w:val="auto"/>
              </w:rPr>
            </w:pPr>
          </w:p>
        </w:tc>
      </w:tr>
      <w:tr>
        <w:trPr>
          <w:trHeight w:val="180"/>
        </w:trPr>
        <w:tc>
          <w:tcPr>
            <w:tcW w:w="1340" w:type="dxa"/>
            <w:vAlign w:val="bottom"/>
            <w:gridSpan w:val="2"/>
            <w:vMerge w:val="continue"/>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4820" w:type="dxa"/>
            <w:vAlign w:val="bottom"/>
            <w:gridSpan w:val="2"/>
            <w:vMerge w:val="continue"/>
          </w:tcPr>
          <w:p>
            <w:pPr>
              <w:spacing w:after="0"/>
              <w:rPr>
                <w:sz w:val="15"/>
                <w:szCs w:val="15"/>
                <w:color w:val="auto"/>
              </w:rPr>
            </w:pPr>
          </w:p>
        </w:tc>
        <w:tc>
          <w:tcPr>
            <w:tcW w:w="146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03"/>
        </w:trPr>
        <w:tc>
          <w:tcPr>
            <w:tcW w:w="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8"/>
              </w:rPr>
              <w:t>7/27/2021</w:t>
            </w:r>
          </w:p>
        </w:tc>
        <w:tc>
          <w:tcPr>
            <w:tcW w:w="600" w:type="dxa"/>
            <w:vAlign w:val="bottom"/>
            <w:tcBorders>
              <w:top w:val="single" w:sz="8" w:color="CCEEFF"/>
            </w:tcBorders>
            <w:shd w:val="clear" w:color="auto" w:fill="CCEEFF"/>
          </w:tcPr>
          <w:p>
            <w:pPr>
              <w:spacing w:after="0"/>
              <w:rPr>
                <w:sz w:val="17"/>
                <w:szCs w:val="17"/>
                <w:color w:val="auto"/>
              </w:rPr>
            </w:pPr>
          </w:p>
        </w:tc>
        <w:tc>
          <w:tcPr>
            <w:tcW w:w="3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Cytocom, Inc. (Statera)</w:t>
            </w:r>
          </w:p>
        </w:tc>
        <w:tc>
          <w:tcPr>
            <w:tcW w:w="200" w:type="dxa"/>
            <w:vAlign w:val="bottom"/>
            <w:tcBorders>
              <w:top w:val="single" w:sz="8" w:color="CCEEFF"/>
            </w:tcBorders>
            <w:shd w:val="clear" w:color="auto" w:fill="CCEEFF"/>
          </w:tcPr>
          <w:p>
            <w:pPr>
              <w:spacing w:after="0"/>
              <w:rPr>
                <w:sz w:val="17"/>
                <w:szCs w:val="17"/>
                <w:color w:val="auto"/>
              </w:rPr>
            </w:pPr>
          </w:p>
        </w:tc>
        <w:tc>
          <w:tcPr>
            <w:tcW w:w="4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Cleveland BioLabs, Inc. (Nasdaq: CBLI)</w:t>
            </w: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NA</w:t>
            </w: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6/28/2021</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Tempest Therapeutics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Millendo Therapeutics, Inc. (Nasdaq: MLND)</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6/15/2021</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ReShape Lifesciences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Obalon Therapeutics, Inc. (Nasdaq: OBLN)</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4/27/2021</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Leading BioSciences, Inc. (Palisade)</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Seneca Biopharma, Inc. (Nasdaq: SNCA)</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4/16/2021</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MyMD Pharmaceuticals,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Akers Biosciences, Inc. (Nasdaq: AKER)</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3/31/2021</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StemoniX Inc. (Vyant Bio)</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Cancer Genetics, Inc. (Nasdaq: CGIX)</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3/16/2021</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ChemomAb Ltd.</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Anchiano Therapeutics Ltd. (Nasdaq: ANCN)</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2/24/2021</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Viracta Therapeutics,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Sunesis Pharmaceuticals (Nasdaq: SNSS)</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1/28/2021</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Quellis Biosciences, Inc. (Astria)</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Catabasis Pharmaceuticals (Nasdaq: CATB)</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12/22/2020</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Yumanity Therapeutics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Proteostasis Therapeutics (Nasdaq: PTI)</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12/1/2020</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Petros Pharmaceuticals,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Neurotrope, Inc. (NasdaqCM: NTRP)</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11/23/2020</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F-star Therapeutics, Limited</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Spring Bank Pharmaceuticals, Inc.</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11/5/2020</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Ocuphire Pharma,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Rexahn Pharmaceuticals (Nasdaq: REXN)</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10/27/2020</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Viridian Therapeutics,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Miragen Therapeutics, Inc. (NasdaqCM: MGEN)</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9/15/2020</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Adicet Bio,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resTORbio, Inc. (NasdaqGS: TORC)</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9/14/2020</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Anelixis Therapeutics (Eledon)</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Novus Therapeutics, Inc. (NasdaqCM: NVUS)</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7/6/2020</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Kiq Bio (Cogent)</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Unum Therapeutics, Inc. (NASDAQ: UMRX)</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6/15/2020</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Forte Biosciences,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Tocagen Inc. (NasdaqGS: TOCA)</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5/28/2020</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Larimar Therapeutics,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Zafgen, Inc. (NasdaqGS: ZFGN)</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5/26/2020</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Histogen,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Conatus Pharmaceuticals (Nasdaq: CNAT)</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5/22/2020</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Qualigen,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Ritter Pharmaceuticals (Nasdaq: RTTR)</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5/18/2020</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Timber Pharmaceuticals,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BioPharmX Corporation (AMEX: BPMX)</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4/1/2020</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Curetis NV (Euronext: CURE)</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OpGen, Inc. (NasdaqCM: OPGN)</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1/9/2020</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Protara Therapeutics,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Proteon Therapeutics, Inc. (NASDAQ: PRTO)</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12/30/2019</w:t>
            </w: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NeuroBo Pharmaceuticals,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Gemphire Therapeutics Inc. (NASDAQ: GEMP)</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11/7/2019</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Venus Concept Ltd.</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Restoration Robotics, Inc. (NASDAQ: HAIR)</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9/27/2019</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Ocugen,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Histogenics Corporation (NASDAQ: HSGX)</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8/31/2019</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Brickell Biotech,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Vical Incorporated (NASDAQ: VICL)</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7/31/2019</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ESSA Pharma (NASDAQ: EPIX)</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Realm Therapeutics plc (NASDAQ: RLM)</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7/22/2019</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Salarius Pharmaceuticals, LLC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Flex Pharma, Inc. (NASDAQ: FLKS)</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7/15/2019</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NeuBase Therapeutics</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Ohr Pharmaceutical (NASDAQ: OHRP)</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6/10/2019</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Oncternal Therapeutics,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GTx, Inc. (NASDAQ: GTXI)</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6/9/2019</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Edesa Biotech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Stellar Biotechnologies, Inc. (NASDAQ: SBOT)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0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143</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Value Delivered</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for Public</w:t>
            </w:r>
          </w:p>
        </w:tc>
        <w:tc>
          <w:tcPr>
            <w:tcW w:w="0" w:type="dxa"/>
            <w:vAlign w:val="bottom"/>
          </w:tcPr>
          <w:p>
            <w:pPr>
              <w:spacing w:after="0"/>
              <w:rPr>
                <w:sz w:val="1"/>
                <w:szCs w:val="1"/>
                <w:color w:val="auto"/>
              </w:rPr>
            </w:pPr>
          </w:p>
        </w:tc>
      </w:tr>
      <w:tr>
        <w:trPr>
          <w:trHeight w:val="148"/>
        </w:trPr>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Vehicle</w:t>
            </w:r>
          </w:p>
        </w:tc>
        <w:tc>
          <w:tcPr>
            <w:tcW w:w="0" w:type="dxa"/>
            <w:vAlign w:val="bottom"/>
          </w:tcPr>
          <w:p>
            <w:pPr>
              <w:spacing w:after="0"/>
              <w:rPr>
                <w:sz w:val="1"/>
                <w:szCs w:val="1"/>
                <w:color w:val="auto"/>
              </w:rPr>
            </w:pPr>
          </w:p>
        </w:tc>
      </w:tr>
      <w:tr>
        <w:trPr>
          <w:trHeight w:val="148"/>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Closed Date</w:t>
            </w:r>
          </w:p>
        </w:tc>
        <w:tc>
          <w:tcPr>
            <w:tcW w:w="34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Surviving Company</w:t>
            </w:r>
          </w:p>
        </w:tc>
        <w:tc>
          <w:tcPr>
            <w:tcW w:w="482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Public Company</w:t>
            </w:r>
          </w:p>
        </w:tc>
        <w:tc>
          <w:tcPr>
            <w:tcW w:w="14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Net of Cash</w:t>
            </w:r>
          </w:p>
        </w:tc>
        <w:tc>
          <w:tcPr>
            <w:tcW w:w="0" w:type="dxa"/>
            <w:vAlign w:val="bottom"/>
          </w:tcPr>
          <w:p>
            <w:pPr>
              <w:spacing w:after="0"/>
              <w:rPr>
                <w:sz w:val="1"/>
                <w:szCs w:val="1"/>
                <w:color w:val="auto"/>
              </w:rPr>
            </w:pPr>
          </w:p>
        </w:tc>
      </w:tr>
      <w:tr>
        <w:trPr>
          <w:trHeight w:val="180"/>
        </w:trPr>
        <w:tc>
          <w:tcPr>
            <w:tcW w:w="1340" w:type="dxa"/>
            <w:vAlign w:val="bottom"/>
            <w:gridSpan w:val="2"/>
            <w:vMerge w:val="continue"/>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4820" w:type="dxa"/>
            <w:vAlign w:val="bottom"/>
            <w:gridSpan w:val="2"/>
            <w:vMerge w:val="continue"/>
          </w:tcPr>
          <w:p>
            <w:pPr>
              <w:spacing w:after="0"/>
              <w:rPr>
                <w:sz w:val="15"/>
                <w:szCs w:val="15"/>
                <w:color w:val="auto"/>
              </w:rPr>
            </w:pPr>
          </w:p>
        </w:tc>
        <w:tc>
          <w:tcPr>
            <w:tcW w:w="146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($M)</w:t>
            </w:r>
          </w:p>
        </w:tc>
        <w:tc>
          <w:tcPr>
            <w:tcW w:w="0" w:type="dxa"/>
            <w:vAlign w:val="bottom"/>
          </w:tcPr>
          <w:p>
            <w:pPr>
              <w:spacing w:after="0"/>
              <w:rPr>
                <w:sz w:val="1"/>
                <w:szCs w:val="1"/>
                <w:color w:val="auto"/>
              </w:rPr>
            </w:pPr>
          </w:p>
        </w:tc>
      </w:tr>
      <w:tr>
        <w:trPr>
          <w:trHeight w:val="203"/>
        </w:trPr>
        <w:tc>
          <w:tcPr>
            <w:tcW w:w="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5/9/2019</w:t>
            </w:r>
          </w:p>
        </w:tc>
        <w:tc>
          <w:tcPr>
            <w:tcW w:w="600" w:type="dxa"/>
            <w:vAlign w:val="bottom"/>
            <w:tcBorders>
              <w:top w:val="single" w:sz="8" w:color="CCEEFF"/>
            </w:tcBorders>
            <w:shd w:val="clear" w:color="auto" w:fill="CCEEFF"/>
          </w:tcPr>
          <w:p>
            <w:pPr>
              <w:spacing w:after="0"/>
              <w:rPr>
                <w:sz w:val="17"/>
                <w:szCs w:val="17"/>
                <w:color w:val="auto"/>
              </w:rPr>
            </w:pPr>
          </w:p>
        </w:tc>
        <w:tc>
          <w:tcPr>
            <w:tcW w:w="3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Armata Pharmaceuticals (f.k.a C3J)</w:t>
            </w:r>
          </w:p>
        </w:tc>
        <w:tc>
          <w:tcPr>
            <w:tcW w:w="200" w:type="dxa"/>
            <w:vAlign w:val="bottom"/>
            <w:tcBorders>
              <w:top w:val="single" w:sz="8" w:color="CCEEFF"/>
            </w:tcBorders>
            <w:shd w:val="clear" w:color="auto" w:fill="CCEEFF"/>
          </w:tcPr>
          <w:p>
            <w:pPr>
              <w:spacing w:after="0"/>
              <w:rPr>
                <w:sz w:val="17"/>
                <w:szCs w:val="17"/>
                <w:color w:val="auto"/>
              </w:rPr>
            </w:pPr>
          </w:p>
        </w:tc>
        <w:tc>
          <w:tcPr>
            <w:tcW w:w="4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Ampliphi Biosciences (NYSE: APHB)</w:t>
            </w:r>
          </w:p>
        </w:tc>
        <w:tc>
          <w:tcPr>
            <w:tcW w:w="3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5/6/2019</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Adynxx,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Alliqua BioMedical, Inc. (NASDAQ: ALQA)</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4/23/2019</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Mereo BioPharma (AIM: MPH)</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Oncomed Pharmaceuticals (NASDAQ: OMED)</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4/12/2019</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Immunic AG</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Vital Therapies, Inc. (NASDAQ: VTL)</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3/26/2019</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Enlivex Therapeutics Ltd.</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Bioblast Pharma Ltd. (NASDAQ: ORPN)</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3/18/2019</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PDS Biotechnology Corporation</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Edge Therapeutics, Inc. (NASDAQ: EDGE)</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3/13/2019</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X4 Pharmaceuticals,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Arsanis, Inc. (NASDAQ: ASNS)</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1/24/2019</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Seelos Therapeutics,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Apricus Biosciences, Inc. (NASDAQ: APRI)</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12/7/2018</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Millendo Therapeutics,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OvaScience, Inc. (NASDAQ: OVAS)</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10/12/2018</w:t>
            </w: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Aravive Biologics,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Versartis, Inc. (NASDAQ: VSAR)</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2/13/2018</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Vaxart,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Aviragen Therapeutics, Inc. (NASDAQ: AVIR)</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w w:val="98"/>
              </w:rPr>
              <w:t>1/30/2018</w:t>
            </w:r>
          </w:p>
        </w:tc>
        <w:tc>
          <w:tcPr>
            <w:tcW w:w="60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Innovate Biopharmaceuticals, Inc.</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Monster Digital, Inc. (NASDAQ: MSDI)</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1/17/2018</w:t>
            </w:r>
          </w:p>
        </w:tc>
        <w:tc>
          <w:tcPr>
            <w:tcW w:w="600" w:type="dxa"/>
            <w:vAlign w:val="bottom"/>
            <w:shd w:val="clear" w:color="auto" w:fill="CCEEFF"/>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Evofem Biosciences, Inc.</w:t>
            </w: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Neothetics, Inc. (NASDAQ: NEOT)</w:t>
            </w:r>
          </w:p>
        </w:tc>
        <w:tc>
          <w:tcPr>
            <w:tcW w:w="14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1/4/2018</w:t>
            </w:r>
          </w:p>
        </w:tc>
        <w:tc>
          <w:tcPr>
            <w:tcW w:w="600" w:type="dxa"/>
            <w:vAlign w:val="bottom"/>
          </w:tcPr>
          <w:p>
            <w:pPr>
              <w:spacing w:after="0"/>
              <w:rPr>
                <w:sz w:val="20"/>
                <w:szCs w:val="20"/>
                <w:color w:val="auto"/>
              </w:rPr>
            </w:pPr>
          </w:p>
        </w:tc>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Rocket Pharmaceuticals, Ltd</w:t>
            </w: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Inotek Pharmaceuticals Corp (NASDAQ: ITEK)</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summary set forth above does not purport to be a complete description of all the analyses performed by Lucid. The preparation of a fairness opinion involves various determinations as to the most appropriate and relevant methods of financial analysis and the application of these methods to the particular circumstances. Therefore, such an opinion is not readily susceptible to partial analysis or summary description. Lucid did not attribute any particular weight to any analysis or factor considered by it, but rather made qualitative judgments as to the significance and relevance of each analysis and factor. Accordingly, notwithstanding the separate factors summarized above, Lucid believes, and advised the Galera Board, that its analyses must be considered as a whole. Selecting portions of its analyses and the factors considered by it without considering all analyses and factors could create an incomplete view of the process underlying the Lucid Opinion. In performing its analyses, Lucid made numerous assumptions with respect to industry performance, business and economic conditions and other matters, many of which are beyond the control of Galera and Obsidian. These analyses performed by Lucid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being based upon numerous factors or events beyond the control of the parties or their respective advisors. None of Galera, Obsidian, Lucid or any other person assumes responsibility if future results are materially different from those projected. The analyses supplied by Lucid and the Lucid Opinion were among several factors taken into consideration by the Galera Board in making its decision to enter into the merger agreement and should not be considered as determinative of such a decision.</w:t>
      </w:r>
    </w:p>
    <w:p>
      <w:pPr>
        <w:spacing w:after="0" w:line="196"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Lucid was selected by the Galera Board to render an opinion to the Galera Board because Lucid is a nationally recognized investment banking firm and as part of its investment banking business, Lucid is continually engaged in the valuation of businesses and their securities in connection with mergers, negotiated underwritings, secondary distributions of listed and unlisted securities, private placements and valuations for corporate and other purposes. In addition, in the ordinary course of its business, Lucid and its affiliates may trade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equity securities of Galera for its own account and for the accounts of their customers, and, accordingly, may at any time hold a long or short position in such securities. In the two years preceding the date of this information statement/prospectus, Lucid received a $175,000 fairness opinion fee from Galera in connection to its previously announced merger with Nova. In the two years preceding the date of this information statement/prospectus, Lucid has not had a relationship with Obsidian and has not received any fees from Obsidian. Lucid and its affiliates may in the future seek to provide investment banking or financial advisory services to Galera and/or Obsidian and/or certain of their respective affiliates and expect to receive fees for the rendering of these services.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Pursuant to the Engagement Letter between Lucid and Galera, Lucid received a fee for the Lucid Opinion of $100,000 upon delivery of the Lucid Opinion. Additionally, Galera has agreed to reimburse Lucid for certain of its out-of-pocket expenses and has agreed to indemnify Lucid against certain liabilities, including liabilities under the federal securities laws. The terms of the fee arrangement with Lucid, which are customary in transactions of this nature, were negotiated at arm’s length between Galera and Lucid, and the Galera Board was aware of the arrangement.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Galera Directors and Executive Officers in the Galera Merger</w:t>
      </w:r>
    </w:p>
    <w:p>
      <w:pPr>
        <w:spacing w:after="0" w:line="121" w:lineRule="exact"/>
        <w:rPr>
          <w:sz w:val="20"/>
          <w:szCs w:val="20"/>
          <w:color w:val="auto"/>
        </w:rPr>
      </w:pPr>
    </w:p>
    <w:p>
      <w:pPr>
        <w:jc w:val="both"/>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In considering the recommendation of the Galera Board with respect to approving the Galera merger, stockholders should be aware that certain of Galera’s directors and executive officers have interests in the Galera merger that are different from, or in addition to, the interests of Galera stockholders generally. These interests may present them with actual or potential conflicts of interest, and these interests, to the extent material, are described below.</w:t>
      </w:r>
    </w:p>
    <w:p>
      <w:pPr>
        <w:spacing w:after="0" w:line="158"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Galera Board was aware of these potential conflicts of interest and considered them, among other matters, in reaching its decision to approve the merger agreement and the Galera merger, and to recommend that the Galera stockholders approve the Galera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Ownership Interests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As of May 19, 2026, Galera’s non-employee directors and executive officers beneficially owned, in the aggregate, approximately 10.83% of the shares of Galera capital stock, which for purposes of this subsection excludes any shares of Galera common stock issuable upon exercise of Galera Options (as defined below) held by such individuals. Such shares of Galera common stock will be converted into shares of Parent common stock at the Galera merger effective time. Each of Galera’s officers, directors and certain other stockholders of Galera holding approximately 51.1% of the outstanding Galera capital stock have also entered into a support agreement in connection with the merger agreement. For a more detailed discussion of the support agreements, please see the section titled “</w:t>
      </w:r>
      <w:r>
        <w:rPr>
          <w:rFonts w:ascii="Times New Roman" w:cs="Times New Roman" w:eastAsia="Times New Roman" w:hAnsi="Times New Roman"/>
          <w:sz w:val="18"/>
          <w:szCs w:val="18"/>
          <w:i w:val="1"/>
          <w:iCs w:val="1"/>
          <w:color w:val="auto"/>
        </w:rPr>
        <w:t>Agreements Related to the Mergers—Support Agreements</w:t>
      </w:r>
      <w:r>
        <w:rPr>
          <w:rFonts w:ascii="Times New Roman" w:cs="Times New Roman" w:eastAsia="Times New Roman" w:hAnsi="Times New Roman"/>
          <w:sz w:val="18"/>
          <w:szCs w:val="18"/>
          <w:color w:val="auto"/>
        </w:rPr>
        <w:t>” beginning on page 169 of this information statement/prospectus.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Galera’s directors and executive officers currently hold options to purchase shares of Galera common stock. The merger agreement provides that, immediately prior to the Galera merger effective time, each outstanding option to purchase shares of Galera common stock (each such option, a “Galera Option”) with a per share exercise price less than the closing trading price of a share of Galera common stock on the last full trading day on which the Galera common stock is traded prior to the date on which the Galera merger effective time occurs (each such option, a “Galera ITM Option”) will automatically become fully vested and be converted, at the Galera merger effective time, into a net exercised share of Parent common stock, subject to applicable law and determined by (i) multiplying the number of shares of Galera common stock subject to such Galera ITM Option immediately prior to the Galera merger effective time by the Galera exchange ratio, rounding down to the nearest whole number of shares, and (ii) reducing such number of shares of Parent common stock by the number of shares of Parent common stock with an aggregate value equal to the sum of (a) the total exercise price for such</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Galera ITM Option (determined by dividing the per share exercise price of such Galera ITM Option immediately prior to the Galera merger effective time by the Galera exchange ratio, rounding up to the nearest whole cent) plus (b) any required withholding taxes required to be paid by Galera with respect to such net exercise, and (c) dividing such sum of (a) and (b) by the per share price of Parent common stock as of the Galera merger effective time (such net number of shares of Parent Common Stock the “Net Galera Option Shares”). Under the merger agreement, the holders of Net Galera Option Shares will be entitled to receive one CVR for each Net Galera Option Share. Each outstanding Galera Option that is not a Galera ITM Option immediately prior to the Galera merger effective time will be cancelled for no consideration.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details the outstanding options held by Galera’s directors and executive officers as of May 19, 2026.</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2880" w:type="dxa"/>
            <w:vAlign w:val="bottom"/>
          </w:tcPr>
          <w:p>
            <w:pPr>
              <w:jc w:val="center"/>
              <w:ind w:left="1079"/>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980" w:type="dxa"/>
            <w:vAlign w:val="bottom"/>
            <w:vMerge w:val="restart"/>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880" w:type="dxa"/>
            <w:vAlign w:val="bottom"/>
          </w:tcPr>
          <w:p>
            <w:pPr>
              <w:jc w:val="center"/>
              <w:ind w:left="1079"/>
              <w:spacing w:after="0" w:line="149" w:lineRule="exact"/>
              <w:rPr>
                <w:sz w:val="20"/>
                <w:szCs w:val="20"/>
                <w:color w:val="auto"/>
              </w:rPr>
            </w:pPr>
            <w:r>
              <w:rPr>
                <w:rFonts w:ascii="Times New Roman" w:cs="Times New Roman" w:eastAsia="Times New Roman" w:hAnsi="Times New Roman"/>
                <w:sz w:val="14"/>
                <w:szCs w:val="14"/>
                <w:b w:val="1"/>
                <w:bCs w:val="1"/>
                <w:color w:val="auto"/>
              </w:rPr>
              <w:t>Galera Common</w:t>
            </w:r>
          </w:p>
        </w:tc>
        <w:tc>
          <w:tcPr>
            <w:tcW w:w="1200" w:type="dxa"/>
            <w:vAlign w:val="bottom"/>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Galera Common</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880" w:type="dxa"/>
            <w:vAlign w:val="bottom"/>
          </w:tcPr>
          <w:p>
            <w:pPr>
              <w:jc w:val="center"/>
              <w:ind w:left="1059"/>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ind w:left="98"/>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2880" w:type="dxa"/>
            <w:vAlign w:val="bottom"/>
          </w:tcPr>
          <w:p>
            <w:pPr>
              <w:jc w:val="center"/>
              <w:ind w:left="109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Galera</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80" w:type="dxa"/>
            <w:vAlign w:val="bottom"/>
          </w:tcPr>
          <w:p>
            <w:pPr>
              <w:jc w:val="center"/>
              <w:ind w:left="118"/>
              <w:spacing w:after="0" w:line="149" w:lineRule="exact"/>
              <w:rPr>
                <w:sz w:val="20"/>
                <w:szCs w:val="20"/>
                <w:color w:val="auto"/>
              </w:rPr>
            </w:pPr>
            <w:r>
              <w:rPr>
                <w:rFonts w:ascii="Times New Roman" w:cs="Times New Roman" w:eastAsia="Times New Roman" w:hAnsi="Times New Roman"/>
                <w:sz w:val="14"/>
                <w:szCs w:val="14"/>
                <w:b w:val="1"/>
                <w:bCs w:val="1"/>
                <w:color w:val="auto"/>
              </w:rPr>
              <w:t>Galera</w:t>
            </w:r>
          </w:p>
        </w:tc>
        <w:tc>
          <w:tcPr>
            <w:tcW w:w="0" w:type="dxa"/>
            <w:vAlign w:val="bottom"/>
          </w:tcPr>
          <w:p>
            <w:pPr>
              <w:spacing w:after="0"/>
              <w:rPr>
                <w:sz w:val="1"/>
                <w:szCs w:val="1"/>
                <w:color w:val="auto"/>
              </w:rPr>
            </w:pPr>
          </w:p>
        </w:tc>
      </w:tr>
      <w:tr>
        <w:trPr>
          <w:trHeight w:val="149"/>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2880" w:type="dxa"/>
            <w:vAlign w:val="bottom"/>
          </w:tcPr>
          <w:p>
            <w:pPr>
              <w:jc w:val="center"/>
              <w:ind w:left="1079"/>
              <w:spacing w:after="0" w:line="149" w:lineRule="exact"/>
              <w:rPr>
                <w:sz w:val="20"/>
                <w:szCs w:val="20"/>
                <w:color w:val="auto"/>
              </w:rPr>
            </w:pPr>
            <w:r>
              <w:rPr>
                <w:rFonts w:ascii="Times New Roman" w:cs="Times New Roman" w:eastAsia="Times New Roman" w:hAnsi="Times New Roman"/>
                <w:sz w:val="14"/>
                <w:szCs w:val="14"/>
                <w:b w:val="1"/>
                <w:bCs w:val="1"/>
                <w:color w:val="auto"/>
              </w:rPr>
              <w:t>Unvested Galera</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Galera</w:t>
            </w:r>
          </w:p>
        </w:tc>
        <w:tc>
          <w:tcPr>
            <w:tcW w:w="980" w:type="dxa"/>
            <w:vAlign w:val="bottom"/>
          </w:tcPr>
          <w:p>
            <w:pPr>
              <w:jc w:val="center"/>
              <w:ind w:left="118"/>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73"/>
        </w:trPr>
        <w:tc>
          <w:tcPr>
            <w:tcW w:w="3400" w:type="dxa"/>
            <w:vAlign w:val="bottom"/>
            <w:vMerge w:val="continue"/>
          </w:tcPr>
          <w:p>
            <w:pPr>
              <w:spacing w:after="0"/>
              <w:rPr>
                <w:sz w:val="15"/>
                <w:szCs w:val="15"/>
                <w:color w:val="auto"/>
              </w:rPr>
            </w:pPr>
          </w:p>
        </w:tc>
        <w:tc>
          <w:tcPr>
            <w:tcW w:w="2880" w:type="dxa"/>
            <w:vAlign w:val="bottom"/>
          </w:tcPr>
          <w:p>
            <w:pPr>
              <w:jc w:val="center"/>
              <w:ind w:left="1099"/>
              <w:spacing w:after="0"/>
              <w:rPr>
                <w:sz w:val="20"/>
                <w:szCs w:val="20"/>
                <w:color w:val="auto"/>
              </w:rPr>
            </w:pPr>
            <w:r>
              <w:rPr>
                <w:rFonts w:ascii="Times New Roman" w:cs="Times New Roman" w:eastAsia="Times New Roman" w:hAnsi="Times New Roman"/>
                <w:sz w:val="14"/>
                <w:szCs w:val="14"/>
                <w:b w:val="1"/>
                <w:bCs w:val="1"/>
                <w:color w:val="auto"/>
              </w:rPr>
              <w:t>Options (#)(1)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(#)(1)</w:t>
            </w:r>
          </w:p>
        </w:tc>
        <w:tc>
          <w:tcPr>
            <w:tcW w:w="980" w:type="dxa"/>
            <w:vAlign w:val="bottom"/>
          </w:tcPr>
          <w:p>
            <w:pPr>
              <w:jc w:val="center"/>
              <w:ind w:left="118"/>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 Mel Sorensen, M.D.</w:t>
            </w:r>
          </w:p>
        </w:tc>
        <w:tc>
          <w:tcPr>
            <w:tcW w:w="28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4,591,667</w:t>
            </w:r>
          </w:p>
        </w:tc>
        <w:tc>
          <w:tcPr>
            <w:tcW w:w="12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292,950</w:t>
            </w:r>
          </w:p>
        </w:tc>
        <w:tc>
          <w:tcPr>
            <w:tcW w:w="16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2,933,502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97,650</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Joel Sussman</w:t>
            </w:r>
          </w:p>
        </w:tc>
        <w:tc>
          <w:tcPr>
            <w:tcW w:w="288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1,513,542</w:t>
            </w:r>
          </w:p>
        </w:tc>
        <w:tc>
          <w:tcPr>
            <w:tcW w:w="120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97,650</w:t>
            </w:r>
          </w:p>
        </w:tc>
        <w:tc>
          <w:tcPr>
            <w:tcW w:w="166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773,597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8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Lawrence Alleva</w:t>
            </w:r>
          </w:p>
        </w:tc>
        <w:tc>
          <w:tcPr>
            <w:tcW w:w="288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48,000</w:t>
            </w:r>
          </w:p>
        </w:tc>
        <w:tc>
          <w:tcPr>
            <w:tcW w:w="1200" w:type="dxa"/>
            <w:vAlign w:val="bottom"/>
          </w:tcPr>
          <w:p>
            <w:pPr>
              <w:jc w:val="right"/>
              <w:ind w:right="238"/>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181,812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2,222.40</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Chang, Ph.D.</w:t>
            </w:r>
          </w:p>
        </w:tc>
        <w:tc>
          <w:tcPr>
            <w:tcW w:w="28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101,334</w:t>
            </w:r>
          </w:p>
        </w:tc>
        <w:tc>
          <w:tcPr>
            <w:tcW w:w="120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rPr>
              <w:t>2,469.36</w:t>
            </w:r>
          </w:p>
        </w:tc>
        <w:tc>
          <w:tcPr>
            <w:tcW w:w="16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42,666</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1,975.44</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Michael Friedman</w:t>
            </w:r>
          </w:p>
        </w:tc>
        <w:tc>
          <w:tcPr>
            <w:tcW w:w="288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101,334</w:t>
            </w:r>
          </w:p>
        </w:tc>
        <w:tc>
          <w:tcPr>
            <w:tcW w:w="1200" w:type="dxa"/>
            <w:vAlign w:val="bottom"/>
          </w:tcPr>
          <w:p>
            <w:pPr>
              <w:jc w:val="right"/>
              <w:ind w:right="178"/>
              <w:spacing w:after="0"/>
              <w:rPr>
                <w:sz w:val="20"/>
                <w:szCs w:val="20"/>
                <w:color w:val="auto"/>
              </w:rPr>
            </w:pPr>
            <w:r>
              <w:rPr>
                <w:rFonts w:ascii="Times New Roman" w:cs="Times New Roman" w:eastAsia="Times New Roman" w:hAnsi="Times New Roman"/>
                <w:sz w:val="18"/>
                <w:szCs w:val="18"/>
                <w:color w:val="auto"/>
              </w:rPr>
              <w:t>2,469.36</w:t>
            </w:r>
          </w:p>
        </w:tc>
        <w:tc>
          <w:tcPr>
            <w:tcW w:w="166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42,666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1,975.44</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Lokay</w:t>
            </w:r>
          </w:p>
        </w:tc>
        <w:tc>
          <w:tcPr>
            <w:tcW w:w="288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48,000</w:t>
            </w:r>
          </w:p>
        </w:tc>
        <w:tc>
          <w:tcPr>
            <w:tcW w:w="120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150,552</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40" w:hanging="424"/>
        <w:spacing w:after="0" w:line="255"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the number of shares of Galera common stock subject to unvested and vested Galera Options, which, pursuant to the merger agreement, (i) in the case of Galera ITM Options, will automatically become fully vested and be converted, at the Galera merger effective time, into net exercised shares of Parent common stock as described above, and (ii) in the case of any Galera Options that are not Galera ITM Options, will be cancelled for no consideration.</w:t>
      </w:r>
    </w:p>
    <w:p>
      <w:pPr>
        <w:spacing w:after="0" w:line="2" w:lineRule="exact"/>
        <w:rPr>
          <w:rFonts w:ascii="Times New Roman" w:cs="Times New Roman" w:eastAsia="Times New Roman" w:hAnsi="Times New Roman"/>
          <w:sz w:val="18"/>
          <w:szCs w:val="18"/>
          <w:color w:val="auto"/>
        </w:rPr>
      </w:pPr>
    </w:p>
    <w:p>
      <w:pPr>
        <w:ind w:left="540" w:right="20" w:hanging="424"/>
        <w:spacing w:after="0" w:line="253"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as the value of unvested Galera Options and vested Galera Options represent (i) the number of shares of Galera common stock subject to the Galera ITM Options as of May 31, 2026, multiplied by $0.0873, which is the average closing market price of Galera’s common stock over the first three business days following the first public announcement of the mergers, less (ii) the aggregate exercise price with respect to such Galera ITM Options.</w:t>
      </w:r>
    </w:p>
    <w:p>
      <w:pPr>
        <w:spacing w:after="0" w:line="292"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Galera has entered into employment agreements with each of its executive officers (the “Galera Employment Agreements”). Following the termination of an executive officer’s employment for any reason, such executive officer will be entitled to receive any earned but unpaid bonus for the year prior to the year in which the termination occurs. If an executive officer’s employment is terminated without “good cause” or the executive officer resigns for “good reason,” in either case, on or within 12 months following a change in control of Galera, then, subject to the executive officer’s timely executing a release of claims and the executive officer’s continued compliance with certain covenants, the executive officer is entitled to receive (i) a cash amount equal to one times (or 1.5 times for Dr. Sorensen) the sum of the executive officer’s annual base salary and target annual bonus for the year of termination, payable over the 12 months (or 18 months for Dr. Sorensen) following the executive officer’s termination date; (ii) direct payment of, or reimbursement for, continued health coverage pursuant to COBRA for up to 12 months (or 18 months for Dr. Sorensen) in the same percentage contributed by Galera towards the executive officer’s health plan coverage as in effect immediately prior to the termination date; and (iii) accelerated vesting of all unvested equity or equity-based awards held by the executive officer that vest solely based on the passage of time, with any such awards that vest based on the attainment of performance-vesting conditions being governed by the terms of the applicable award agreement. In addition, pursuant to a</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80"/>
          </w:cols>
          <w:pgMar w:left="320" w:top="455"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letter agreement between Galera and Mr. Sussman, Mr. Sussman is eligible to receive up to $250,000 in aggregate retention bonus payments in connection with the timely completion and filing by the Company of certain reporting obligations, $200,000 of which was paid to him in April 2026 and $50,000 of which was paid to him in June 2026. In the event of an involuntary termination of Mr. Sussman’s employment (other than for cause) or if Mr. Sussman terminates for good reason, any unpaid retention bonus was to be paid without regard to satisfaction of the applicable conditions and any severance otherwise payable to him was to be reduced by the amount of such retention bonus payments. The parties agreed that, to the extent permitted by applicable tax rules, the severance due to the executive officers under the employment agreements would be paid in a lump sum rather than installments. The mergers will constitute a change in control for purposes of the Galera Employment Agreements and the executive officers will be eligible to receive payments, in the aggregate of $1,696,331 for cash severance and COBRA reimbursements in the event of a qualifying termination of employment. Please see the table above for information regarding the value of the executive officers’ outstanding equity awards with respect to Galera.</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executive officers have each agreed to refrain from (i) competing with us while employed and following the executive officer’s termination of employment for any reason for a period of 12 months and (ii) soliciting our employees, consultants, partners or advisors to accept employment and from soliciting our distributors, suppliers, representatives or agents to terminate or modify their relationship with Galera, in each case, while employed and following the executive’s termination of employment for any reason for a period of 12 months.</w:t>
      </w:r>
    </w:p>
    <w:p>
      <w:pPr>
        <w:spacing w:after="0" w:line="180" w:lineRule="exact"/>
        <w:rPr>
          <w:sz w:val="20"/>
          <w:szCs w:val="20"/>
          <w:color w:val="auto"/>
        </w:rPr>
      </w:pPr>
    </w:p>
    <w:p>
      <w:pPr>
        <w:ind w:left="120" w:right="260" w:firstLine="440"/>
        <w:spacing w:after="0" w:line="270" w:lineRule="auto"/>
        <w:rPr>
          <w:sz w:val="20"/>
          <w:szCs w:val="20"/>
          <w:color w:val="auto"/>
        </w:rPr>
      </w:pPr>
      <w:r>
        <w:rPr>
          <w:rFonts w:ascii="Times New Roman" w:cs="Times New Roman" w:eastAsia="Times New Roman" w:hAnsi="Times New Roman"/>
          <w:sz w:val="17"/>
          <w:szCs w:val="17"/>
          <w:color w:val="auto"/>
        </w:rPr>
        <w:t>For purposes of the Galera Employment Agreements, “good cause” generally means, subject to certain notice and cure rights, the executive officer’s (i) refusal to substantially satisfy the material responsibilities and objectives reasonably assigned to the executive; (ii) material breach of the Galera Employment Agreements or any other agreement between the executive officer and Galera; (iii) commission of a felony or a crime involving moral turpitude, or the commission of any other act or omission involving dishonesty or fraud with respect to Galera or its customers or suppliers;</w:t>
      </w:r>
    </w:p>
    <w:p>
      <w:pPr>
        <w:spacing w:after="0" w:line="3" w:lineRule="exact"/>
        <w:rPr>
          <w:sz w:val="20"/>
          <w:szCs w:val="20"/>
          <w:color w:val="auto"/>
        </w:rPr>
      </w:pPr>
    </w:p>
    <w:p>
      <w:pPr>
        <w:ind w:left="120" w:right="80" w:hanging="4"/>
        <w:spacing w:after="0" w:line="260" w:lineRule="auto"/>
        <w:tabs>
          <w:tab w:leader="none" w:pos="42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sexual harassment, unlawful discrimination or similar behavior; (v) material breach of any confidentiality or non-compete obligations; (vi) conduct that tends to bring Galera into public disgrace or disrepute; or (vii) gross negligence or willful misconduct with respect to Galera.</w:t>
      </w:r>
    </w:p>
    <w:p>
      <w:pPr>
        <w:spacing w:after="0" w:line="18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the Galera Employment Agreements, “good reason” generally means, subject to certain notice and cure rights, (i) Galera’s failure to comply with the material terms of the applicable Galera Employment Agreement; (ii) with respect to Dr. Sorensen’s employment agreement only, any requirement by Galera that the executive officer perform any act which is illegal; (iii) any material reduction in annual base salary, except in connection with across-the-board salary reductions based on Galera’s financial condition or performance similarly affecting all or substantially all senior management employees; or (iv) any material reduction in the executive officer’s responsibilities, positions, duties or authority which is not consented to by the named executive officer (and, with respect to Dr. Sorensen’s employment agreement only, which occurs within 12 months after a change in control).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 Shares for Merger Consideration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Galera and Obsidian will jointly select a reputable bank, transfer agent or trust company to act as exchange agent in the mergers (the “Exchange Agent”) and in that role the Exchange Agent will process the exchange of Galera and Obsidian stock certificates and book-entry shares for Parent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Deposit with Exchange Agent.</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At each of the Obsidian merger effective time and the Galera merger effective time, as applicable, Parent will deposit with the exchange agent evidence of book-entry shares representing the shares of Parent common stock issuable in exchange for shares of Obsidian common stock and Galera common stock, respectively.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Mailing of Transmittal Material.</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At each of the Obsidian merger effective time and Galera merger effective time, as applicable, the parties will cause the Exchange Agent to mail and otherwise make available to each holder of record of Galera common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stock and Obsidian common stock that was converted into the right to receive Parent common stock, a notice and a form of letter of transmittal, in a form reasonably acceptable to Parent (which will specify that delivery will be effected, and risk of loss and title to such certificate(s) theretofore representing shares of Galera common stock will pass, only upon proper delivery of such certificate(s) to the Exchange Agent or transfer of book-entry shares to the Exchange Agent). The notice will advise such holder of the effectiveness of the mergers and the instructions and procedure for surrendering to the Exchange Agent such certificate(s) or book-entry shares and that such shares will be exchanged for book-entry shares representing the number of whole shares of Parent common stock which the shares of Galera common stock and Obsidian common stock represented by such certificate(s) or book-entry shares would convert into pursuant to the merger agreement. A letter of transmittal will be deemed properly completed only if accompanied by a certificate or certificates or instructions to transfer book-entry shares representing all shares of Galera common stock or Obsidian common stock covered thereby, subject to the provisions below — “</w:t>
      </w:r>
      <w:r>
        <w:rPr>
          <w:rFonts w:ascii="Times New Roman" w:cs="Times New Roman" w:eastAsia="Times New Roman" w:hAnsi="Times New Roman"/>
          <w:sz w:val="18"/>
          <w:szCs w:val="18"/>
          <w:i w:val="1"/>
          <w:iCs w:val="1"/>
          <w:color w:val="auto"/>
        </w:rPr>
        <w:t>Exchange Agent Deliveries</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Issued Shares.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All shares of Parent common stock to be issued pursuant to the merger will be deemed issued and outstanding as of the Galera merger effective time and whenever a dividend or other distribution is declared by Parent in respect of the Parent common stock, the record date for which is at or after the Galera merger effective time, that declaration will include dividends or other distributions in respect of all shares of Parent common stock issuable pursuant to the merger agreement. No dividends or other distributions in respect of the Parent common stock will be paid to any holder of any unsurrendered certificate or book-entry shares until such certificate or book-entry shares are surrendered for exchange in accordance with the merger agreement. Subject to the effect of applicable laws, following the surrender of any such certificate or book-entry shares, there will be issued and/or paid to the holder of the book-entry shares representing whole shares of Parent common stock issued in exchange therefor, without interest, (A) at the time of such surrender, any unpaid dividends or other distributions with a record date at or after the Galera merger effective time theretofore payable with respect to such whole shares of Parent common stock and (B) at the appropriate payment date, the dividends or other distributions payable with respect to such whole shares of Parent common stock with a record date at or after the Galera merger effective time but with a payment date subsequent to surrender.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 Deliveries.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Each holder of an outstanding certificate or certificates or book-entry shares who has surrendered such certificate or certificates or book-entry shares to the Exchange Agent will, upon acceptance thereof by the Exchange Agent, be entitled to evidence of issuance in book entry form, the number of whole shares of Parent common stock into which the aggregate number of shares of Galera common stock or Obsidian common stock previously represented by such certificate or certificates or book-entry shares surrendered pursuant to the merger agreement and any other distribution theretofore paid with respect to Parent common stock issuable in the mergers, in each case, without interest. The Exchange Agent will accept such certificates or book-entry shares upon compliance with such reasonable terms and conditions as the Exchange Agent may impose consistent with the notice and form of letter of transmittal to effect an orderly exchange thereof in accordance with normal exchange practices.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Unclaimed merger consideration.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shares of Parent common stock deposited with the Exchange Agent that remain undistributed as of the date that is 180 days after the closing date will be delivered to Parent upon demand, and any holders who have not theretofore delivered a duly executed letter of transmittal will thereafter look only to Parent for satisfaction of their claims for Parent common stock and any dividends or distributions with respect thereto.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Fractional Shares.</w:t>
      </w:r>
    </w:p>
    <w:p>
      <w:pPr>
        <w:spacing w:after="0" w:line="121"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No fractional shares of Parent common stock will be issued in connection with the mergers, and no certificates or scrip for any such fractional shares will be issued, with no cash being paid for any fractional share eliminated by such rounding. Any fractional shares of Parent common stock a holder of Galera common stock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Obsidian common stock would otherwise be entitled to receive will be aggregated together first prior to eliminating any remaining fractional share. Any remaining fractional share of Parent common stock will be rounded up to the nearest whole share.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Withholding Rights.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Each of the Exchange Agent, Parent, the Galera surviving corporation and Obsidian surviving corporation (each, a “Withholding Agent”) will be entitled to deduct and withhold from any consideration deliverable pursuant to the Merger Agreement such amounts as are required to be deducted or withheld from such consideration under the U.S. Internal Revenue Code of 1986, as amended, or under any other applicable law; provided, however, that if a Withholding Agent determines that any payment in connection with the mergers is subject to deduction and/or withholding, then, except with respect to compensatory payments, such Withholding Agent will use reasonable best efforts to (i) provide notice to such recipient after such determination and (ii) cooperate with such recipient prior to the Closing to reduce or eliminate any such deduction and/or withholding.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the merger agreement, stockholders of Galera who hold shares of Galera common stock that are outstanding immediately prior to the Galera merger effective time (after giving effect to the Galera preferred stock conversion) and who have exercised and perfected appraisal rights for such shares in accordance with Section 262, the full text of which may be accessed without subscription or cost at the following publicly available website: https://delcode.delaware.gov/title8/c001/sc09/#262 and is expressly incorporated herein by reference, will not be converted into or represent the right to receive the merger consideration. Such stockholders will be entitled to receive payment of the appraised value of such shares in accordance with the DGCL, unless and until such stockholders fail to perfect or effectively withdraw or otherwise lose their appraisal rights. Galera will give Parent prompt written notice of any demands by dissenting stockholders received thereby, and Parent will have the right to direct all negotiations and proceedings with respect to such demands, provided that Galera will have the right to participate in such negotiations and proceedings.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Public Trading Markets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Galera common stock currently trades on the OTCQB under the symbol “GRTX”. Following the closing of the mergers, Galera stock will not be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listed.</w:t>
      </w:r>
    </w:p>
    <w:p>
      <w:pPr>
        <w:spacing w:after="0" w:line="20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Parent’s common stock currently is not listed; however, a condition to the effectiveness of the mergers is that Parent’s common stock be approved for listing on Nasdaq, subject to official notice of issuance. Listing of Parent’s common stock on Nasdaq is a condition to the effectiveness of the mergers; however, this condition may be waived in accordance with the terms of the merger agreement. Prior to the consummation of the merger, application will be made to list the Parent common stock on Nasdaq under the symbol “OBX.”</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120" w:right="500" w:firstLine="440"/>
        <w:spacing w:after="0" w:line="258" w:lineRule="auto"/>
        <w:rPr>
          <w:sz w:val="20"/>
          <w:szCs w:val="20"/>
          <w:color w:val="auto"/>
        </w:rPr>
      </w:pPr>
      <w:r>
        <w:rPr>
          <w:rFonts w:ascii="Times New Roman" w:cs="Times New Roman" w:eastAsia="Times New Roman" w:hAnsi="Times New Roman"/>
          <w:sz w:val="18"/>
          <w:szCs w:val="18"/>
          <w:color w:val="auto"/>
        </w:rPr>
        <w:t>While Parent will be the legal acquirer, Obsidian will be deemed to be the accounting acquirer of Galera. The acquisition of Galera will be accounted for as an asset acquisition as it is anticipated that Galera will not meet the definition of business as defined within Accounting Standard Codification Topic 805, Business Combinations (“ASC 805”) as Galera only has inputs and no substantive processes or outputs at the time of acquisition. The Galera assets acquired will be measured based on the estimated fair value of the consideration to be paid, inclusive of direct transactions costs.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Resales of Parent Common Stock</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shares of Parent common stock to be issued to stockholders of Galera under the merger agreement have been registered under the Securities Act of 1933 and may be freely traded without restriction by holders, including holders who were affiliates of Galera on the date of 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7"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is a summary of the material terms of the merger agreement. A copy of the merger agreement is attached to this information statement/prospectus as </w:t>
      </w:r>
      <w:r>
        <w:rPr>
          <w:rFonts w:ascii="Times New Roman" w:cs="Times New Roman" w:eastAsia="Times New Roman" w:hAnsi="Times New Roman"/>
          <w:sz w:val="18"/>
          <w:szCs w:val="18"/>
          <w:b w:val="1"/>
          <w:bCs w:val="1"/>
          <w:i w:val="1"/>
          <w:iCs w:val="1"/>
          <w:u w:val="single" w:color="auto"/>
          <w:color w:val="auto"/>
        </w:rPr>
        <w:t>Appendix A</w:t>
      </w:r>
      <w:r>
        <w:rPr>
          <w:rFonts w:ascii="Times New Roman" w:cs="Times New Roman" w:eastAsia="Times New Roman" w:hAnsi="Times New Roman"/>
          <w:sz w:val="18"/>
          <w:szCs w:val="18"/>
          <w:i w:val="1"/>
          <w:iCs w:val="1"/>
          <w:color w:val="auto"/>
        </w:rPr>
        <w:t xml:space="preserve"> and is incorporated by reference into this information statement/prospectus. The merger agreement has been attached to this information statement/prospectus to provide you with information regarding its terms. It is not intended to provide any other factual information about Galera, Obsidian or Parent. The following description does not purport to be complete and is qualified in its entirety by reference to the merger agreement. You should refer to the full text of the merger agreement for details of the mergers and the terms and conditions of the merger agreement. Capitalized terms used but not otherwise defined in this section shall have the meanings ascribed to them in the merger agreement.</w:t>
      </w:r>
    </w:p>
    <w:p>
      <w:pPr>
        <w:spacing w:after="0" w:line="18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The merger agreement contains representations and warranties that Galera (on behalf of itself, Merger Sub 1 and Merger Sub 2), on the one hand, and Obsidian, on the other hand, have made to one another, and which Parent has made to Obsidian and Galera, as of specific dates. These representations and warranties have been made for the benefit of the parties to the merger agreement and are not intended to be treated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signing the merger agreement. While Galera and Obsidian do not believe that the disclosure schedules contain information required to be publicly disclosed under applicable securities laws, other than information that has already been so disclosed or information that Galera shall provide, on a supplemental basis, to the SEC on request, the disclosure schedules do contain information that modifies, qualifies and creates exceptions to the representations and warranties set forth in the merger agreement. Accordingly, you should not rely on the representations and warranties as current characterizations of factual information about Galera, Obsidian or Parent, because they were made as of specific dates, may be intended merely as a risk allocation mechanism among the parties and are modified by the disclosure schedules.</w:t>
      </w:r>
    </w:p>
    <w:p>
      <w:pPr>
        <w:spacing w:after="0" w:line="192"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The representations and warranties are, in many respects, qualified by materiality and knowledge, and will not survive the Galera merger effective time, but their accuracy forms the basis of certain conditions to the obligations of the parties to complete the mergers.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the terms and subject to the conditions of the merger agreement, and subject to the applicable provisions of Delaware law, at the closing,</w:t>
      </w:r>
    </w:p>
    <w:p>
      <w:pPr>
        <w:spacing w:after="0" w:line="27" w:lineRule="exact"/>
        <w:rPr>
          <w:sz w:val="20"/>
          <w:szCs w:val="20"/>
          <w:color w:val="auto"/>
        </w:rPr>
      </w:pPr>
    </w:p>
    <w:p>
      <w:pPr>
        <w:jc w:val="both"/>
        <w:ind w:left="120" w:right="100" w:hanging="4"/>
        <w:spacing w:after="0" w:line="253" w:lineRule="auto"/>
        <w:tabs>
          <w:tab w:leader="none" w:pos="36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Obsidian will cause Merger Sub 1 to merge with and into Obsidian, at which time the separate existence of Merger Sub 1 will cease and Obsidian will survive the Obsidian merger as a wholly owned subsidiary of Parent, and (b) immediately following the Obsidian merger effective time, Parent and Galera will cause Merger Sub 2, a wholly owned subsidiary of Parent, to merge with and into Galera, at which time the separate existence of Merger Sub 2 will cease and Galera will survive the Galera merger as a wholly owned subsidiary of Parent. At the Galera merger effective time, Parent will file one or more amendments to its certificate of incorporation to change the name of Parent to Obsidian Therapeutics, Inc.</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Completion and Effectiveness of the Mergers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closing of the mergers will take place remotely no later than the second business day after all of the conditions precedent set forth in the merger agreement have been satisfied or waived (other than those conditions that, by their nature, are to be satisfied at the closing of the mergers (so long as such conditions are actually satisfied)) or at such other time, date and place as the parties may mutually agree in writing. The Obsidian merger will become effective upon the filing and acceptance by the Secretary of State of the State of Delaware of the Obsidian certificate of merger or at such later time as may be specified therein with the consent of Galera and Obsidian. The Galera merger will become effective upon the filing and acceptance by the Secretary of State 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State of Delaware of the Galera certificate of merger or at such later time as may be specified therein with the consent of Galera and Obsidian. The parties expect that the mergers will be completed during the third quarter of 2026. However, Galera and Obsidian cannot predict the exact timing of the completion of the mergers because the completion is subject to the satisfaction or waiver of various conditions.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Pre-Merger Obsidian Conversions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Immediately prior to the Obsidian merger effective time, all issued and outstanding shares of Obsidian preferred stock, including any issued and outstanding Obsidian Series A-1 Preferred Stock, Series A-2 Preferred Stock, Series A-3 Preferred Stock, Series B Preferred Stock, and Series C Preferred Stock, will be converted to Obsidian common stock in accordance with the organizational documents of Obsidian. In addition, prior to the Obsidian merger effective time, Obsidian anticipates that (a) the Obsidian Board (or a committee thereof) will adopt resolutions to deem any unexercised portion of the outstanding Obsidian Banc of California, Inc. warrants automatically exercised in accordance with the terms of the Obsidian Banc of California, Inc. warrants and, upon automatic exercise, terminate the warrants in full and (b) to the extent that Obsidian undertakes a Permitted Obsidian Bridge Financing, any convertible notes issued in connection therewith will be converted into shares of Obsidian common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of Obsidian Merger Shares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At the Obsidian merger effective time, each share of Obsidian common stock issued and outstanding immediately prior to the Obsidian merger effective time (and after giving effect to the Obsidian preferred stock conversion, the exercise of the Obsidian Banc of California, Inc. warrants, and the conversion of Obsidian convertible notes (if any)) will be converted into the right to receive a number of shares of Parent common stock calculated on the basis of the Obsidian exchange ratio (as described in the section titled </w:t>
      </w:r>
      <w:r>
        <w:rPr>
          <w:rFonts w:ascii="Times New Roman" w:cs="Times New Roman" w:eastAsia="Times New Roman" w:hAnsi="Times New Roman"/>
          <w:sz w:val="18"/>
          <w:szCs w:val="18"/>
          <w:i w:val="1"/>
          <w:iCs w:val="1"/>
          <w:color w:val="auto"/>
        </w:rPr>
        <w:t>“The Merger Agreement—Merger Consideration—Obsidian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Ratio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any Obsidian common stock underlying any restricted stock award or similar agreement with Obsidian outstanding immediately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Obsidian merger effective time is unvested or is subject to a repurchase option or a risk of forfeiture, then the shares of Parent common stock issued in exchange for such shares of Obsidian common stock will to the same extent be unvested and subject to the same repurchase option or risk of forfeiture and other applicable terms and conditions, and such shares of Parent common stock will be marked with appropriate legends. From and after the closing, Parent will be entitled to exercise any such repurchase option or other right set forth in any such restricted stock award agreement or other agreement without any further action by Obsidian, Parent, Merger Sub 1 or any holder of Obsidian capital stock.</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Obsidian Allocation Certificate</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accordance with the merger agreement, Obsidian will prepare and deliver to Parent and Galera at least two business days prior to the closing a certificate (the “allocation certificate”) setting forth, as of immediately prior to the Obsidian merger effective time: (a) each holder of Obsidian capital stock, (b) such holder’s name and address, (c) the number and type of Obsidian capital stock held as of the closing date for each such holder and (d) the number of shares of Parent common stock to be issued to such holder pursuant to the terms of the merger agreement as of immediately prior to the Obsidian merger effective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Obsidian Exchange Ratio</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formula to calculate the number of shares of Parent common stock issuable to the existing Obsidian stockholders identified in the allocation certificate is equal to the quotient obtained by dividing (a) the number of Obsidian merger shares by (b) the number of Obsidian outstanding shares, in which:</w:t>
      </w:r>
    </w:p>
    <w:p>
      <w:pPr>
        <w:spacing w:after="0" w:line="79" w:lineRule="exact"/>
        <w:rPr>
          <w:sz w:val="20"/>
          <w:szCs w:val="20"/>
          <w:color w:val="auto"/>
        </w:rPr>
      </w:pPr>
    </w:p>
    <w:p>
      <w:pPr>
        <w:ind w:left="1540" w:right="20" w:hanging="331"/>
        <w:spacing w:after="0" w:line="315" w:lineRule="auto"/>
        <w:tabs>
          <w:tab w:leader="none" w:pos="154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valuation” means the sum of (i) the Obsidian equity value, plus (ii) the Galera valuation (as defined under “</w:t>
      </w:r>
      <w:r>
        <w:rPr>
          <w:rFonts w:ascii="Times New Roman" w:cs="Times New Roman" w:eastAsia="Times New Roman" w:hAnsi="Times New Roman"/>
          <w:sz w:val="17"/>
          <w:szCs w:val="17"/>
          <w:i w:val="1"/>
          <w:iCs w:val="1"/>
          <w:color w:val="auto"/>
        </w:rPr>
        <w:t>The Merger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Agreement—Merger Consideration—Galera Exchange Ratio</w:t>
      </w:r>
      <w:r>
        <w:rPr>
          <w:rFonts w:ascii="Times New Roman" w:cs="Times New Roman" w:eastAsia="Times New Roman" w:hAnsi="Times New Roman"/>
          <w:sz w:val="17"/>
          <w:szCs w:val="17"/>
          <w:color w:val="auto"/>
        </w:rPr>
        <w:t>” below), plus (iii) the concurrent PIPE financing allocation percentage;</w:t>
      </w:r>
    </w:p>
    <w:p>
      <w:pPr>
        <w:spacing w:after="0" w:line="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340" w:hanging="331"/>
        <w:spacing w:after="0" w:line="282"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PIPE financing allocation percentage” means the quotient determined by dividing (i) the concurrent PIPE financing proceeds by (ii) the aggregate valuation;</w:t>
      </w:r>
    </w:p>
    <w:p>
      <w:pPr>
        <w:spacing w:after="0" w:line="67" w:lineRule="exact"/>
        <w:rPr>
          <w:rFonts w:ascii="Times New Roman" w:cs="Times New Roman" w:eastAsia="Times New Roman" w:hAnsi="Times New Roman"/>
          <w:sz w:val="18"/>
          <w:szCs w:val="18"/>
          <w:color w:val="auto"/>
        </w:rPr>
      </w:pPr>
    </w:p>
    <w:p>
      <w:pPr>
        <w:ind w:left="1540" w:right="480" w:hanging="331"/>
        <w:spacing w:after="0" w:line="282"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PIPE financing proceeds” means the proceeds resulting from the concurrent financing, subject to dollar-for-dollar reduction to the extent actually paid in any Permitted Obsidian Bridge Financing;</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allocation percentage” means the quotient (rounded to four decimal places) determined by dividing (i) the Obsidian equity value by (ii) the aggregate valuation;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equity value” means $413,500,000;</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82"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merger shares” means the product determined by multiplying the (i) the post-closing Parent shares by (ii) the Obsidian allocation percentage;</w:t>
      </w:r>
    </w:p>
    <w:p>
      <w:pPr>
        <w:spacing w:after="0" w:line="67" w:lineRule="exact"/>
        <w:rPr>
          <w:rFonts w:ascii="Times New Roman" w:cs="Times New Roman" w:eastAsia="Times New Roman" w:hAnsi="Times New Roman"/>
          <w:sz w:val="18"/>
          <w:szCs w:val="18"/>
          <w:color w:val="auto"/>
        </w:rPr>
      </w:pPr>
    </w:p>
    <w:p>
      <w:pPr>
        <w:ind w:left="1540" w:right="140" w:hanging="331"/>
        <w:spacing w:after="0" w:line="254"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outstanding shares” means the total number of shares of Obsidian common stock outstanding immediately prior to the Obsidian merger effective time (after giving effect to the Obsidian preferred stock conversion and any Obsidian convertible notes issued in the Permitted Obsidian Bridge Financing) expressed on a fully-diluted and as-converted to Obsidian common stock on a “treasury method” basis and assuming, without limitation or duplication, the issuance of all shares of Obsidian common stock that would be issued assuming the acceleration and exercise and conversion of all Obsidian options outstanding as of immediately prior to the Obsidian merger effective time (including shares of Obsidian common stock underlying Obsidian options that will not be accelerated or exercised immediately prior to the Obsidian merger effective time) and the issuance of shares of Obsidian common stock that would be issued assuming the exercise of the Obsidian warrant as of immediately prior to the Obsidian merger effective time; and</w:t>
      </w:r>
    </w:p>
    <w:p>
      <w:pPr>
        <w:spacing w:after="0" w:line="93"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“Post-closing Parent shares” means the total number of shares of Parent common stock outstanding immediately after the Obsidian merger effective time and the Galera merger effective time, expressed on a fully-diluted basis.</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Because the Obsidian exchange ratio relies on values that are indeterminable until immediately prior to the Obsidian merger effective time and the Galera merger effective time and/or subject to adjustment upon determination of the Final Galera net cash or in the event of certain interim period financings, the Obsidian exchange ratio will not be determined until the closing of the mergers.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Pre-Merger Galera Conversions</w:t>
      </w:r>
    </w:p>
    <w:p>
      <w:pPr>
        <w:spacing w:after="0" w:line="121"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Immediately following the Obsidian merger effective time but immediately prior to the Galera merger effective time, all Galera preferred stock, including all shares of Series B preferred stock and Series C preferred stock issued in the concurrent financing, will be converted into Galera common stock in accordance with the organizational documents of Galera. In addition, (a) prior to the Galera merger effective time, the issued and outstanding Galera Pre-Funded Warrants will be exchanged for shares of Galera common stock in accordance with the terms thereof and (b) at the Galera merger effective time (the “Galera pre-funded warrant conversion”), (i) each outstanding and unexercised Galera Exchangeable Warrant will, whether or not vested, become a warrant to purchase shares of Parent common stock in accordance with the terms thereof and (ii) each outstanding and unexercised Galera Terminable Warrant will, whether or not vested, be terminated in accordance with the terms thereof.</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Issuance of Galera Merger Shares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At the Galera merger effective time, each share of Galera common stock issued and outstanding immediately prior to the Galera merger effective time (and after giving effect to the Galera preferred stock conversion and the exchange of the Galera pre-funded warrants) will be converted into the right to receive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number of shares of Parent common stock equal to the Galera exchange ratio calculated on the basis of the Obsidian exchange ratio (as described in the section titled </w:t>
      </w:r>
      <w:r>
        <w:rPr>
          <w:rFonts w:ascii="Times New Roman" w:cs="Times New Roman" w:eastAsia="Times New Roman" w:hAnsi="Times New Roman"/>
          <w:sz w:val="18"/>
          <w:szCs w:val="18"/>
          <w:i w:val="1"/>
          <w:iCs w:val="1"/>
          <w:color w:val="auto"/>
        </w:rPr>
        <w:t>“The Merger Agreement—Merger Consideration—Galera Exchange Ratio</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Galera Exchange Ratio</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formula to calculate the number of shares of Parent common stock issuable to the existing Galera stockholders is equal to the quotient obtained by dividing (a) the number of Galera merger shares by (b) the number of Galera outstanding shares, in which:</w:t>
      </w:r>
    </w:p>
    <w:p>
      <w:pPr>
        <w:spacing w:after="0" w:line="65" w:lineRule="exact"/>
        <w:rPr>
          <w:sz w:val="20"/>
          <w:szCs w:val="20"/>
          <w:color w:val="auto"/>
        </w:rPr>
      </w:pPr>
    </w:p>
    <w:p>
      <w:pPr>
        <w:ind w:left="1540" w:right="260" w:hanging="331"/>
        <w:spacing w:after="0" w:line="284"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“Aggregate valuation” has the meaning set forth in the section titled </w:t>
      </w:r>
      <w:r>
        <w:rPr>
          <w:rFonts w:ascii="Times New Roman" w:cs="Times New Roman" w:eastAsia="Times New Roman" w:hAnsi="Times New Roman"/>
          <w:sz w:val="18"/>
          <w:szCs w:val="18"/>
          <w:i w:val="1"/>
          <w:iCs w:val="1"/>
          <w:color w:val="auto"/>
        </w:rPr>
        <w:t>“The Merger Agreement—Merger Consideration—Obsidian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Ratio</w:t>
      </w:r>
      <w:r>
        <w:rPr>
          <w:rFonts w:ascii="Times New Roman" w:cs="Times New Roman" w:eastAsia="Times New Roman" w:hAnsi="Times New Roman"/>
          <w:sz w:val="18"/>
          <w:szCs w:val="18"/>
          <w:color w:val="auto"/>
        </w:rPr>
        <w:t>” above;</w:t>
      </w:r>
    </w:p>
    <w:p>
      <w:pPr>
        <w:spacing w:after="0" w:line="63" w:lineRule="exact"/>
        <w:rPr>
          <w:rFonts w:ascii="Times New Roman" w:cs="Times New Roman" w:eastAsia="Times New Roman" w:hAnsi="Times New Roman"/>
          <w:sz w:val="18"/>
          <w:szCs w:val="18"/>
          <w:color w:val="auto"/>
        </w:rPr>
      </w:pPr>
    </w:p>
    <w:p>
      <w:pPr>
        <w:ind w:left="1540" w:right="60" w:hanging="331"/>
        <w:spacing w:after="0" w:line="284"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“Final Galera net cash” has the meaning set forth in the section titled </w:t>
      </w:r>
      <w:r>
        <w:rPr>
          <w:rFonts w:ascii="Times New Roman" w:cs="Times New Roman" w:eastAsia="Times New Roman" w:hAnsi="Times New Roman"/>
          <w:sz w:val="18"/>
          <w:szCs w:val="18"/>
          <w:i w:val="1"/>
          <w:iCs w:val="1"/>
          <w:color w:val="auto"/>
        </w:rPr>
        <w:t>“The Merger Agreement—Merger Consideration—Galera Net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allocation percentage” means the quotient determined by dividing (i) the Galera valuation by (ii) the aggregate valuation;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equity value” means $13,800,000;</w:t>
      </w:r>
    </w:p>
    <w:p>
      <w:pPr>
        <w:spacing w:after="0" w:line="130" w:lineRule="exact"/>
        <w:rPr>
          <w:rFonts w:ascii="Times New Roman" w:cs="Times New Roman" w:eastAsia="Times New Roman" w:hAnsi="Times New Roman"/>
          <w:sz w:val="18"/>
          <w:szCs w:val="18"/>
          <w:color w:val="auto"/>
        </w:rPr>
      </w:pPr>
    </w:p>
    <w:p>
      <w:pPr>
        <w:ind w:left="1540" w:right="580" w:hanging="331"/>
        <w:spacing w:after="0" w:line="282"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merger shares” means the product determined by multiplying the (i) the post-closing Parent shares by (ii) the Galera allocation percentage;</w:t>
      </w:r>
    </w:p>
    <w:p>
      <w:pPr>
        <w:spacing w:after="0" w:line="65" w:lineRule="exact"/>
        <w:rPr>
          <w:rFonts w:ascii="Times New Roman" w:cs="Times New Roman" w:eastAsia="Times New Roman" w:hAnsi="Times New Roman"/>
          <w:sz w:val="18"/>
          <w:szCs w:val="18"/>
          <w:color w:val="auto"/>
        </w:rPr>
      </w:pPr>
    </w:p>
    <w:p>
      <w:pPr>
        <w:ind w:left="1540" w:hanging="331"/>
        <w:spacing w:after="0" w:line="270" w:lineRule="auto"/>
        <w:tabs>
          <w:tab w:leader="none" w:pos="154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“Galera outstanding shares” means, subject to the treatment of the Galera ITM options (as described in the section titled “</w:t>
      </w:r>
      <w:r>
        <w:rPr>
          <w:rFonts w:ascii="Times New Roman" w:cs="Times New Roman" w:eastAsia="Times New Roman" w:hAnsi="Times New Roman"/>
          <w:sz w:val="17"/>
          <w:szCs w:val="17"/>
          <w:i w:val="1"/>
          <w:iCs w:val="1"/>
          <w:color w:val="auto"/>
        </w:rPr>
        <w:t>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Merger Agreement—Treatment of Galera Options</w:t>
      </w:r>
      <w:r>
        <w:rPr>
          <w:rFonts w:ascii="Times New Roman" w:cs="Times New Roman" w:eastAsia="Times New Roman" w:hAnsi="Times New Roman"/>
          <w:sz w:val="17"/>
          <w:szCs w:val="17"/>
          <w:color w:val="auto"/>
        </w:rPr>
        <w:t>”), the total number of shares of Galera common stock outstanding immediately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prior to the Galera merger effective time expressed on a fully-diluted basis (after giving effect to the Galera preferred stock conversion and the Galera Pre-Funded Warrant Exercise) and (i) assuming, without limitation or duplication, (A) the issuance of shares of Galera common stock as a result of the next exercise of all Galera ITM options immediately prior to the Galera merger effective time, (B) the issuance of shares of Galera common stock in respect of Galera Exchangeable Warrants that will be outstanding as of immediately prior to the Galera merger effective time and (C) the exclusion of shares of Galera Common Stock held by Galera as treasury stock or owned by Obsidian or any of its subsidiaries or any subsidiary of Galera immediately prior to the Galera merger effective time, (ii) including any shares of Galera common stock issued or underlying any securities of Galera issued in any Permitted Galera Bridge Financing, and (iii) excluding any Series C preferred stock issued in the concurrent financing;</w:t>
      </w:r>
    </w:p>
    <w:p>
      <w:pPr>
        <w:spacing w:after="0" w:line="84"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target net cash” means $1,800,000;</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valuation” means the Galera equity value, subject to adjustment in the event that the Final Galera net cash is above or below the Galera target net cash; and</w:t>
      </w:r>
    </w:p>
    <w:p>
      <w:pPr>
        <w:spacing w:after="0" w:line="65" w:lineRule="exact"/>
        <w:rPr>
          <w:rFonts w:ascii="Times New Roman" w:cs="Times New Roman" w:eastAsia="Times New Roman" w:hAnsi="Times New Roman"/>
          <w:sz w:val="18"/>
          <w:szCs w:val="18"/>
          <w:color w:val="auto"/>
        </w:rPr>
      </w:pPr>
    </w:p>
    <w:p>
      <w:pPr>
        <w:ind w:left="1540" w:right="500" w:hanging="331"/>
        <w:spacing w:after="0" w:line="284" w:lineRule="auto"/>
        <w:tabs>
          <w:tab w:leader="none" w:pos="15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“Post-closing Parent shares” has the meaning set forth in the section titled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Obsidian Exchange Ratio</w:t>
      </w:r>
      <w:r>
        <w:rPr>
          <w:rFonts w:ascii="Times New Roman" w:cs="Times New Roman" w:eastAsia="Times New Roman" w:hAnsi="Times New Roman"/>
          <w:sz w:val="18"/>
          <w:szCs w:val="18"/>
          <w:color w:val="auto"/>
        </w:rPr>
        <w:t>” above.</w:t>
      </w:r>
    </w:p>
    <w:p>
      <w:pPr>
        <w:spacing w:after="0" w:line="16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Because the Galera exchange ratio relies on values that are indeterminable until immediately prior to the Obsidian merger effective time and the Galera merger effective time and/or subject to adjustment upon determination of the Final Galera net cash or in the event of certain interim period financings, the Galera exchange ratio will not be determined until the closing of the mergers.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Galera Net Cash</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Pursuant to the merger agreement, Galera net cash means the sum (without duplication) and, in the case of any deductions, to the extent unpaid by</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or any of its subsidiaries immediately prior to the Galera merger effective time:</w:t>
      </w:r>
    </w:p>
    <w:p>
      <w:pPr>
        <w:spacing w:after="0" w:line="112" w:lineRule="exact"/>
        <w:rPr>
          <w:sz w:val="20"/>
          <w:szCs w:val="20"/>
          <w:color w:val="auto"/>
        </w:rPr>
      </w:pPr>
    </w:p>
    <w:p>
      <w:pPr>
        <w:ind w:left="1540" w:hanging="331"/>
        <w:spacing w:after="0" w:line="282" w:lineRule="auto"/>
        <w:tabs>
          <w:tab w:leader="none" w:pos="1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Galera’s cash and cash equivalents determined, to the extent in accordance with GAAP, in a manner consistent with the manner such items were historically determined and in accordance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the financial statements (including any related notes) contained or incorporated by reference in the Galera Balance Sheet;</w:t>
      </w:r>
    </w:p>
    <w:p>
      <w:pPr>
        <w:spacing w:after="0" w:line="11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u w:val="single" w:color="auto"/>
          <w:color w:val="auto"/>
        </w:rPr>
        <w:t>plus</w:t>
      </w:r>
    </w:p>
    <w:p>
      <w:pPr>
        <w:spacing w:after="0" w:line="11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any receivables paid or payable with respect to the period ending immediately prior to the Galera merger effective time;</w:t>
      </w:r>
    </w:p>
    <w:p>
      <w:pPr>
        <w:spacing w:after="0" w:line="11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u w:val="single" w:color="auto"/>
          <w:color w:val="auto"/>
        </w:rPr>
        <w:t>minus</w:t>
      </w:r>
    </w:p>
    <w:p>
      <w:pPr>
        <w:spacing w:after="0" w:line="133" w:lineRule="exact"/>
        <w:rPr>
          <w:sz w:val="20"/>
          <w:szCs w:val="20"/>
          <w:color w:val="auto"/>
        </w:rPr>
      </w:pPr>
    </w:p>
    <w:p>
      <w:pPr>
        <w:ind w:left="1540" w:right="80" w:hanging="331"/>
        <w:spacing w:after="0" w:line="282" w:lineRule="auto"/>
        <w:tabs>
          <w:tab w:leader="none" w:pos="1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Galera incurred in connection with the mergers and the CVR agreement, including, for the avoidance of doubt, Transaction Expenses (as defined in the merger agreement) of Galera to the extent unpaid as of the closing;</w:t>
      </w:r>
    </w:p>
    <w:p>
      <w:pPr>
        <w:spacing w:after="0" w:line="5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minus</w:t>
      </w:r>
    </w:p>
    <w:p>
      <w:pPr>
        <w:spacing w:after="0" w:line="132" w:lineRule="exact"/>
        <w:rPr>
          <w:rFonts w:ascii="Times New Roman" w:cs="Times New Roman" w:eastAsia="Times New Roman" w:hAnsi="Times New Roman"/>
          <w:sz w:val="18"/>
          <w:szCs w:val="18"/>
          <w:color w:val="auto"/>
        </w:rPr>
      </w:pPr>
    </w:p>
    <w:p>
      <w:pPr>
        <w:ind w:left="1540" w:right="20" w:hanging="331"/>
        <w:spacing w:after="0" w:line="253" w:lineRule="auto"/>
        <w:tabs>
          <w:tab w:leader="none" w:pos="15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liabilities of Galera (i) to any Galera Associate (as defined in the merger agreement) for change in control or transaction bonuses, retention bonuses, severance or similar compensatory payments or benefits that are due and payable as a result of the completion of the transactions contemplated by the merger agreement (in each case, including the employer portion of any payroll or similar taxes payable with respect thereto), (ii) with respect to defined contribution liabilities, post-retirement health and welfare benefits, accrued but unpaid bonuses, severance and vacation or paid time off (in each case, including the employer portion of any payroll or similar taxes payable with respect thereto), (iii) with respect to accounts payable, accruals and other current liabilities, (iv) with respect to contractual commitments for future payments, whether absolute, contingent or otherwise, in connection with the termination of the Galera Real Estate Leases (as defined in the merger agreement), and (v) with respect to contractual commitments for future payments, whether absolute, contingent or otherwise, in connection with the termination of any intellectual property licensing agreements, less the amounts of any applicable deposits;</w:t>
      </w:r>
    </w:p>
    <w:p>
      <w:pPr>
        <w:spacing w:after="0" w:line="8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i w:val="1"/>
          <w:iCs w:val="1"/>
          <w:u w:val="single" w:color="auto"/>
          <w:color w:val="auto"/>
        </w:rPr>
        <w:t>plus</w:t>
      </w:r>
    </w:p>
    <w:p>
      <w:pPr>
        <w:spacing w:after="0" w:line="133" w:lineRule="exact"/>
        <w:rPr>
          <w:sz w:val="20"/>
          <w:szCs w:val="20"/>
          <w:color w:val="auto"/>
        </w:rPr>
      </w:pPr>
    </w:p>
    <w:p>
      <w:pPr>
        <w:ind w:left="1540" w:right="5020" w:hanging="331"/>
        <w:spacing w:after="0" w:line="383" w:lineRule="auto"/>
        <w:tabs>
          <w:tab w:leader="none" w:pos="152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prepaid expenses set forth in the Galera disclosure schedule; </w:t>
      </w:r>
      <w:r>
        <w:rPr>
          <w:rFonts w:ascii="Times New Roman" w:cs="Times New Roman" w:eastAsia="Times New Roman" w:hAnsi="Times New Roman"/>
          <w:sz w:val="18"/>
          <w:szCs w:val="18"/>
          <w:i w:val="1"/>
          <w:iCs w:val="1"/>
          <w:u w:val="single" w:color="auto"/>
          <w:color w:val="auto"/>
        </w:rPr>
        <w:t>minus</w:t>
      </w:r>
    </w:p>
    <w:p>
      <w:pPr>
        <w:ind w:left="1540" w:right="80" w:hanging="331"/>
        <w:spacing w:after="0" w:line="282" w:lineRule="auto"/>
        <w:tabs>
          <w:tab w:leader="none" w:pos="1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mutually agreed estimated settlement amounts for any Transaction Litigation (as defined in the merger agreement) existing as of the closing (subject to a cap of $500,000 in the aggregate);</w:t>
      </w:r>
    </w:p>
    <w:p>
      <w:pPr>
        <w:spacing w:after="0" w:line="5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minus</w:t>
      </w:r>
    </w:p>
    <w:p>
      <w:pPr>
        <w:spacing w:after="0" w:line="132" w:lineRule="exact"/>
        <w:rPr>
          <w:rFonts w:ascii="Times New Roman" w:cs="Times New Roman" w:eastAsia="Times New Roman" w:hAnsi="Times New Roman"/>
          <w:sz w:val="18"/>
          <w:szCs w:val="18"/>
          <w:color w:val="auto"/>
        </w:rPr>
      </w:pPr>
    </w:p>
    <w:p>
      <w:pPr>
        <w:ind w:left="1540" w:hanging="331"/>
        <w:spacing w:after="0" w:line="281" w:lineRule="auto"/>
        <w:tabs>
          <w:tab w:leader="none" w:pos="15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all fees and expenses incurred by Obsidian associated with the filing, printing and mailing of this information statement/prospectus, financial printer and EDGARization expenses associated with the filing, printing and mailing thereof and other EDGARization expenses associated with SEC filings relating to the transactions contemplated by the merger agreement (excluding any fees and expenses of legal counsel, financial advisors and accountants), to the extent all such fees are paid by Obsidian;</w:t>
      </w:r>
    </w:p>
    <w:p>
      <w:pPr>
        <w:spacing w:after="0" w:line="54"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u w:val="single" w:color="auto"/>
          <w:color w:val="auto"/>
        </w:rPr>
        <w:t>plus</w:t>
      </w:r>
    </w:p>
    <w:p>
      <w:pPr>
        <w:spacing w:after="0" w:line="132" w:lineRule="exact"/>
        <w:rPr>
          <w:rFonts w:ascii="Times New Roman" w:cs="Times New Roman" w:eastAsia="Times New Roman" w:hAnsi="Times New Roman"/>
          <w:sz w:val="17"/>
          <w:szCs w:val="17"/>
          <w:color w:val="auto"/>
        </w:rPr>
      </w:pPr>
    </w:p>
    <w:p>
      <w:pPr>
        <w:ind w:left="1540" w:hanging="331"/>
        <w:spacing w:after="0" w:line="281" w:lineRule="auto"/>
        <w:tabs>
          <w:tab w:leader="none" w:pos="15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all fees and expenses incurred by Galera associated with the filing, printing and mailing of this information statement/prospectus, financial printer and EDGARization expenses associated with the filing, printing and mailing thereof and other EDGARization expenses associated with SEC filings relating to the transactions contemplated by the merger agreement (excluding any fees and expenses of legal counsel, financial advisors and accountants), to the extent all such fees are paid by Galera; and</w:t>
      </w:r>
    </w:p>
    <w:p>
      <w:pPr>
        <w:spacing w:after="0" w:line="54"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i w:val="1"/>
          <w:iCs w:val="1"/>
          <w:u w:val="single" w:color="auto"/>
          <w:color w:val="auto"/>
        </w:rPr>
        <w:t>plus</w:t>
      </w:r>
    </w:p>
    <w:p>
      <w:pPr>
        <w:spacing w:after="0" w:line="132"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Nasdaq fees associated with the Nasdaq listing application, to the extent all such fees are paid by Galera.</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For the avoidance of doubt, (1) cash and cash equivalents received in the concurrent financing will be excluded from the calculation of Galera net cash, (2) to the extent Galera has agreed any amounts in the definition of Galera net cash will be borne by a third party (including pursuant to existing contractual arrangements), such amounts shall not be deducted from the calculation Galera net cash, and (3) any Permitted Galera Bridge Financing shall not cause Galera net cash to exceed $1.8 million.</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Not less than ten business days prior to the anticipated date of the closing of the mergers as mutually agreed in good faith by Galera and Obsidian, Galera will deliver to Obsidian a net cash schedule setting forth, in reasonable detail, Galera’s good faith estimated calculation of Galera net cash as of the close of business on the closing date of the mergers, prepared and certified by Galera’s chief financial officer, together with the relevant work papers and back-up materials used or useful in preparing the net cash schedule as reasonably requested by Obsidian.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Within five business days after delivery of the net cash schedule (the last day of such period referred to as the “response date”), Obsidian will have the right to dispute any part of the net cash schedule by delivering to Galera a written notice identifying reasonable detail and, to the extent known, the nature and amounts of proposed revisions to the calculations contained in the net cash schedule. If Obsidian confirms in writing that it has no objections to the net cash schedule, or if it does not deliver a written notice disputing the net cash schedule, as of 5:00 p.m. New York City time, the calculations set forth in the net cash schedule shall be deemed to represent the Final Galera net cash calculation (“Final Galera net cash”).</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If Obsidian dispute the net cash schedule, the parties shall attempt in good faith to resolved the disputed items and negotiate an agreed-upon determination of Galera net cash. If the parties are unable to negotiate an agreed-upon determination of Net Cash or any component thereof within two calendar days after the delivery of Obsidian’s dispute notice, any remaining disagreements will be referred to an independent auditor of recognized national standing jointly selected by Galera and Obsidian. The determination of the amount of Galera net cash made by such accounting firm shall be final and binding on Galera and Obsidian.</w:t>
      </w:r>
    </w:p>
    <w:p>
      <w:pPr>
        <w:spacing w:after="0" w:line="183"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Galera’s net cash balance is subject to numerous factors, some of which are outside of Galera’s control. The actual amount of Galera net cash will depend significantly on the timing of the closing of the mergers. In addition, the closing of the mergers could be delayed if Galera and Obsidian are not able to agree upon the amount of Galera net cash at the Cash Determination Time.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No fractional shares of Parent common stock will be issued in connection with the mergers, and no certificates or scrip for any such fractional shares will be issued, with no cash being paid for any fractional share eliminated by such rounding. Any fractional shares of Parent common stock a holder of Galera common stock or Obsidian common stock would otherwise be entitled to receive will be aggregated together first prior to eliminating any remaining fractional share. Any remaining fractional share of Parent common stock will be rounded up to the nearest whole share.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Anticipated Post-Merger Parent Share Capitalization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Upon completion of the mergers, and assuming proceeds of the concurrent financing of $350.0 million and that Final Galera net cash equals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 million, it is expected that (a) former Galera securityholders (other than investors participating in the concurrent financing), will own 1.29%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issued and outstanding shares of Parent common stock, (b) former Obsidian securityholders will own 53.46% of the issued and outstanding shares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common stock, and (c) investors in the concurrent financing will own 45.25% of the issued and outstanding shares of Parent common stock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case on a fully-diluted basis, using the treasury stock method.</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Obsidian Options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At the Obsidian merger effective time, each Obsidian option outstanding and unexercised immediately prior to the Obsidian merger effective time will automatically be assumed and converted into an option to acquire, on the same terms and conditions (including the same vesting and exercisability terms and conditions as were applicable under the Obsidian Equity Plan and the applicable option agreement immediately prior to the Obsidian merger effective time), the number of shares of Parent common stock (the “Assumed Obsidian Option”) determined by multiplying the number of shares of Obsidian common stock subject to such Obsidian option by the Obsidian exchange ratio, rounded up to the nearest whole cent, at a per share exercise price determined by dividing the per share exercise price of such Obsidian Option immediately prior to the Obsidian merger effective time by the Obsidian Exchange Ratio, rounding up to the nearest whole cent.</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of the Obsidian merger effective time, Parent will assume the Obsidian Equity Plan; provided, further, that (i) the terms of the Assumed Obsidian Options shall be further amended as may be necessary to reflect such assumption and conversion of the Obsidian Options into Assumed Obsidian Options (such as by making any change in control or similar definition relate to Parent instead of Obsidian and having any provision that provides for the adjustment of Obsidian Options upon the occurrence of certain corporate events of Obsidian relate to similar corporate events of Parent instead); and (ii) the Parent Board or a committee thereof will succeed to the authority and responsibility of the Obsidian Board or any committee thereof with respect to each Assumed Obsidian Option.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Galera Options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Each outstanding Galera option with a per share exercise price less than the closing trading price of Galera common stock on the last trading day prior to the Galera merger effective time (“Galera ITM option”) immediately prior to the Galera merger effective time will automatically become fully vested and be converted, at the Galera merger effective time, into a net exercised share of Parent common stock determined by (a) multiplying the number of shares of Galera common stock subject to such Galera option immediately prior to the Galera merger effective time by the Galera exchange ratio, rounded down to the nearest whole number of shares and (b) reducing such number of shares of Parent common stock by the number of shares of Parent common stock with an aggregate value equal to (i) the sum of the total exercise price for such Galera option (determined by dividing the per share exercise price of such Galera option immediately prior to the Galera merger effective time by the Galera exchange ratio, rounding up to the nearest whole cent),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required withholding taxes required to be paid by Galera with respect to such net exercise,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(ii) the per share price of Parent common stock as of the Galera merger effective time; provided, that the net exercise of the Galera options will be made in a manner consistent with applicable law. For the avoidance of doubt, any shares issued upon vesting and conversion of the Galera ITM options will be eligible to receive one CVR (as described in the section titled “</w:t>
      </w:r>
      <w:r>
        <w:rPr>
          <w:rFonts w:ascii="Times New Roman" w:cs="Times New Roman" w:eastAsia="Times New Roman" w:hAnsi="Times New Roman"/>
          <w:sz w:val="18"/>
          <w:szCs w:val="18"/>
          <w:i w:val="1"/>
          <w:iCs w:val="1"/>
          <w:color w:val="auto"/>
        </w:rPr>
        <w:t>The Merger Agreement—Contingent Value Rights</w:t>
      </w:r>
      <w:r>
        <w:rPr>
          <w:rFonts w:ascii="Times New Roman" w:cs="Times New Roman" w:eastAsia="Times New Roman" w:hAnsi="Times New Roman"/>
          <w:sz w:val="18"/>
          <w:szCs w:val="18"/>
          <w:color w:val="auto"/>
        </w:rPr>
        <w:t>” below) for each outstanding share held.</w:t>
      </w:r>
    </w:p>
    <w:p>
      <w:pPr>
        <w:spacing w:after="0" w:line="192"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Each outstanding Galera option that is not a Galera ITM option immediately prior to the Galera merger effective time will be cancelled for no consideration.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Galera 2019 Employee Stock Purchase Plan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soon as reasonably practicable following the execution of the merger agreement, the Galera Board will adopt appropriate resolutions to provide that (a) no offering periods or purchase periods shall be commenced following or in addition to any offering period underway as of the date of the merger agreement under the Galera 2019 employee stock purchase plan (the “Galera ESPP”), (b) no payroll deductions or other contribution shall be made or effected after the current offering period with respect to the Galera ESPP and (c) each Galera ESPP participant’s accumulated contributions under the Galera ESPP shall be returned to the participant in accordance with the terms of the Galera ESPP.</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Contingent Value Rights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Prior to the Galera merger effective time (but after giving effect to the Galera preferred stock conversion), Galera will declare a distribution (the “pre-closing distribution”) to its common stockholders of record of the right to receive one CVR for each outstanding share of Galera common stock held by such stockholder as of the record date, each representing the right to receive contingent payments upon the occurrence of certain events set forth in, and subject to and in accordance with the terms and conditions of, the CVR Agreement, as described further in the section titled “</w:t>
      </w:r>
      <w:r>
        <w:rPr>
          <w:rFonts w:ascii="Times New Roman" w:cs="Times New Roman" w:eastAsia="Times New Roman" w:hAnsi="Times New Roman"/>
          <w:sz w:val="18"/>
          <w:szCs w:val="18"/>
          <w:i w:val="1"/>
          <w:iCs w:val="1"/>
          <w:color w:val="auto"/>
        </w:rPr>
        <w:t>Agreements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Merger—Contingent Value Rights Agreement</w:t>
      </w:r>
      <w:r>
        <w:rPr>
          <w:rFonts w:ascii="Times New Roman" w:cs="Times New Roman" w:eastAsia="Times New Roman" w:hAnsi="Times New Roman"/>
          <w:sz w:val="18"/>
          <w:szCs w:val="18"/>
          <w:color w:val="auto"/>
        </w:rPr>
        <w:t>” beginning on page 172 of this information statement/prospectus. The record date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pre-closing distribution shall be the close of business on the last business day prior to the day on which the Galera merger effective time occurs and the payment date for the pre-closing distribution shall be three business days after the Galera merger effective time. In connection with such distribution, Galera and Obsidian will cause the CVR agreement to be duly authorized, executed and delivered by Galera, Obsidian and Equiniti Trust Company, LLC (or such other nationally recognized rights agent agreed to between Galera and Obsidian).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Parent Equity Incentive Plan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Prior to the Galera merger effective time, Parent will use commercially reasonable efforts to cause the Parent Board to adopt the 2026 Equity Incentive Plan (the “2026 Plan”) and the 2026 Employee Stock Purchase Plan (the “2026 ESPP”), subject to the closing and effective as of the Galera merger effective time. Subject to approval thereof by the stockholders of Parent prior to the Galera merger effective time, Parent will file with the SEC a registration statement on Form S-8 (or any successor form), if available for use by Parent, relating to the shares of Parent common stock issuable with respect to the 2026 Plan and the 2026 ESPP (as applicable). For the avoidance of doubt, approval of the 2026 Plan and the 2026 ESPP are not conditions to the closing of the mergers.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Exchanging Shares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or prior to the closing date of the mergers, Galera and Obsidian will jointly select a reputable bank, transfer agent or trust company to act as exchange agent in the mergers. At each of the Obsidian merger effective time and the Galera merger effective time, Parent will deposit with the exchange agent evidence of book-entry shares representing the shares of Parent common stock issuable in exchange for shares of Obsidian common stock and Galera common stock, respectively. Promptly after the applicable effective time, the parties will cause the exchange agent to mail to each record holder of Obsidian common stock and Galera common stock whose shares were converted into the right to receive shares of Parent common stock (i) a letter of transmittal in customary form and containing such provisions as Parent may reasonably specify and (ii) instructions for effecting the surrender of such shares in exchange for book-entry shares of Parent common stock.</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No dividends or other distributions declared or made with respect to Parent common stock with a record date after the applicable effective time will be paid to the holder of any shares of Galera common stock or Obsidian common stock (as applicable) with respect to the shares of Parent common stock that such holder has the right to receive until such holder delivers a duly executed letter of transmittal (at which time, or if later, on the applicable payment date, such holder will be entitled, subject to the effect of applicable abandoned property, escheat or similar laws, to receive all such dividends and distributions, without interest).</w:t>
      </w:r>
    </w:p>
    <w:p>
      <w:pPr>
        <w:spacing w:after="0" w:line="183"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Any shares of Parent common stock deposited with the exchange agent that remain undistributed as of the date that is 180 days after the closing date will be delivered to Parent upon demand, and any holders who have not theretofore delivered a duly executed letter of transmittal will thereafter look only to Parent for satisfaction of their claims for Parent common stock and any dividends or distributions with respect thereto.</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Officers Following the Merger</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each of the directors and officers of Galera who will not continue as directors and officers of Galera following the Galera merger effective time will resign effective as of the Galera merger effective time. Each of the directors and officers of Obsidian who will not continue as directors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officers of Obsidian following the Obsidian merger effective time will resign effective as of the Obsidian merger effective time.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Effective as of the Obsidian merger effective time, the Parent Board will consist of six individuals selected by the Obsidian Board, and Parent will take all necessary action to appoint the officers of Obsidian to become equivalent officers of Parent until the earlier of their resignation or removal or their respective successors are duly elected or appointed and qualified, as the case may be.</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and after the Obsidian merger effective time, the board of directors of the Obsidian Merger Surviving Corporation will consist of individuals designated by Obsidian, and the parties will take all actions necessary so that the officers of Obsidian immediately prior to the Obsidian merger effective time shall be the officers of the Obsidian Merger Surviving Corporation until the earlier of their resignation or removal or their respective successors are duly elected or appointed and qualified, as the case may be.</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From and after the Galera merger effective time, the board of directors of the Galera Merger Surviving Corporation will consist of individuals designated by Obsidian, and the parties will take all actions necessary so that the officers of Obsidian immediately prior to the Galera merger effective time shall be the officers of the Galera Merger Surviving Corporation until the earlier of their resignation or removal or their respective successors are duly elected or appointed and qualified, as the case may be.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the Certificate of Incorporation of Parent</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Parent agreed to amend its certificate of incorporation at the Galera merger effective time to change the name of Parent to “Obsidian Therapeutics, Inc.” and make any other changes as are agreeable to Obsidian.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Galera and Obsidian for a transaction of this type relating to, among other things:</w:t>
      </w:r>
    </w:p>
    <w:p>
      <w:pPr>
        <w:spacing w:after="0" w:line="67" w:lineRule="exact"/>
        <w:rPr>
          <w:sz w:val="20"/>
          <w:szCs w:val="20"/>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and subsidiaries;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binding nature of the merger agreement;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vote;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non-contravention and consents;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changes;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and leasehold;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agreements;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permits and restrictions;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and orders;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hanging="331"/>
        <w:spacing w:after="0"/>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and labor matters and benefit plans;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affiliates;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financial advisors;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w:t>
      </w:r>
    </w:p>
    <w:p>
      <w:pPr>
        <w:spacing w:after="0" w:line="225"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Galera made additional representations and warranties relating to, among other things, SEC filings, absence of certain agreements, the valid issuance of Galera common stock in connection with the mergers and no bad actors, and the concurrent financing. Obsidian made additional representations and warranties relating to contracts and commitments.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Parent made customary representations and warranties relating to:</w:t>
      </w:r>
    </w:p>
    <w:p>
      <w:pPr>
        <w:spacing w:after="0" w:line="131" w:lineRule="exact"/>
        <w:rPr>
          <w:sz w:val="20"/>
          <w:szCs w:val="20"/>
          <w:color w:val="auto"/>
        </w:rPr>
      </w:pPr>
    </w:p>
    <w:p>
      <w:pPr>
        <w:ind w:left="1540" w:hanging="331"/>
        <w:spacing w:after="0"/>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authority and binding nature of the merger agreement;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vote of parent stockholders and the required approval;</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agreements;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ownership;</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information.</w:t>
      </w:r>
    </w:p>
    <w:p>
      <w:pPr>
        <w:spacing w:after="0" w:line="225"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representations and warranties are, in many respects, qualified by materiality and knowledge, and will not survive the closing of the mergers; however, the accuracy of such representations and warranties is a condition to the respective obligations of Obsidian, Galera and Parent to consummate the mergers.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 Conduct of Business Pending the Mergers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Each of Galera, Parent and Obsidian has agreed that until the earlier of the Galera merger effective time and the termination of the merger agreement, except as required by applicable law, as otherwise provided in the merger agreement and the transactions contemplated thereby or with Galera’s or Obsidian’s (as applicable) prior written consent (not to be unreasonably withheld, conditioned or delayed), each party will, and will cause its subsidiaries to, use their commercially reasonable efforts to conduct its business and operations in the ordinary course of business and consistent with past practice and in material compliance with applicable law and the requirements of all contracts that constitute material contracts. Without limiting the generality of the foregoing, each of Galera, Parent and Obsidian has agreed, among other things, that it shall not, without the prior written consent of the other parties:</w:t>
      </w:r>
    </w:p>
    <w:p>
      <w:pPr>
        <w:spacing w:after="0" w:line="94" w:lineRule="exact"/>
        <w:rPr>
          <w:sz w:val="20"/>
          <w:szCs w:val="20"/>
          <w:color w:val="auto"/>
        </w:rPr>
      </w:pPr>
    </w:p>
    <w:p>
      <w:pPr>
        <w:ind w:left="1540" w:right="120" w:hanging="331"/>
        <w:spacing w:after="0" w:line="261" w:lineRule="auto"/>
        <w:tabs>
          <w:tab w:leader="none" w:pos="1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its organizational documents (subject, in the case of Galera, to specified exceptions for the Annual Meeting Galera Stockholder Vote, the Galera Reverse Stock Split and the Galera Authorized Common Stock Increase) or adopt, approve, consent to or propose any change in the organizational documents of any of its subsidiaries (other than in connection with actions contemplated by the merger agreement);</w:t>
      </w:r>
    </w:p>
    <w:p>
      <w:pPr>
        <w:spacing w:after="0" w:line="85"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material assets or any interests therein, except pursuant to existing contracts, for sales or licenses to customers, or otherwise in the ordinary course of business;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5"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660" w:hanging="331"/>
        <w:spacing w:after="0" w:line="282" w:lineRule="auto"/>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with respect to any equity interests (other than certain permitted conversions contemplated under the merger agreement);</w:t>
      </w:r>
    </w:p>
    <w:p>
      <w:pPr>
        <w:spacing w:after="0" w:line="67" w:lineRule="exact"/>
        <w:rPr>
          <w:rFonts w:ascii="Times New Roman" w:cs="Times New Roman" w:eastAsia="Times New Roman" w:hAnsi="Times New Roman"/>
          <w:sz w:val="18"/>
          <w:szCs w:val="18"/>
          <w:color w:val="auto"/>
        </w:rPr>
      </w:pPr>
    </w:p>
    <w:p>
      <w:pPr>
        <w:ind w:left="1540" w:right="420" w:hanging="331"/>
        <w:spacing w:after="0" w:line="282" w:lineRule="auto"/>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guarantee or repay (other than any mandatory repayments) any indebtedness, other than the incurrence of indebtedness in the ordinary course of business;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or dispose of any capital stock or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any encumbrance on any material asset (other than permitted encumbrances);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 other than in the ordinary course of business;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amend, modify or terminate certain specified material contracts, subject to ordinary-course exceptions;</w:t>
      </w:r>
    </w:p>
    <w:p>
      <w:pPr>
        <w:spacing w:after="0" w:line="130"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compensation or benefits for employees (other than in the ordinary course of business) or take certain other restricted actions with respect to employees or employee plans;</w:t>
      </w:r>
    </w:p>
    <w:p>
      <w:pPr>
        <w:spacing w:after="0" w:line="67"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enter into, amend or terminate any collective bargaining agreement or contract with any labor union, works council or labor organization;</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material legal proceeding;</w:t>
      </w:r>
    </w:p>
    <w:p>
      <w:pPr>
        <w:spacing w:after="0" w:line="130" w:lineRule="exact"/>
        <w:rPr>
          <w:rFonts w:ascii="Times New Roman" w:cs="Times New Roman" w:eastAsia="Times New Roman" w:hAnsi="Times New Roman"/>
          <w:sz w:val="18"/>
          <w:szCs w:val="18"/>
          <w:color w:val="auto"/>
        </w:rPr>
      </w:pPr>
    </w:p>
    <w:p>
      <w:pPr>
        <w:ind w:left="1540" w:right="280" w:hanging="331"/>
        <w:spacing w:after="0" w:line="266" w:lineRule="auto"/>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following the Closing;</w:t>
      </w:r>
    </w:p>
    <w:p>
      <w:pPr>
        <w:spacing w:after="0" w:line="81" w:lineRule="exact"/>
        <w:rPr>
          <w:rFonts w:ascii="Times New Roman" w:cs="Times New Roman" w:eastAsia="Times New Roman" w:hAnsi="Times New Roman"/>
          <w:sz w:val="18"/>
          <w:szCs w:val="18"/>
          <w:color w:val="auto"/>
        </w:rPr>
      </w:pPr>
    </w:p>
    <w:p>
      <w:pPr>
        <w:ind w:left="1540" w:right="180" w:hanging="331"/>
        <w:spacing w:after="0" w:line="282" w:lineRule="auto"/>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that would reasonably be expected to prevent the mergers from qualifying for the Intended Tax Treatment;</w:t>
      </w:r>
    </w:p>
    <w:p>
      <w:pPr>
        <w:spacing w:after="0" w:line="67" w:lineRule="exact"/>
        <w:rPr>
          <w:rFonts w:ascii="Times New Roman" w:cs="Times New Roman" w:eastAsia="Times New Roman" w:hAnsi="Times New Roman"/>
          <w:sz w:val="18"/>
          <w:szCs w:val="18"/>
          <w:color w:val="auto"/>
        </w:rPr>
      </w:pPr>
    </w:p>
    <w:p>
      <w:pPr>
        <w:ind w:left="1540" w:right="440" w:hanging="331"/>
        <w:spacing w:after="0" w:line="282" w:lineRule="auto"/>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any method of financial accounting, except for any such change required by reason of a change in GAAP or other applicable financial accounting standards;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Non-Solicitation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Each of Galera and Obsidian has agreed that, during the pre-closing period, neither it nor any of its subsidiaries will, nor will either party or any of its subsidiaries authorize any of the directors, officers, employees, agents, attorneys, accountants, investment bankers, advisors or representatives retained by it or any of its subsidiaries to, directly or indirectly:</w:t>
      </w:r>
    </w:p>
    <w:p>
      <w:pPr>
        <w:spacing w:after="0" w:line="81" w:lineRule="exact"/>
        <w:rPr>
          <w:sz w:val="20"/>
          <w:szCs w:val="20"/>
          <w:color w:val="auto"/>
        </w:rPr>
      </w:pPr>
    </w:p>
    <w:p>
      <w:pPr>
        <w:ind w:left="1540" w:hanging="331"/>
        <w:spacing w:after="0" w:line="266" w:lineRule="auto"/>
        <w:tabs>
          <w:tab w:leader="none" w:pos="1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assist, initiate, engage or knowingly encourage, induce or facilitate the communication, making, submission or announcement of any Acquisition Proposal or Acquisition Inquiry or take any action that could reasonably be expected to lead to an Acquisition Proposal or Acquisition Inquiry;</w:t>
      </w:r>
    </w:p>
    <w:p>
      <w:pPr>
        <w:spacing w:after="0" w:line="81" w:lineRule="exact"/>
        <w:rPr>
          <w:rFonts w:ascii="Times New Roman" w:cs="Times New Roman" w:eastAsia="Times New Roman" w:hAnsi="Times New Roman"/>
          <w:sz w:val="18"/>
          <w:szCs w:val="18"/>
          <w:color w:val="auto"/>
        </w:rPr>
      </w:pPr>
    </w:p>
    <w:p>
      <w:pPr>
        <w:ind w:left="1540" w:right="440" w:hanging="331"/>
        <w:spacing w:after="0" w:line="282" w:lineRule="auto"/>
        <w:tabs>
          <w:tab w:leader="none" w:pos="1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such party to any person (other than Obsidian or Galera) in connection with or in response to an Acquisition Proposal or Acquisition Inquiry;</w:t>
      </w:r>
    </w:p>
    <w:p>
      <w:pPr>
        <w:spacing w:after="0" w:line="67" w:lineRule="exact"/>
        <w:rPr>
          <w:rFonts w:ascii="Times New Roman" w:cs="Times New Roman" w:eastAsia="Times New Roman" w:hAnsi="Times New Roman"/>
          <w:sz w:val="18"/>
          <w:szCs w:val="18"/>
          <w:color w:val="auto"/>
        </w:rPr>
      </w:pPr>
    </w:p>
    <w:p>
      <w:pPr>
        <w:ind w:left="1540" w:right="80" w:hanging="331"/>
        <w:spacing w:after="0" w:line="282" w:lineRule="auto"/>
        <w:tabs>
          <w:tab w:leader="none" w:pos="1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encourage or participate in discussions or negotiations with any person or group with respect to any Acquisition Proposal or Acquisition Inquiry;</w:t>
      </w:r>
    </w:p>
    <w:p>
      <w:pPr>
        <w:spacing w:after="0" w:line="67" w:lineRule="exact"/>
        <w:rPr>
          <w:rFonts w:ascii="Times New Roman" w:cs="Times New Roman" w:eastAsia="Times New Roman" w:hAnsi="Times New Roman"/>
          <w:sz w:val="18"/>
          <w:szCs w:val="18"/>
          <w:color w:val="auto"/>
        </w:rPr>
      </w:pPr>
    </w:p>
    <w:p>
      <w:pPr>
        <w:ind w:left="1540" w:right="520" w:hanging="331"/>
        <w:spacing w:after="0" w:line="282" w:lineRule="auto"/>
        <w:tabs>
          <w:tab w:leader="none" w:pos="1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endorse or recommend any Acquisition Proposal (subject to a Board Adverse Recommendation Change as described further below);</w:t>
      </w:r>
    </w:p>
    <w:p>
      <w:pPr>
        <w:spacing w:after="0" w:line="67"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execute or enter into any letter of intent, agreement in principle, acquisition agreement or any other contract contemplating or otherwise relating to any Acquisition Transaction;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propose to do any of the foregoing.</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Upon execution of the merger agreement, each party was required to immediately cease and terminate any existing discussions, negotiations and communications with any person relating to any Acquisition Proposal or Acquisition Inquiry and request the destruction or return of any nonpublic information provided to such person. If a party or any of its representatives receives an unsolicited Acquisition Proposal or Acquisition Inquiry, such party must promptly (and in no event later than one business day) notify the other party in writing, including the identity of the person making the proposal and a copy or written summary of its terms.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affords Galera certain fiduciary exceptions to the non-solicitation provisions to allow the Galera Board to consider a Superior Offer under certain circumstances, including that the Galera Board determines in good faith, after consultation with its financial advisors and outside legal counsel, that such Acquisition Proposal constitutes or is reasonably likely to result in a Superior Offer, subject to certain conditions set forth in the merger agreement, including providing prompt notice to Obsidian and furnishing any non-public information provided to the third party to Obsidian.</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Obsidian also has a fiduciary exception allowing it to furnish nonpublic information and enter into discussions with third parties regarding unsolicited Acquisition Proposals under certain circumstances, including that the Obsidian Board determines in good faith that such proposal constitutes or is reasonably likely to result in a Superior Offer and that the failure to take such action would be inconsistent with its fiduciary duties, subject to compliance with notice and other requirements in the merger agreement.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Adverse Recommendation Change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Galera and Obsidian have agreed and, with respect to Galera, subject to certain specified exceptions described in the merger agreement, that their boards of directors may not take any of the following actions:</w:t>
      </w:r>
    </w:p>
    <w:p>
      <w:pPr>
        <w:spacing w:after="0" w:line="67" w:lineRule="exact"/>
        <w:rPr>
          <w:sz w:val="20"/>
          <w:szCs w:val="20"/>
          <w:color w:val="auto"/>
        </w:rPr>
      </w:pPr>
    </w:p>
    <w:p>
      <w:pPr>
        <w:ind w:left="1540" w:right="220" w:hanging="331"/>
        <w:spacing w:after="0" w:line="282" w:lineRule="auto"/>
        <w:tabs>
          <w:tab w:leader="none" w:pos="1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 amend, withdraw or modify (or publicly propose to withhold, amend, withdraw or modify) the recommendation of their boards of directors in a manner adverse to the other party;</w:t>
      </w:r>
    </w:p>
    <w:p>
      <w:pPr>
        <w:spacing w:after="0" w:line="67" w:lineRule="exact"/>
        <w:rPr>
          <w:rFonts w:ascii="Times New Roman" w:cs="Times New Roman" w:eastAsia="Times New Roman" w:hAnsi="Times New Roman"/>
          <w:sz w:val="18"/>
          <w:szCs w:val="18"/>
          <w:color w:val="auto"/>
        </w:rPr>
      </w:pPr>
    </w:p>
    <w:p>
      <w:pPr>
        <w:ind w:left="1540" w:right="560" w:hanging="331"/>
        <w:spacing w:after="0" w:line="282" w:lineRule="auto"/>
        <w:tabs>
          <w:tab w:leader="none" w:pos="1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have any committee of their boards of directors resolve, to withdraw or modify their recommendation in a manner adverse to the other party; or</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approve or recommend (or publicly propose to adopt, approve or recommend) any Acquisition Proposal.</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However, at any time prior to receipt of the Required Galera Stockholder Approval, if Galera has received a bona fide, unsolicited written Superior Offer or as a result of a material development or change in circumstances unrelated to an Acquisition Proposal that occurs after the date of the merger agreement and affects the business, assets or operations of Galera, the Galera Board may make a Galera Board Adverse Recommendation Change, subject to compliance with the notice and negotiation procedures set forth in the merger agreement, including providing Obsidian written notice at least four business days in advance of such change (the “Galera notice period”), which notice must include a description in reasonable detail of the reasons for such change and written copies of any relevant proposed transaction agreements.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During the Galera notice period, Obsidian is entitled to deliver counterproposals and Galera must negotiate with Obsidian in good faith to make adjustments to the terms of the merger agreement so that the applicable Acquisition Proposal ceases to constitute a Superior Offer. In the event of any material amendment to any Superior Offer, Galera is required to provide Obsidian with notice of such material amendment and the Galera Notice Period will be extended, if applicable, to ensure that at least two business days remain following such notification.</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Similarly, at any time prior to obtaining the Required Obsidian Stockholder Approval, if Obsidian receives a bona fide, unsolicited written Superior Offer or as a result of a material development or change in circumstances unrelated to an Acquisition Proposal that occurs after the date of the merger agreement and affects the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assets or operations of Obsidian, the Obsidian Board may make an Obsidian Board Adverse Recommendation Change, subject to compliance with substantially similar notice and negotiation procedures, including providing Galera written notice at least four business days in advance of such change (the “Obsidian notice period”), which notice must include a description in reasonable detail of the reasons for such change and written copies of any relevant proposed transaction agreements.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During the Obsidian Notice Period, Galera is entitled to deliver counterproposals and Obsidian must negotiate with Galera in good faith to make adjustments to the terms of the merger agreement so that the applicable Acquisition Proposal ceases to constitute a Superior Offer. In the event of any material amendment to any Superior Offer, Obsidian is required to provide Galera with notice of such material amendment and the Obsidian Notice Period will be extended, if applicable, to ensure that at least two business days remain following such notification.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Mutual Conditions to Completion of the Mergers</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Each party’s obligation to effect the mergers and otherwise consummate the transactions contemplated under the merger agreement is subject to the satisfaction or, to the extent permitted by applicable law, the written waiver by each of the parties, at or prior to the completion of the mergers, of each of the following conditions:</w:t>
      </w:r>
    </w:p>
    <w:p>
      <w:pPr>
        <w:spacing w:after="0" w:line="81" w:lineRule="exact"/>
        <w:rPr>
          <w:sz w:val="20"/>
          <w:szCs w:val="20"/>
          <w:color w:val="auto"/>
        </w:rPr>
      </w:pPr>
    </w:p>
    <w:p>
      <w:pPr>
        <w:jc w:val="both"/>
        <w:ind w:left="1540" w:hanging="331"/>
        <w:spacing w:after="0" w:line="289" w:lineRule="auto"/>
        <w:tabs>
          <w:tab w:leader="none" w:pos="154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temporary restraining order, preliminary or permanent injunction or other order preventing the consummation of the transactions contemplated by the merger agreement will have been issued by any court of competent jurisdiction or other governmental authority and remain in effect, and there will not be any law which has the effect of making the consummation of the transactions illegal;</w:t>
      </w:r>
    </w:p>
    <w:p>
      <w:pPr>
        <w:spacing w:after="0" w:line="63" w:lineRule="exact"/>
        <w:rPr>
          <w:rFonts w:ascii="Times New Roman" w:cs="Times New Roman" w:eastAsia="Times New Roman" w:hAnsi="Times New Roman"/>
          <w:sz w:val="17"/>
          <w:szCs w:val="17"/>
          <w:color w:val="auto"/>
        </w:rPr>
      </w:pPr>
    </w:p>
    <w:p>
      <w:pPr>
        <w:ind w:left="1540" w:right="500" w:hanging="331"/>
        <w:spacing w:after="0" w:line="282" w:lineRule="auto"/>
        <w:tabs>
          <w:tab w:leader="none" w:pos="1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will have obtained the Required Galera Stockholder Approval and Obsidian will have obtained the Required Obsidian Stockholder Approval;</w:t>
      </w:r>
    </w:p>
    <w:p>
      <w:pPr>
        <w:spacing w:after="0" w:line="67" w:lineRule="exact"/>
        <w:rPr>
          <w:rFonts w:ascii="Times New Roman" w:cs="Times New Roman" w:eastAsia="Times New Roman" w:hAnsi="Times New Roman"/>
          <w:sz w:val="18"/>
          <w:szCs w:val="18"/>
          <w:color w:val="auto"/>
        </w:rPr>
      </w:pPr>
    </w:p>
    <w:p>
      <w:pPr>
        <w:ind w:left="1540" w:right="440" w:hanging="331"/>
        <w:spacing w:after="0" w:line="282" w:lineRule="auto"/>
        <w:tabs>
          <w:tab w:leader="none" w:pos="1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Parent common stock to be issued in the mergers will have been approved for listing (subject to official notice of issuance) on Nasdaq;</w:t>
      </w:r>
    </w:p>
    <w:p>
      <w:pPr>
        <w:spacing w:after="0" w:line="67" w:lineRule="exact"/>
        <w:rPr>
          <w:rFonts w:ascii="Times New Roman" w:cs="Times New Roman" w:eastAsia="Times New Roman" w:hAnsi="Times New Roman"/>
          <w:sz w:val="18"/>
          <w:szCs w:val="18"/>
          <w:color w:val="auto"/>
        </w:rPr>
      </w:pPr>
    </w:p>
    <w:p>
      <w:pPr>
        <w:ind w:left="1540" w:right="240" w:hanging="331"/>
        <w:spacing w:after="0" w:line="261" w:lineRule="auto"/>
        <w:tabs>
          <w:tab w:leader="none" w:pos="1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agreement will be in full force and effect and not subject to any termination, rescission or material adverse modification, and all conditions to the funding thereunder will have been satisfied or waived (other than those to be satisfied at closing) and cash proceeds of not less than the Concurrent PIPE Financing Amount will have been received by Galera, or will be received by Galera substantially simultaneously with the closing; and</w:t>
      </w:r>
    </w:p>
    <w:p>
      <w:pPr>
        <w:spacing w:after="0" w:line="85"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will have become effective in accordance with the Securities Act and not be subject to any stop order or proceeding seeking a stop order that has not been withdrawn.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Obligations of Obsidian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obligation of Obsidian to complete the mergers is subject to the satisfaction or waiver of certain additional conditions, including:</w:t>
      </w:r>
    </w:p>
    <w:p>
      <w:pPr>
        <w:spacing w:after="0" w:line="131" w:lineRule="exact"/>
        <w:rPr>
          <w:sz w:val="20"/>
          <w:szCs w:val="20"/>
          <w:color w:val="auto"/>
        </w:rPr>
      </w:pPr>
    </w:p>
    <w:p>
      <w:pPr>
        <w:ind w:left="1540" w:right="100" w:hanging="331"/>
        <w:spacing w:after="0" w:line="266" w:lineRule="auto"/>
        <w:tabs>
          <w:tab w:leader="none" w:pos="1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Galera’s Fundamental Representations being true, correct and complete in all material respects, except to the extent such representations and warranties are specifically made as of a particular date (in which case such representations and warranties shall be true and correct as of such date);</w:t>
      </w:r>
    </w:p>
    <w:p>
      <w:pPr>
        <w:spacing w:after="0" w:line="79" w:lineRule="exact"/>
        <w:rPr>
          <w:rFonts w:ascii="Times New Roman" w:cs="Times New Roman" w:eastAsia="Times New Roman" w:hAnsi="Times New Roman"/>
          <w:sz w:val="18"/>
          <w:szCs w:val="18"/>
          <w:color w:val="auto"/>
        </w:rPr>
      </w:pPr>
    </w:p>
    <w:p>
      <w:pPr>
        <w:ind w:left="1540" w:right="200" w:hanging="331"/>
        <w:spacing w:after="0" w:line="267" w:lineRule="auto"/>
        <w:tabs>
          <w:tab w:leader="none" w:pos="1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Galera’s Capitalization Representations being true, correct and complete in all respects,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to the extent such representations and warranties are specifically made as of a particular date (in which case such representations and warranties shall be true and correct as of such date), and to the extent contingent on stockholder approval;</w:t>
      </w:r>
    </w:p>
    <w:p>
      <w:pPr>
        <w:spacing w:after="0" w:line="80"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being true and correct except where the failure to be true and correct would not reasonably be expected to have a Galera Material Adverse Effect or to the extent such</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60"/>
          </w:cols>
          <w:pgMar w:left="320" w:top="455" w:right="5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40"/>
        <w:spacing w:after="0" w:line="282" w:lineRule="auto"/>
        <w:rPr>
          <w:sz w:val="20"/>
          <w:szCs w:val="20"/>
          <w:color w:val="auto"/>
        </w:rPr>
      </w:pPr>
      <w:r>
        <w:rPr>
          <w:rFonts w:ascii="Times New Roman" w:cs="Times New Roman" w:eastAsia="Times New Roman" w:hAnsi="Times New Roman"/>
          <w:sz w:val="18"/>
          <w:szCs w:val="18"/>
          <w:color w:val="auto"/>
        </w:rPr>
        <w:t>representations and warranties are specifically made as of a particular date (in which case such representations and warranties shall be true and correct as of such date);</w:t>
      </w:r>
    </w:p>
    <w:p>
      <w:pPr>
        <w:spacing w:after="0" w:line="67" w:lineRule="exact"/>
        <w:rPr>
          <w:sz w:val="20"/>
          <w:szCs w:val="20"/>
          <w:color w:val="auto"/>
        </w:rPr>
      </w:pPr>
    </w:p>
    <w:p>
      <w:pPr>
        <w:ind w:left="1540" w:right="40" w:hanging="331"/>
        <w:spacing w:after="0" w:line="282" w:lineRule="auto"/>
        <w:tabs>
          <w:tab w:leader="none" w:pos="1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Galera, Parent, Merger Sub 1 and Merger Sub 2 in all material respects of all covenants and agreements required to be performed at or prior to the closing;</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Galera Material Adverse Effect since the date of the merger agreement that is continuing;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Galera of a closing certificate signed by an executive officer;</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common stock will have been continually listed on the OTCQB from the date of the merger agreement through the closing date; and</w:t>
      </w:r>
    </w:p>
    <w:p>
      <w:pPr>
        <w:spacing w:after="0" w:line="67" w:lineRule="exact"/>
        <w:rPr>
          <w:rFonts w:ascii="Times New Roman" w:cs="Times New Roman" w:eastAsia="Times New Roman" w:hAnsi="Times New Roman"/>
          <w:sz w:val="18"/>
          <w:szCs w:val="18"/>
          <w:color w:val="auto"/>
        </w:rPr>
      </w:pPr>
    </w:p>
    <w:p>
      <w:pPr>
        <w:jc w:val="both"/>
        <w:ind w:left="1540" w:right="80" w:hanging="331"/>
        <w:spacing w:after="0" w:line="312" w:lineRule="auto"/>
        <w:tabs>
          <w:tab w:leader="none" w:pos="1540"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conditions to the Galera merger being satisfied or waived (other than those to be satisfied at closing) and the Galera certificate of merger having been filed by Parent (or will be filed by Parent substantially simultaneously with the Obsidian certificate of merger).</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Obligations of Galera, Parent, Merger Sub 1 and Merger Sub 2</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obligation of Galera, Parent, Merger Sub 1 and Merger Sub 2 to complete the mergers is subject to the satisfaction or waiver of conditions including:</w:t>
      </w:r>
    </w:p>
    <w:p>
      <w:pPr>
        <w:spacing w:after="0" w:line="67" w:lineRule="exact"/>
        <w:rPr>
          <w:sz w:val="20"/>
          <w:szCs w:val="20"/>
          <w:color w:val="auto"/>
        </w:rPr>
      </w:pPr>
    </w:p>
    <w:p>
      <w:pPr>
        <w:ind w:left="1540" w:right="160" w:hanging="331"/>
        <w:spacing w:after="0" w:line="266" w:lineRule="auto"/>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Obsidian’s Fundamental Representations being true, complete and correct in all material respects, except to the extent such representations and warranties are specifically made as of a particular date (in which case such representations and warranties shall be true and correct as of such date);</w:t>
      </w:r>
    </w:p>
    <w:p>
      <w:pPr>
        <w:spacing w:after="0" w:line="79" w:lineRule="exact"/>
        <w:rPr>
          <w:rFonts w:ascii="Times New Roman" w:cs="Times New Roman" w:eastAsia="Times New Roman" w:hAnsi="Times New Roman"/>
          <w:sz w:val="18"/>
          <w:szCs w:val="18"/>
          <w:color w:val="auto"/>
        </w:rPr>
      </w:pPr>
    </w:p>
    <w:p>
      <w:pPr>
        <w:ind w:left="1540" w:right="100" w:hanging="331"/>
        <w:spacing w:after="0" w:line="267" w:lineRule="auto"/>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Obsidian’s Capitalization Representations being true, correct and complete in all respects, except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to the extent such representations and warranties are specifically made as of a particular date (in which case such representations and warranties shall be true and correct as of such date), and to the extent contingent on stockholder approval;</w:t>
      </w:r>
    </w:p>
    <w:p>
      <w:pPr>
        <w:spacing w:after="0" w:line="80"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representations being true and correct except where the failure to be true and correct would not reasonably be expected to have a Obsidian Material Adverse Effect or to the extent such representations and warranties are specifically made as of a particular date (in which case such representations and warranties shall be true and correct as of such date);</w:t>
      </w:r>
    </w:p>
    <w:p>
      <w:pPr>
        <w:spacing w:after="0" w:line="81" w:lineRule="exact"/>
        <w:rPr>
          <w:rFonts w:ascii="Times New Roman" w:cs="Times New Roman" w:eastAsia="Times New Roman" w:hAnsi="Times New Roman"/>
          <w:sz w:val="18"/>
          <w:szCs w:val="18"/>
          <w:color w:val="auto"/>
        </w:rPr>
      </w:pPr>
    </w:p>
    <w:p>
      <w:pPr>
        <w:ind w:left="1540" w:right="420" w:hanging="331"/>
        <w:spacing w:after="0" w:line="282" w:lineRule="auto"/>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by Obsidian in all material respects of all covenants and agreements required to be performed at or prior to the closing;</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 Obsidian Material Adverse Effect since the date of the merger agreement that is continuing;</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Obsidian of a closing certificate signed by an executive officer;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Obsidian lock-up agreements continuing to be in full force and effect; and</w:t>
      </w:r>
    </w:p>
    <w:p>
      <w:pPr>
        <w:spacing w:after="0" w:line="130"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to the Obsidian merger being satisfied or waived (other than those to be satisfied at closing) and the Obsidian certificate of merger having been filed by Parent (or will be filed by Parent substantially simultaneously with the Galera certificate of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Definition of Material Adverse Effect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Many of Galera’s and Obsidian’s representations and warranties are qualified by a material adverse effect standard. For purposes of the merger agreement, a “Galera Material Adverse Effect” or “Obsidian Material Adverse Effect,” as applicable, is defined to mean any effect that has had or would reasonably be expected to have a material adverse effect on the business, assets, liabilities, financial condition or results of operations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such party and its subsidiaries, taken as a whole. However, effects arising or resulting from the following will not be taken into account in determining whether there has been a material adverse effect:</w:t>
      </w:r>
    </w:p>
    <w:p>
      <w:pPr>
        <w:spacing w:after="0" w:line="67" w:lineRule="exact"/>
        <w:rPr>
          <w:sz w:val="20"/>
          <w:szCs w:val="20"/>
          <w:color w:val="auto"/>
        </w:rPr>
      </w:pPr>
    </w:p>
    <w:p>
      <w:pPr>
        <w:ind w:left="1540" w:right="280" w:hanging="331"/>
        <w:spacing w:after="0" w:line="282" w:lineRule="auto"/>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pendency or consummation of the transactions contemplated by the merger agreement, including any adverse change in customer, supplier, governmental, landlord, employee or similar relationships resulting therefrom;</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or the failure to take any action, that is expressly required under the terms of the merger agreement;</w:t>
      </w:r>
    </w:p>
    <w:p>
      <w:pPr>
        <w:spacing w:after="0" w:line="130"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any compliance with, GAAP or applicable law or the interpretation thereof;</w:t>
      </w:r>
    </w:p>
    <w:p>
      <w:pPr>
        <w:spacing w:after="0" w:line="130" w:lineRule="exact"/>
        <w:rPr>
          <w:rFonts w:ascii="Times New Roman" w:cs="Times New Roman" w:eastAsia="Times New Roman" w:hAnsi="Times New Roman"/>
          <w:sz w:val="18"/>
          <w:szCs w:val="18"/>
          <w:color w:val="auto"/>
        </w:rPr>
      </w:pPr>
    </w:p>
    <w:p>
      <w:pPr>
        <w:ind w:left="1540" w:right="340" w:hanging="331"/>
        <w:spacing w:after="0" w:line="282" w:lineRule="auto"/>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financial and capital market conditions, including any instability in the banking sector, in each case generally affecting the industries in which such party and its subsidiaries operate;</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Galera, any change in the stock price or trading volume of Galera common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cash position of such party resulting from operations in the ordinary course of business; or</w:t>
      </w:r>
    </w:p>
    <w:p>
      <w:pPr>
        <w:spacing w:after="0" w:line="130" w:lineRule="exact"/>
        <w:rPr>
          <w:rFonts w:ascii="Times New Roman" w:cs="Times New Roman" w:eastAsia="Times New Roman" w:hAnsi="Times New Roman"/>
          <w:sz w:val="18"/>
          <w:szCs w:val="18"/>
          <w:color w:val="auto"/>
        </w:rPr>
      </w:pPr>
    </w:p>
    <w:p>
      <w:pPr>
        <w:ind w:left="1540" w:right="220" w:hanging="331"/>
        <w:spacing w:after="0" w:line="282" w:lineRule="auto"/>
        <w:tabs>
          <w:tab w:leader="none" w:pos="15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either party to meet projections, business plans or forecasts (provided that the underlying cause of such failure may still be considered).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and Termination Fees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the merger agreement</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closing, whether before or after the required stockholder approvals have been obtained by:</w:t>
      </w:r>
    </w:p>
    <w:p>
      <w:pPr>
        <w:spacing w:after="0" w:line="67" w:lineRule="exact"/>
        <w:rPr>
          <w:sz w:val="20"/>
          <w:szCs w:val="20"/>
          <w:color w:val="auto"/>
        </w:rPr>
      </w:pPr>
    </w:p>
    <w:p>
      <w:pPr>
        <w:ind w:left="1540" w:hanging="439"/>
        <w:spacing w:after="0"/>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Galera and Obsidian;</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Galera or Obsidian if:</w:t>
      </w:r>
    </w:p>
    <w:p>
      <w:pPr>
        <w:spacing w:after="0" w:line="130" w:lineRule="exact"/>
        <w:rPr>
          <w:rFonts w:ascii="Times New Roman" w:cs="Times New Roman" w:eastAsia="Times New Roman" w:hAnsi="Times New Roman"/>
          <w:sz w:val="18"/>
          <w:szCs w:val="18"/>
          <w:color w:val="auto"/>
        </w:rPr>
      </w:pPr>
    </w:p>
    <w:p>
      <w:pPr>
        <w:ind w:left="2200" w:right="80" w:hanging="545"/>
        <w:spacing w:after="0" w:line="255" w:lineRule="auto"/>
        <w:tabs>
          <w:tab w:leader="none" w:pos="22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shall not have been consummated by August 14, 2026 (subject to possible extension, the “Outside Date”); provided, however, that the right to terminate the merger agreement, pursuant to the terms of the merger agreement, shall not be available to Galera or Obsidian if such Party’s action or failure to act has been a principal cause of the failure of the mergers to occur on or before the Outside Date and such action or failure to act constitutes a breach of the merger agreement; provided, further, however, that, in the event that the SEC has not declared effective under the Securities Act this information statement/prospectus by the date which is twenty-five (25) days prior to the Outside Date, then either Galera or Obsidian shall be entitled to extend the Outside Date for an additional ninety (90) days;</w:t>
      </w:r>
    </w:p>
    <w:p>
      <w:pPr>
        <w:spacing w:after="0" w:line="94" w:lineRule="exact"/>
        <w:rPr>
          <w:rFonts w:ascii="Times New Roman" w:cs="Times New Roman" w:eastAsia="Times New Roman" w:hAnsi="Times New Roman"/>
          <w:sz w:val="18"/>
          <w:szCs w:val="18"/>
          <w:color w:val="auto"/>
        </w:rPr>
      </w:pPr>
    </w:p>
    <w:p>
      <w:pPr>
        <w:ind w:left="2200" w:hanging="545"/>
        <w:spacing w:after="0" w:line="266" w:lineRule="auto"/>
        <w:tabs>
          <w:tab w:leader="none" w:pos="22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81" w:lineRule="exact"/>
        <w:rPr>
          <w:rFonts w:ascii="Times New Roman" w:cs="Times New Roman" w:eastAsia="Times New Roman" w:hAnsi="Times New Roman"/>
          <w:sz w:val="18"/>
          <w:szCs w:val="18"/>
          <w:color w:val="auto"/>
        </w:rPr>
      </w:pPr>
    </w:p>
    <w:p>
      <w:pPr>
        <w:ind w:left="1540" w:right="320" w:hanging="439"/>
        <w:spacing w:after="0" w:line="261" w:lineRule="auto"/>
        <w:tabs>
          <w:tab w:leader="none" w:pos="15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Galera if the Required Obsidian Stockholder Approval shall not have been obtained and evidence thereof delivered to Galera within fifteen (15) days of this information statement/prospectus becoming effective in accordance with the provisions of the Securities Act; provided, however, that once the Required Obsidian Stockholder Approval has been obtained, Galera may not terminate the merger agreement;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5"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40" w:hanging="439"/>
        <w:spacing w:after="0" w:line="255" w:lineRule="auto"/>
        <w:tabs>
          <w:tab w:leader="none" w:pos="1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Obsidian if the Required Galera Stockholder Approval shall not have been obtained and evidence thereof delivered to Galera within fifteen (15) days of this information statement/prospectus becoming effective in accordance with the provisions of the Securities Act; provided, however, that once the Required Galera Stockholder Approval has been obtained, Obsidian may not terminate the merger agreement; provided, further, however that in the event that the Annual Meeting Galera Stockholder Vote is not obtained, then Obsidian may not terminate this Agreement pursuant to the terms of the merger agreement until such time that the Required Galera Stockholder Approval is not obtained at a special meeting of holders of Galera Common Stock held to seek the Required Galera Stockholder Approval;</w:t>
      </w:r>
    </w:p>
    <w:p>
      <w:pPr>
        <w:spacing w:after="0" w:line="94" w:lineRule="exact"/>
        <w:rPr>
          <w:rFonts w:ascii="Times New Roman" w:cs="Times New Roman" w:eastAsia="Times New Roman" w:hAnsi="Times New Roman"/>
          <w:sz w:val="18"/>
          <w:szCs w:val="18"/>
          <w:color w:val="auto"/>
        </w:rPr>
      </w:pPr>
    </w:p>
    <w:p>
      <w:pPr>
        <w:ind w:left="1540" w:right="100" w:hanging="439"/>
        <w:spacing w:after="0" w:line="282" w:lineRule="auto"/>
        <w:tabs>
          <w:tab w:leader="none" w:pos="1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Obsidian (at any time prior to the approval of the Galera Stockholder Matters by the Required Galera Stockholder Approval) if a Galera Triggering Event shall have occurred;</w:t>
      </w:r>
    </w:p>
    <w:p>
      <w:pPr>
        <w:spacing w:after="0" w:line="67" w:lineRule="exact"/>
        <w:rPr>
          <w:rFonts w:ascii="Times New Roman" w:cs="Times New Roman" w:eastAsia="Times New Roman" w:hAnsi="Times New Roman"/>
          <w:sz w:val="18"/>
          <w:szCs w:val="18"/>
          <w:color w:val="auto"/>
        </w:rPr>
      </w:pPr>
    </w:p>
    <w:p>
      <w:pPr>
        <w:ind w:left="1540" w:right="140" w:hanging="439"/>
        <w:spacing w:after="0" w:line="266" w:lineRule="auto"/>
        <w:tabs>
          <w:tab w:leader="none" w:pos="1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Galera (at any time prior to the adoption of the merger agreement and the approval of the contemplated transactions by the Required Obsidian Stockholder Approval) if (i) an Obsidian Triggering Event shall have occurred or (ii) the Obsidian Board or any committee thereof shall have made an Obsidian Board Adverse Recommendation Change;</w:t>
      </w:r>
    </w:p>
    <w:p>
      <w:pPr>
        <w:spacing w:after="0" w:line="81" w:lineRule="exact"/>
        <w:rPr>
          <w:rFonts w:ascii="Times New Roman" w:cs="Times New Roman" w:eastAsia="Times New Roman" w:hAnsi="Times New Roman"/>
          <w:sz w:val="18"/>
          <w:szCs w:val="18"/>
          <w:color w:val="auto"/>
        </w:rPr>
      </w:pPr>
    </w:p>
    <w:p>
      <w:pPr>
        <w:ind w:left="1540" w:hanging="439"/>
        <w:spacing w:after="0" w:line="253" w:lineRule="auto"/>
        <w:tabs>
          <w:tab w:leader="none" w:pos="1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Obsidian, upon a material breach of any representation, warranty, covenant or agreement set forth in the merger agreement by Galera, Parent, Merger Sub 1 or Merger Sub 2 or if any representation or warranty of Galera shall have become inaccurate such that certain conditions set forth in the merger agreement would not be satisfied as of the time of such breach or as of the time such representation or warranty shall have become inaccurate; provided that Obsidian is not then in material breach of any representation, warranty, covenant or agreement under the merger agreement; provided, further, that if such inaccuracy in Galera’s representations and warranties or breach by Galera, Parent, Merger Sub 1 or Merger Sub 2 is curable by Galera, Parent, Merger Sub 1 or Merger Sub 2, as applicable, then the merger agreement shall not terminate pursuant to the terms of the merger agreement as a result of such particular breach or inaccuracy until the expiration of a 30-day period commencing upon delivery of written notice from Obsidian to Galera of such breach or inaccuracy and its intention to terminate pursuant to the terms of the merger agreement (it being understood that the merger agreement shall not as a result of such particular breach or inaccuracy if such breach by Galera, Parent, Merger Sub 1 or Merger Sub 2 is cured prior to such termination becoming effective);</w:t>
      </w:r>
    </w:p>
    <w:p>
      <w:pPr>
        <w:spacing w:after="0" w:line="97" w:lineRule="exact"/>
        <w:rPr>
          <w:rFonts w:ascii="Times New Roman" w:cs="Times New Roman" w:eastAsia="Times New Roman" w:hAnsi="Times New Roman"/>
          <w:sz w:val="18"/>
          <w:szCs w:val="18"/>
          <w:color w:val="auto"/>
        </w:rPr>
      </w:pPr>
    </w:p>
    <w:p>
      <w:pPr>
        <w:ind w:left="1540" w:hanging="439"/>
        <w:spacing w:after="0" w:line="270" w:lineRule="auto"/>
        <w:tabs>
          <w:tab w:leader="none" w:pos="154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Galera, upon a material breach of any representation, warranty, covenant or agreement set forth in the merger agreement by Obsidian, or if any representation or warranty of Obsidian shall have become inaccurate, in either case, such that certain conditions set forth in the merger agreement would not be satisfied as of the time of such breach or as of the time such representation or warranty shall have become inaccurate; provided that none of Galera, Parent, Merger Sub 1 or Merger Sub 2 is then in material breach of any representation, warranty, covenant or agreement under the merger agreement; provided, further, that if such inaccuracy in Obsidian’s representations and warranties or breach by Obsidian is curable by Obsidian, then the merger agreement shall not terminate as a result of such particular breach or inaccuracy until the expiration of a 30-day period commencing upon delivery of written notice from Galera to Obsidian of such breach or inaccuracy and its intention to terminate pursuant to the terms of the merger agreement (it being understood that the merger agreement shall not terminate pursuant to the terms of the merger agreement as a result of such particular breach or inaccuracy if such breach by Obsidian is cured prior to such termination becoming effective);</w:t>
      </w:r>
    </w:p>
    <w:p>
      <w:pPr>
        <w:spacing w:after="0" w:line="82" w:lineRule="exact"/>
        <w:rPr>
          <w:rFonts w:ascii="Times New Roman" w:cs="Times New Roman" w:eastAsia="Times New Roman" w:hAnsi="Times New Roman"/>
          <w:sz w:val="17"/>
          <w:szCs w:val="17"/>
          <w:color w:val="auto"/>
        </w:rPr>
      </w:pPr>
    </w:p>
    <w:p>
      <w:pPr>
        <w:ind w:left="1540" w:right="80" w:hanging="439"/>
        <w:spacing w:after="0" w:line="261" w:lineRule="auto"/>
        <w:tabs>
          <w:tab w:leader="none" w:pos="15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Galera (at any time prior to obtaining the Required Galera Stockholder Approval) and following compliance with all of the requirements set forth in the terms of the merger agreement, concurrently with Galera’s entering into a definitive agreement for a Superior Offer (a “Permitted Alternative Agreement”); provided, however, that Galera shall not enter into any Permitted Alternative Agreement unless: (i) Obsidian shall have received written notice from Galera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540" w:right="120"/>
        <w:spacing w:after="0" w:line="254" w:lineRule="auto"/>
        <w:rPr>
          <w:sz w:val="20"/>
          <w:szCs w:val="20"/>
          <w:color w:val="auto"/>
        </w:rPr>
      </w:pPr>
      <w:r>
        <w:rPr>
          <w:rFonts w:ascii="Times New Roman" w:cs="Times New Roman" w:eastAsia="Times New Roman" w:hAnsi="Times New Roman"/>
          <w:sz w:val="18"/>
          <w:szCs w:val="18"/>
          <w:color w:val="auto"/>
        </w:rPr>
        <w:t>Galera’s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Galera shall have complied with its obligations under the terms of the merger agreement (including with respect to delivery of all required written notices), and (iii) the Galera Board shall have determined in good faith, after consultation with its outside legal counsel and reasonable consideration of relevant factors, that the failure to enter into such Permitted Alternative Agreement would reasonably be expected to be inconsistent with its fiduciary obligations under applicable law;</w:t>
      </w:r>
    </w:p>
    <w:p>
      <w:pPr>
        <w:spacing w:after="0" w:line="97" w:lineRule="exact"/>
        <w:rPr>
          <w:sz w:val="20"/>
          <w:szCs w:val="20"/>
          <w:color w:val="auto"/>
        </w:rPr>
      </w:pPr>
    </w:p>
    <w:p>
      <w:pPr>
        <w:ind w:left="1540" w:right="60" w:hanging="439"/>
        <w:spacing w:after="0" w:line="253" w:lineRule="auto"/>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Obsidian (at any time prior to obtaining the Required Obsidian Stockholder Approval) and following compliance with all of the requirements set forth in the terms of the merger agreement, concurrently with Obsidian’s entering into a Permitted Alternative Agreement and after having paid to Galera the Obsidian Termination Fee pursuant to the terms of the merger agreement; provided, however, that Obsidian shall not enter into any Permitted Alternative Agreement unless: (i) Galera shall have received written notice from Obsidian of Obsidian’s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Obsidian shall have complied with its obligations under the terms of the merger agreement (including with respect to delivery of all required written notices), and (iii) the Obsidian Board shall have determined in good faith and reasonable consideration of relevant factors, after consultation with its outside legal counsel, that the failure to enter into such Permitted Alternative Agreement would reasonably be expected to be inconsistent with its fiduciary obligations under applicable Law; or</w:t>
      </w:r>
    </w:p>
    <w:p>
      <w:pPr>
        <w:spacing w:after="0" w:line="9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Obsidian, if the approval of the listing of shares of Parent common stock on Nasdaq shall (i) have been denied by Nasdaq or</w:t>
      </w:r>
    </w:p>
    <w:p>
      <w:pPr>
        <w:spacing w:after="0" w:line="27" w:lineRule="exact"/>
        <w:rPr>
          <w:rFonts w:ascii="Times New Roman" w:cs="Times New Roman" w:eastAsia="Times New Roman" w:hAnsi="Times New Roman"/>
          <w:sz w:val="18"/>
          <w:szCs w:val="18"/>
          <w:color w:val="auto"/>
        </w:rPr>
      </w:pPr>
    </w:p>
    <w:p>
      <w:pPr>
        <w:ind w:left="1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not have been obtained and the Obsidian Board has determined, in good faith and after consultation with its outside counsel, that such approval is not reasonably likely to be obtained; provided, however, that this right to terminate the merger agreement shall not be available to Obsidian if Obsidian’s action or failure to act has been a principal cause of the failure of such approval being obtained and such action or failure to act constitutes a material breach of the merger agreement.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Payable by Obsidian</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Obsidian must pay Galera the Obsidian Termination Fee, within two (2) Business Days of delivering notice of termination, by wire transfer of immediately available funds, if the merger agreement is terminated by (i) Galera due to a material, uncured breach by Obsidian (clause (h) above), the failure to obtain the Required Obsidian Stockholder Approval (clause (c) above), or the occurrence of an Obsidian Board Adverse Recommendation Change (subclause (ii) of clause (f) above) or (ii) Obsidian, upon concurrently entering into a Permitted Alternative Agreement (clause (j) above). The Obsidian Termination Fee is non-refundable and shall not be credited against any other payment.</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of the parties has acknowledged that (i) the agreements contained in the termination fee provisions are an integral part of the Contemplated Transactions, (ii) the Obsidian Termination Fee represents a good faith, fair estimate of the damages that Galera and its affiliates would suffer upon termination of the merger agreement, (iii) the Galera Termination Fee represents a good faith, fair estimate of the damages that Obsidian and its affiliates would suffer upon termination of the merger agreement, (iv) without these agreements, the parties would not have entered into the merger agreement, and (v) any amount payable pursuant to the termination fee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provisions is not a penalty, but rather is liquidated damages which do not require Galera, Obsidian or any other person to prove actual damages.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Payable by Galera</w:t>
      </w:r>
    </w:p>
    <w:p>
      <w:pPr>
        <w:spacing w:after="0" w:line="121" w:lineRule="exact"/>
        <w:rPr>
          <w:sz w:val="20"/>
          <w:szCs w:val="20"/>
          <w:color w:val="auto"/>
        </w:rPr>
      </w:pPr>
    </w:p>
    <w:p>
      <w:pPr>
        <w:ind w:left="120" w:right="300" w:firstLine="440"/>
        <w:spacing w:after="0" w:line="276" w:lineRule="auto"/>
        <w:rPr>
          <w:sz w:val="20"/>
          <w:szCs w:val="20"/>
          <w:color w:val="auto"/>
        </w:rPr>
      </w:pPr>
      <w:r>
        <w:rPr>
          <w:rFonts w:ascii="Times New Roman" w:cs="Times New Roman" w:eastAsia="Times New Roman" w:hAnsi="Times New Roman"/>
          <w:sz w:val="17"/>
          <w:szCs w:val="17"/>
          <w:color w:val="auto"/>
        </w:rPr>
        <w:t>Galera must pay Obsidian the Galera Termination Fee, within two (2) Business Days of delivering notice of termination, by wire transfer of immediately available funds, if the merger agreement is terminated by (i) Obsidian due to a material, uncured breach by Galera (clause (g) above) or</w:t>
      </w:r>
    </w:p>
    <w:p>
      <w:pPr>
        <w:spacing w:after="0" w:line="1" w:lineRule="exact"/>
        <w:rPr>
          <w:sz w:val="20"/>
          <w:szCs w:val="20"/>
          <w:color w:val="auto"/>
        </w:rPr>
      </w:pPr>
    </w:p>
    <w:p>
      <w:pPr>
        <w:ind w:left="120" w:right="280" w:hanging="4"/>
        <w:spacing w:after="0" w:line="260" w:lineRule="auto"/>
        <w:tabs>
          <w:tab w:leader="none" w:pos="385"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upon concurrently entering into a Permitted Alternative Agreement (clause (i) above). The Galera Termination Fee is non-refundable and shall not be credited against any other payment.</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Non-Survival of Representations and Warranties</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representations and warranties of Parent, Obsidian, Merger Sub 1, Galera and Merger Sub 2 contained in the merger agreement or any certificate or instrument delivered pursuant to the merger agreement will terminate at the Galera merger effective time. Only the covenants that by their terms survive the Galera merger effective time and the general provisions article of the merger agreement will survive the Galera merger effective time.</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and Waiver</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merger agreement may be amended with the approval of the respective boards of directors of Galera, Obsidian, Parent, Merger Sub 1 and Merger Sub 2 at any time; provided that after any stockholder approval has been obtained, no amendment requiring further stockholder approval may be made without such further approval. The merger agreement may not be amended except by an instrument in writing signed on behalf of each party. Any provision of the merger agreement may be waived by the waiving party solely on such party’s own behalf, without the consent of any other party. No failure or delay in exercising any right will constitute a waiver of such right.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provided in the merger agreement, all fees and expenses incurred in connection with the merger agreement and the transactions contemplated thereby will be paid by the party incurring such expenses, whether or not the mergers are consummated. However, Galera and Obsidian will share equally all fees and expenses incurred in relation to the printing and filing with the SEC of any filings with the SEC, including the registration statement on Form S-4 (including any financial statements and exhibits) and any related amendments or supplements, and paid to a financial printer or the SEC with respect to filing and registration fees.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 Jurisdiction; Specific Performance; Waiver of Jury Trial</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is governed by, and construed in accordance with, the laws of the State of Delaware. All legal actions or proceedings with respect to the merger agreement are to be brought and determined exclusively in the Court of Chancery of the State of Delaware or, if such court does not have subject matter jurisdiction, the Superior Court of the State of Delaware or the United States District Court for the District of Delaware.</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parties to the merger agreement are entitled to specific performance of the terms of the merger agreement, including an injunction or injunctions to prevent breaches of the merger agreement and to enforce specifically the terms and provisions thereof, without the need to post a bond. Each of the parties to the merger agreement has irrevocably waived its right to trial by jury in any legal proceeding arising out of or relating to the merger agreement or the transactions contemplated thereby.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00"/>
          </w:cols>
          <w:pgMar w:left="320" w:top="455" w:right="4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provides that from and after the Galera merger effective time, Parent will, and will cause the Galera Merger Surviving Corporation and the Obsidian Merger Surviving Corporation to, indemnify and hold harmless the present and former directors and officers of Galera and Obsidian against all claims, losses, liabilities, damages, judgments, fines, fees, costs and expenses arising out of actions or omissions occurring at or prior to the Galera merger effective time (including in connection with the transactions contemplated by the merger agreement).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certificates of incorporation and bylaws of the surviving corporations will contain provisions no less favorable with respect to indemnification, advancement of fees, costs and expenses and exculpation than those in effect on the date of the merger agreement. Galera has agreed to purchase, prior to the Galera merger effective time, a six-year prepaid tail insurance policy covering each person currently covered by the directors’ and officers’ liability insurance policies of Galera. Parent has also agreed to maintain directors’ and officers’ liability insurance policies from and after the Galera merger effective time.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Under the merger agreement, stockholders of Galera who hold shares of Galera common stock that are outstanding immediately prior to the Galera merger effective time (after giving effect to the Galera preferred stock conversion) and who have exercised and perfected appraisal rights for such shares in accordance with Section 262 of the DGCL will not be converted into or represent the right to receive the merger consideration. Such stockholders will be entitled to receive payment of the appraised value of such shares in accordance with the DGCL, unless and until such stockholders fail to perfect or effectively withdraw or otherwise lose their appraisal rights. Galera will give Parent prompt written notice of any demands by dissenting stockholders received thereby, and Parent will have the right to direct all negotiations and proceedings with respect to such demands, provided that Galera will have the right to participate in such negotiations and proceedings.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 and the Summary of the Merger Agreement:</w:t>
      </w:r>
    </w:p>
    <w:p>
      <w:pPr>
        <w:spacing w:after="0" w:line="117"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REPRESENTATIONS, WARRANTIES AND COVENANTS IN THE MERGER AGREEMENT ARE NOT INTENDED TO FUNCTION AS PUBLIC DISCLOSURES.</w:t>
      </w:r>
    </w:p>
    <w:p>
      <w:pPr>
        <w:spacing w:after="0" w:line="157" w:lineRule="exact"/>
        <w:rPr>
          <w:sz w:val="20"/>
          <w:szCs w:val="20"/>
          <w:color w:val="auto"/>
        </w:rPr>
      </w:pPr>
    </w:p>
    <w:p>
      <w:pPr>
        <w:ind w:left="120" w:right="4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The merger agreement and the summary of its terms in this information statement/prospectus have been included only to provide you with information about the terms and conditions of the merger agreement. The terms and information in the merger agreement are not intended to provide any other public disclosure of factual information about Galera, Obsidian or Parent, or any of their respective subsidiaries, affiliates or businesses. The representations, warranties and covenants contained in the merger agreement are made by Galera, Obsidian and/or Parent only for purposes of the merger agreement, and as of specific dates, and were qualified and subject to certain limitations and exceptions agreed to by the parties in connection with negotiating the terms of the merger agreement. In particular, in your review of the representations and warranties contained in the merger agreement and described in this summary, it is important to bear in mind that the representations and warranties were made solely for the benefit of the parties to the merger agreement and were negotiated for the purpose of allocating contractual risk among the parties to the merger agreement rather than to establish matters as facts. Galera stockholders and Obsidian stockholders are not third-party beneficiaries under the merger agreement. The representations and warranties may also be subject to a contractual standard of materiality or material adverse effect different from those generally applicable to stockholders and reports and documents filed with the SEC, and, in some cases, they may be qualified by disclosures made by one party to the other, which are not necessarily reflected in the merger agreement or other public disclosures. Moreover, information concerning the subject matter of the representations, warranties and covenants, which does not purport to be accurate as of the date of this information statement/prospectus, may have changed since the date of the merger agreement, and subsequent developments or new information may not be fully reflected in public disclosures.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For the foregoing reasons, the representations, warranties and covenants or any descriptions of those provisions should not be read alone or relied upon as characterizations of the actual state of facts or condition of Galera, Obsidian or Parent, or any of their respective subsidiaries, affiliates or businesses. Instead, such provisions or descriptions should be read only in conjunction with the other information provided elsewhere in this information statement/prospectus. Please see the section entitled “Where You Can Find More Information” beginning on page 356 of this information statement/prospectus.</w:t>
      </w:r>
    </w:p>
    <w:p>
      <w:pPr>
        <w:spacing w:after="0" w:line="11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20"/>
          </w:cols>
          <w:pgMar w:left="320" w:top="455" w:right="5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AGREEMENTS RELATED TO THE MERGER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Support Agreements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order to induce each party to enter into the merger agreement, the directors, officers, and certain stockholders of each of Galera and Obsidian (in each case, solely in their capacity as stockholders) are party to support agreements pursuant to which, among other things, each such stockholder has agreed, solely in his, her or its capacity as a stockholder of the applicable company, to vote all of his, her or its shares of capital stock of the applicable company including, subject to the terms of the applicable support, any additional shares acquired after the date thereof in favor of:</w:t>
      </w:r>
    </w:p>
    <w:p>
      <w:pPr>
        <w:spacing w:after="0" w:line="85" w:lineRule="exact"/>
        <w:rPr>
          <w:sz w:val="20"/>
          <w:szCs w:val="20"/>
          <w:color w:val="auto"/>
        </w:rPr>
      </w:pPr>
    </w:p>
    <w:p>
      <w:pPr>
        <w:ind w:left="1540" w:right="360" w:hanging="331"/>
        <w:spacing w:after="0" w:line="282" w:lineRule="auto"/>
        <w:tabs>
          <w:tab w:leader="none" w:pos="1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approval of the merger agreement and the terms thereof, including the contemplated transactions and the other actions contemplated by the merger agreement;</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merger;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matters set forth in the applicable stockholder written consent.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These stockholders also agreed to vote against (i) any Acquisition Proposal, Acquisition Transaction or any other action that would reasonably be expected to interfere with, delay, impede, postpone, discourage or adversely affect the consummation of the contemplated transactions and (ii) any action or agreement that would reasonably be expected to result in a breach of any representation, warranty, covenant or obligation of the applicable company in the merger agreement, subject to certain specified exceptions.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support agreements provide that these voting obligations do not apply to any amendment to the merger agreement that:</w:t>
      </w:r>
    </w:p>
    <w:p>
      <w:pPr>
        <w:spacing w:after="0" w:line="131" w:lineRule="exact"/>
        <w:rPr>
          <w:sz w:val="20"/>
          <w:szCs w:val="20"/>
          <w:color w:val="auto"/>
        </w:rPr>
      </w:pPr>
    </w:p>
    <w:p>
      <w:pPr>
        <w:ind w:left="1540" w:right="280" w:hanging="331"/>
        <w:spacing w:after="0" w:line="282"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the applicable exchange ratio or changes the form or reduces the amount of the consideration payable to the applicable company’s stockholders;</w:t>
      </w:r>
    </w:p>
    <w:p>
      <w:pPr>
        <w:spacing w:after="0" w:line="67" w:lineRule="exact"/>
        <w:rPr>
          <w:rFonts w:ascii="Times New Roman" w:cs="Times New Roman" w:eastAsia="Times New Roman" w:hAnsi="Times New Roman"/>
          <w:sz w:val="18"/>
          <w:szCs w:val="18"/>
          <w:color w:val="auto"/>
        </w:rPr>
      </w:pPr>
    </w:p>
    <w:p>
      <w:pPr>
        <w:ind w:left="1540" w:right="300" w:hanging="331"/>
        <w:spacing w:after="0" w:line="282" w:lineRule="auto"/>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other party’s exchange ratio or changes the form or increases the amount of the consideration payable to such other party’s stockholders;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material and adverse to the holder; or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any restrictions or any additional conditions on the consummation of the contemplated transactions.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Promptly after the registration statement, of which this information statement/prospectus forms a part, is declared effective under the Securities Act, each stockholder party to a support agreement has agreed to irrevocably execute and deliver, or cause to be delivered, its duly executed counterpart to the applicable stockholder written consent in accordance with the DGCL and the applicable company’s organizational documents.</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These stockholders have also granted the applicable company an irrevocable proxy, coupled with an interest, to vote their respective shares solely with respect to the matters described above requiring a vote in favor of the merger agreement and related transactions in accordance with the support agreements if the holder fails to vote his, her or its shares of the applicable company, or otherwise fails to perform or comply with such stockholders’ obligations under the support agreement by 5:00 p.m. (Eastern Time) on the day immediately preceding the applicable meeting date or written consent deadline, (the “termination date”) provided the holder has received at least five business days’ notice. The proxy is irrevocable and coupled with an interest until the termination date. The stockholders may vote their shares on all other matters not covered by the voting obligations in their sole discretion.</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Under the support agreements, subject to certain exceptions, such stockholders have also agreed not to, directly or indirectly, sell, transfer, pledge, encumber (other than liens arising under or imposed by applicable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80"/>
          </w:cols>
          <w:pgMar w:left="320" w:top="455" w:right="4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law or pursuant to the support agreements, merger agreement or the transactions contemplated thereby), assign, gift or otherwise dispose of or enter into any contract, option or other arrangement or understanding with respect to any such transfer of any of their respective shares until the termination date. Any transfer in violation of the support agreements will be void and of no force or effect. Permitted exceptions to the transfer restrictions include, among others, transfers by gift to immediate family members or trusts, transfers by operation of law, transfers to affiliated entities, the settlement, exercise or vesting of options or warrants (including to pay exercise prices or taxes), and the conversion of preferred stock into common stock.</w:t>
      </w:r>
    </w:p>
    <w:p>
      <w:pPr>
        <w:spacing w:after="0" w:line="183"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any such transfer is permitted, each permitted transferee must enter into a written agreement in substantially the form of the applicable support agreement agreeing to be bound by the same restrictions. Each holder has also authorized the applicable company to notify its transfer agent that there is a stop transfer order with respect to all of such holder’s shares.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event of a Galera Board Adverse Recommendation Change or Obsidian Board Adverse Recommendation Change (each as defined in the merger agreement) by the applicable company’s board of directors made in compliance with the terms of the merger agreement, the aggregate number of shares subject to the applicable support agreements will be automatically reduced (on a pro rata basis among all holders subject to similar voting agreements) such that the number of shares held collectively by all such holders will represent in the aggregate 25% of the outstanding shares of the applicable company’s common stock.</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Each stockholder has also waived any appraisal rights under applicable law, including Section 262, in connection with the applicable merger, and has agreed not to bring, commence, institute, maintain, prosecute or voluntarily aid any legal proceeding, in his, her or its capacity as a stockholder, which challenges the validity of the applicable support agreement or alleges that the execution and delivery of the applicable support agreement constitutes a breach of any fiduciary duty of the applicable company’s board of directors.</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support agreements were entered into by each holder solely in his, her or its capacity as a stockholder of the applicable company and not in such holder’s capacity as a director, officer or employee of the applicable company or as a trustee or fiduciary of any equity plans, and nothing in the support agreements limits or restricts any holder who is a director or officer from taking any action in such capacity, including fulfilling the obligations of such office.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support agreement will automatically terminate upon the earliest to occur of:</w:t>
      </w:r>
    </w:p>
    <w:p>
      <w:pPr>
        <w:spacing w:after="0" w:line="131" w:lineRule="exact"/>
        <w:rPr>
          <w:sz w:val="20"/>
          <w:szCs w:val="20"/>
          <w:color w:val="auto"/>
        </w:rPr>
      </w:pPr>
    </w:p>
    <w:p>
      <w:pPr>
        <w:ind w:left="1540" w:hanging="331"/>
        <w:spacing w:after="0"/>
        <w:tabs>
          <w:tab w:leader="none" w:pos="1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termination of the merger agreement;</w:t>
      </w:r>
    </w:p>
    <w:p>
      <w:pPr>
        <w:spacing w:after="0" w:line="130" w:lineRule="exact"/>
        <w:rPr>
          <w:rFonts w:ascii="Times New Roman" w:cs="Times New Roman" w:eastAsia="Times New Roman" w:hAnsi="Times New Roman"/>
          <w:sz w:val="18"/>
          <w:szCs w:val="18"/>
          <w:color w:val="auto"/>
        </w:rPr>
      </w:pPr>
    </w:p>
    <w:p>
      <w:pPr>
        <w:jc w:val="both"/>
        <w:ind w:left="1540" w:right="80" w:hanging="331"/>
        <w:spacing w:after="0" w:line="266" w:lineRule="auto"/>
        <w:tabs>
          <w:tab w:leader="none" w:pos="1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merger agreement that decreases the applicable exchange ratio or changes the form or reduces the amount of the consideration payable to the applicable company’s stockholders, or that increases the other party’s exchange ratio or changes the form or increases the amount of the consideration payable to such other party’s stockholders;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outside date (unless the outside date is extended for an additional 90-day period as set forth in the merger agreement),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merger effective time;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written agreement to terminate.</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support agreements are governed by the laws of the State of Delaware, with exclusive jurisdiction in the Court of Chancery of the State of Delaware or the Superior Court of the State of Delaware or the United States District Court for the District of Delaware if the Court of Chancery does not have subject matter jurisdiction. Each party has waived the right to trial by jury and acknowledged the right to specific performance.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Differences Between the Galera and Obsidian Support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Galera and Obsidian support agreements are substantially identical, with the following differences:</w:t>
      </w:r>
    </w:p>
    <w:p>
      <w:pPr>
        <w:spacing w:after="0" w:line="131" w:lineRule="exact"/>
        <w:rPr>
          <w:sz w:val="20"/>
          <w:szCs w:val="20"/>
          <w:color w:val="auto"/>
        </w:rPr>
      </w:pPr>
    </w:p>
    <w:p>
      <w:pPr>
        <w:ind w:left="1540" w:right="100" w:hanging="331"/>
        <w:spacing w:after="0" w:line="282" w:lineRule="auto"/>
        <w:tabs>
          <w:tab w:leader="none" w:pos="1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Galera support agreements, the shares of Galera capital stock subject to the voting and transfer obligations include shares of Galera common stock, Galera preferred stock, Galera options and Galera warrants.</w:t>
      </w:r>
    </w:p>
    <w:p>
      <w:pPr>
        <w:spacing w:after="0" w:line="67"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Obsidian support agreements, the shares of Obsidian capital stock subject to the voting and transfer obligations include shares of Obsidian common stock, Obsidian preferred stock, Obsidian options and other securities convertible into, or exercisable or exchangeable for, shares of Obsidian common stock (which may include, but are not limited to, warrants).</w:t>
      </w:r>
    </w:p>
    <w:p>
      <w:pPr>
        <w:spacing w:after="0" w:line="176" w:lineRule="exact"/>
        <w:rPr>
          <w:sz w:val="20"/>
          <w:szCs w:val="20"/>
          <w:color w:val="auto"/>
        </w:rPr>
      </w:pPr>
    </w:p>
    <w:p>
      <w:pPr>
        <w:jc w:val="both"/>
        <w:ind w:left="120" w:right="800" w:firstLine="440"/>
        <w:spacing w:after="0" w:line="266" w:lineRule="auto"/>
        <w:rPr>
          <w:sz w:val="20"/>
          <w:szCs w:val="20"/>
          <w:color w:val="auto"/>
        </w:rPr>
      </w:pPr>
      <w:r>
        <w:rPr>
          <w:rFonts w:ascii="Times New Roman" w:cs="Times New Roman" w:eastAsia="Times New Roman" w:hAnsi="Times New Roman"/>
          <w:sz w:val="18"/>
          <w:szCs w:val="18"/>
          <w:color w:val="auto"/>
        </w:rPr>
        <w:t>The Obsidian stockholders who executed support agreements as of April 14, 2026 owned, in the aggregate, approximately 62.8% of the outstanding Obsidian capital stock. The Galera stockholders who executed support agreements as of April 14, 2026 owned, in the aggregate, approximately 51.1% of the outstanding Galera capital stock.</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foregoing descriptions of the Galera stockholder support agreements and the Obsidian stockholder support agreements do not purport to be complete and are qualified in their entirety by the full text of the forms of support agreements, copies of which are attached to this information statement/prospectus as </w:t>
      </w:r>
      <w:r>
        <w:rPr>
          <w:rFonts w:ascii="Times New Roman" w:cs="Times New Roman" w:eastAsia="Times New Roman" w:hAnsi="Times New Roman"/>
          <w:sz w:val="18"/>
          <w:szCs w:val="18"/>
          <w:b w:val="1"/>
          <w:bCs w:val="1"/>
          <w:u w:val="single" w:color="auto"/>
          <w:color w:val="auto"/>
        </w:rPr>
        <w:t>Appendix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u w:val="single" w:color="auto"/>
          <w:color w:val="auto"/>
        </w:rPr>
        <w:t>Appendix E</w:t>
      </w:r>
      <w:r>
        <w:rPr>
          <w:rFonts w:ascii="Times New Roman" w:cs="Times New Roman" w:eastAsia="Times New Roman" w:hAnsi="Times New Roman"/>
          <w:sz w:val="18"/>
          <w:szCs w:val="18"/>
          <w:color w:val="auto"/>
        </w:rPr>
        <w:t xml:space="preserve"> and incorporated by reference.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Certain of Obsidian’s executive officers and directors have entered into lock-up agreements, as a condition and inducement to Galera’s willingness to enter into the merger agreement, pursuant to which such parties have agreed that, without the prior written consent of Parent (and, prior to the closing, Obsidian), they will not, during the period commencing at the closing and ending 180 days after the closing (the “restricted period”):</w:t>
      </w:r>
    </w:p>
    <w:p>
      <w:pPr>
        <w:spacing w:after="0" w:line="81" w:lineRule="exact"/>
        <w:rPr>
          <w:sz w:val="20"/>
          <w:szCs w:val="20"/>
          <w:color w:val="auto"/>
        </w:rPr>
      </w:pPr>
    </w:p>
    <w:p>
      <w:pPr>
        <w:ind w:left="1540" w:right="200" w:hanging="331"/>
        <w:spacing w:after="0" w:line="261" w:lineRule="auto"/>
        <w:tabs>
          <w:tab w:leader="none" w:pos="1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Parent common stock (including shares received in the mergers and shares issuable upon exercise of options, warrants or convertible securities);</w:t>
      </w:r>
    </w:p>
    <w:p>
      <w:pPr>
        <w:spacing w:after="0" w:line="85" w:lineRule="exact"/>
        <w:rPr>
          <w:rFonts w:ascii="Times New Roman" w:cs="Times New Roman" w:eastAsia="Times New Roman" w:hAnsi="Times New Roman"/>
          <w:sz w:val="18"/>
          <w:szCs w:val="18"/>
          <w:color w:val="auto"/>
        </w:rPr>
      </w:pPr>
    </w:p>
    <w:p>
      <w:pPr>
        <w:ind w:left="1540" w:right="400" w:hanging="331"/>
        <w:spacing w:after="0" w:line="282" w:lineRule="auto"/>
        <w:tabs>
          <w:tab w:leader="none" w:pos="1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short sale, hedge or other agreement that transfers any of the economic consequences of ownership of such securities;</w:t>
      </w:r>
    </w:p>
    <w:p>
      <w:pPr>
        <w:spacing w:after="0" w:line="67" w:lineRule="exact"/>
        <w:rPr>
          <w:rFonts w:ascii="Times New Roman" w:cs="Times New Roman" w:eastAsia="Times New Roman" w:hAnsi="Times New Roman"/>
          <w:sz w:val="18"/>
          <w:szCs w:val="18"/>
          <w:color w:val="auto"/>
        </w:rPr>
      </w:pPr>
    </w:p>
    <w:p>
      <w:pPr>
        <w:ind w:left="1540" w:right="280" w:hanging="331"/>
        <w:spacing w:after="0" w:line="266" w:lineRule="auto"/>
        <w:tabs>
          <w:tab w:leader="none" w:pos="1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Parent common stock or any security convertible into or exercisable or exchangeable for Parent common stock (other than pursuant to the merger agreement or any applicable registration rights agreement); or</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2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lock-up agreements also restrict the undersigned from making any demand for, or exercising any right with respect to, the registration of any shares of Parent common stock during such period (other than pursuant to the merger agreement or any applicable registration rights agreement).</w:t>
      </w:r>
    </w:p>
    <w:p>
      <w:pPr>
        <w:spacing w:after="0" w:line="162"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The lock-up agreements further provide that, if Parent (and, prior to the closing, Obsidian) grants any other holder subject to a substantially similar lock-up agreement an early release or permission to transfer shares for value (other than as permitted by the lock-up agreements), the undersigned will be entitled to a pro rata release from its restrictions; provided that such pro rata release will not be triggered unless and until the aggregate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permissions and early releases represent an amount in excess of 1% of the number of shares of Parent common stock originally subject to substantially similar agreements.</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193,269,632 shares, or 72% of the outstanding Obsidian common stock (on a fully diluted basis), are subject to the above-described lock-up agreements.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lock-up agreements contain customary exceptions, including for certain transfers for estate planning purposes or by operation of law, transfers to affiliates or immediate family members, transactions relating to:</w:t>
      </w:r>
    </w:p>
    <w:p>
      <w:pPr>
        <w:spacing w:after="0" w:line="67" w:lineRule="exact"/>
        <w:rPr>
          <w:sz w:val="20"/>
          <w:szCs w:val="20"/>
          <w:color w:val="auto"/>
        </w:rPr>
      </w:pPr>
    </w:p>
    <w:p>
      <w:pPr>
        <w:ind w:left="1540" w:right="80" w:hanging="331"/>
        <w:spacing w:after="0" w:line="282" w:lineRule="auto"/>
        <w:tabs>
          <w:tab w:leader="none" w:pos="1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or settlement of equity awards (including to satisfy tax obligations), the establishment of Rule 10b5-1 trading plans that do not provide for sales during the restricted period;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a bona fide third-party change of control transaction;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acquired in open market transactions or public offerings not issued in connection with the mergers;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pursuant to court order, and certain transfers of shares issued in connection with the concurrent financing.</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With respect to certain permitted transfers described above (including transfers for estate planning purposes, to affiliates, immediate family members, trusts and related persons), such transfers must not be for value and each permitted transferee is required to enter into a lock-up agreement in substantially the same form. In addition, no filing under Section 16 of the Exchange Act or other public announcement is required to be made or voluntarily made in connection with certain of the foregoing permitted transfers during the restricted period, subject to limited exceptions.</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lock-up agreements will automatically terminate upon the earliest to occur of (i) Obsidian advising the undersigned in writing that it has determined not to proceed with the contemplated transactions or (ii) the merger agreement being validly terminated pursuant to its terms.</w:t>
      </w:r>
    </w:p>
    <w:p>
      <w:pPr>
        <w:spacing w:after="0" w:line="162"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Obsidian stockholders who have executed lock-up agreements as of April 14, 2026 owned, in the aggregate, over 50% of the outstanding shares of Obsidian common stock (on an as-converted basis).</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lock-up agreements does not purport to be complete and is qualified in its entirety by the full text of the form of lock-up agreement, a copy of which is attached as </w:t>
      </w:r>
      <w:r>
        <w:rPr>
          <w:rFonts w:ascii="Times New Roman" w:cs="Times New Roman" w:eastAsia="Times New Roman" w:hAnsi="Times New Roman"/>
          <w:sz w:val="18"/>
          <w:szCs w:val="18"/>
          <w:b w:val="1"/>
          <w:bCs w:val="1"/>
          <w:u w:val="single" w:color="auto"/>
          <w:color w:val="auto"/>
        </w:rPr>
        <w:t>Appendix F</w:t>
      </w:r>
      <w:r>
        <w:rPr>
          <w:rFonts w:ascii="Times New Roman" w:cs="Times New Roman" w:eastAsia="Times New Roman" w:hAnsi="Times New Roman"/>
          <w:sz w:val="18"/>
          <w:szCs w:val="18"/>
          <w:color w:val="auto"/>
        </w:rPr>
        <w:t xml:space="preserve"> to this information statement/prospectus and is incorporated by reference.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Contingent Value Rights Agreement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CVR Agreement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Galera merger effective time, Galera will declare a distribution to its common stockholders of record (determined as of the close of business on the last business day prior to the day on which the Galera merger effective time occurs) the right to receive one CVR in respect of each CVR Product Agreement for each outstanding share of Galera common stock held by such stockholder as of such date, each representing the right to receive contingent payments upon the occurrence of certain events.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CVRs will be governed by the terms of the CVR Agreement, which will be entered into prior to the Galera merger effective time by Parent, Obsidian and Equiniti Trust Company, LLC, the Rights Agent.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CVRs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CVRs will not be listed on any quotation system or traded on any securities exchange. The CVRs will be issued in book entry format and will not be evidenced by a certificate or other instrument. The CVRs will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have any voting or dividend rights, and interest will not accrue on any amounts payable on the CVRs to any holder. The CVRs will not represent any equity or ownership interest in Parent or in any constituent company to the Merger.</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CVRs will not be sold, assigned, transferred, pledged, encumbered or in any other manner transferred or disposed of, in whole or in part, other than through any of the following permitted transfers: (a) on death of a holder by will or intestacy; (b) by instrument to an inter vivos or testamentary trust in which the CVRs are to be passed to beneficiaries upon the death of the trustee; (c) pursuant to a court order; (d) made by operation of law (including a consolidation or merger) or without consideration in connection with the dissolution, liquidation or termination of any corporation, limited liability company, partnership or other entity; (e) in the case of CVRs held in nominee form, from a nominee to the applicable beneficial owner (through an intermediary if applicable) or from a nominee to another nominee for the same beneficial owner, to the extent allowable by the Rights Agent; (f) or a transfer from a participant’s account in a tax-qualified employee benefit plan to the participant or to such participant’s account in a different tax-qualified employee benefit plan or to a tax-qualified individual retirement account for the benefit of such participant; or (g) to Parent for any or no consideration.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CVR Payments</w:t>
      </w:r>
    </w:p>
    <w:p>
      <w:pPr>
        <w:spacing w:after="0" w:line="12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Each CVR represents the right to receive contingent cash payments based on net proceeds received by Parent or its affiliates during a defined time period after closing under each CVR Product Agreement, with net proceeds determined in accordance with GAAP and as follows (“CVR Proceeds”):</w:t>
      </w:r>
    </w:p>
    <w:p>
      <w:pPr>
        <w:spacing w:after="0" w:line="45" w:lineRule="exact"/>
        <w:rPr>
          <w:sz w:val="20"/>
          <w:szCs w:val="20"/>
          <w:color w:val="auto"/>
        </w:rPr>
      </w:pPr>
    </w:p>
    <w:p>
      <w:pPr>
        <w:ind w:left="1080" w:hanging="424"/>
        <w:spacing w:after="0" w:line="266" w:lineRule="auto"/>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cash proceeds actually paid or received by Parent or its affiliates during a defined time period under the applicable CVR Product Agreement, excluding any amounts paid for the conduct of research, development or manufacturing activities, loan proceeds, amounts paid for patent prosecution, defense, maintenance and enforcement expenses;</w:t>
      </w:r>
    </w:p>
    <w:p>
      <w:pPr>
        <w:spacing w:after="0" w:line="79"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less </w:t>
      </w:r>
      <w:r>
        <w:rPr>
          <w:rFonts w:ascii="Times New Roman" w:cs="Times New Roman" w:eastAsia="Times New Roman" w:hAnsi="Times New Roman"/>
          <w:sz w:val="18"/>
          <w:szCs w:val="18"/>
          <w:color w:val="auto"/>
        </w:rPr>
        <w:t>permitted deductions actually paid or remitted by Parent or its affiliates for the CVR Agreement, including:</w:t>
      </w:r>
    </w:p>
    <w:p>
      <w:pPr>
        <w:spacing w:after="0" w:line="132"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imposed on gross proceeds and payable by Parent or its affiliates;</w:t>
      </w:r>
    </w:p>
    <w:p>
      <w:pPr>
        <w:spacing w:after="0" w:line="130" w:lineRule="exact"/>
        <w:rPr>
          <w:rFonts w:ascii="Times New Roman" w:cs="Times New Roman" w:eastAsia="Times New Roman" w:hAnsi="Times New Roman"/>
          <w:sz w:val="18"/>
          <w:szCs w:val="18"/>
          <w:color w:val="auto"/>
        </w:rPr>
      </w:pPr>
    </w:p>
    <w:p>
      <w:pPr>
        <w:ind w:left="1540" w:right="160" w:hanging="331"/>
        <w:spacing w:after="0" w:line="261" w:lineRule="auto"/>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and external costs and expenses incurred by Parent or its affiliates reasonably allocable to the applicable product for the CVR Product Agreement (e.g., technology transfer costs, litigation costs, contractual expenses, patent maintenance costs and the like), but excluding general and administration expenses, overhead, shared services and indirect costs, non-cash costs and recovery or allocation of capital expenditures;</w:t>
      </w:r>
    </w:p>
    <w:p>
      <w:pPr>
        <w:spacing w:after="0" w:line="85" w:lineRule="exact"/>
        <w:rPr>
          <w:rFonts w:ascii="Times New Roman" w:cs="Times New Roman" w:eastAsia="Times New Roman" w:hAnsi="Times New Roman"/>
          <w:sz w:val="18"/>
          <w:szCs w:val="18"/>
          <w:color w:val="auto"/>
        </w:rPr>
      </w:pPr>
    </w:p>
    <w:p>
      <w:pPr>
        <w:ind w:left="1540" w:right="300" w:hanging="331"/>
        <w:spacing w:after="0" w:line="282" w:lineRule="auto"/>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CVR Product Agreement for tilarginine, out-of-pocket costs relating to business development efforts to enter into the CVR Product Agreement;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out-of-pocket maintenance costs related to the relevant CVRs or the relevant products.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Each holder of the CVRs is entitled to receive (1) a pro rata portion of 80% of net proceeds received by Parent or its Affiliates under any Legacy Product Agreement during the five years after the closing and (2) a pro rata portion of 95% of the net proceeds received by Parent and its Affiliates under the Supportive-Care Product Agreement during the ten years after the closing, in each case, less applicable tax withholding (the “CVR Payment Amount”).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 Procedures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Within 30 days following the receipt of CVR Proceeds, Parent will deliver to the Rights Agent a (1) (i) notice indicating that the holders are entitled to receive one or more payment of CVR Proceeds under the applicable CVR Product Agreement, summarizing the source and trigger event for such payment of CVR Proceeds, and providing a detailed calculation of such CVR Proceeds (including gross proceeds and permitted deductions), (ii) an officer’s certificate certifying such calculation, (iii) any letter of instruction reasonably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required by the Rights Agent, and (2) transfer to the Rights Agent by wire transfer of immediately available funds to an account designated by the Rights Agent an amount of cash equal to the applicable CVR Payment Amount payable to the holders. The Rights Agent will promptly, and in any event within 10 business days of receipt of any CVR Payment notice, send each holder at its registered address a copy of the applicable CVR Payment notice and pay the applicable CVR Payment Amount to the holders.</w:t>
      </w:r>
    </w:p>
    <w:p>
      <w:pPr>
        <w:spacing w:after="0" w:line="180"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Rights Agent shall be entitled to deduct or withhold, or cause to be deducted and withheld, from any CVR Payment Amount payable pursuant to the CVR Agreement, such amounts as are reasonably determined to be required to be deducted or withheld therefrom under applicable tax law.</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Parent agrees to use commercially reasonable efforts to (1) for five years following the closing, enter into a Legacy Product Agreement and (2) for two years following the closing, develop and seek regulatory approval for tilarginine. Parent may appoint an advisor to assist with the marketing or sale of tilarginine. Neither Parent nor Obsidian will take any action for the primary purpose of delaying, preventing or minimizing the CVR Payment Amounts.</w:t>
      </w:r>
    </w:p>
    <w:p>
      <w:pPr>
        <w:spacing w:after="0" w:line="180"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Parent will provide the Rights Agent semi-annual reports during the applicable time period in which CVR Payment Amounts are payable, summarizing performance and activity related to the CVR Product Agreements and any CVR Payment Amounts paid or payable during such period. The holders will have the right to appoint an independent accountant to audit the books and records of Parent once per year upon reasonable advance written notice to evaluate and verify the payments received under any CVR Product Agreement and the CVR Payment Amounts.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Requisite Holder Approval Requirements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CVR Agreement provides that decisions of the holders under the CVR Agreement will be made with approval of the holders of not less than 50% of the then-outstanding CVRs to take certain actions (the “Requisite Holders”). In particular, the consent of the Requisite Holders is required (1) to appoint a new Rights Agent that does not meet the qualifications specified in the CVR Agreement, (2) to enter into certain amendments to the CVR Agreement, and (3) for Parent to assign the CVR Agreement (subject to certain carve-outs for affiliate transfers).</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CVR Agreement does not purport to be complete and is qualified in its entirety by the full text of the form of CVR Agreement, which is attached hereto as </w:t>
      </w:r>
      <w:r>
        <w:rPr>
          <w:rFonts w:ascii="Times New Roman" w:cs="Times New Roman" w:eastAsia="Times New Roman" w:hAnsi="Times New Roman"/>
          <w:sz w:val="18"/>
          <w:szCs w:val="18"/>
          <w:i w:val="1"/>
          <w:iCs w:val="1"/>
          <w:color w:val="auto"/>
        </w:rPr>
        <w:t>Appendix B</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Concurrent Financing</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Concurrently with entering into the merger agreement, Parent and Galera entered into the subscription agreement with the 2026 Galera PIPE Investors. Pursuant to the subscription agreement, and subject to the terms and conditions therein, Galera agreed to sell, and the 2026 Galera PIPE Investors agreed to purchase, immediately prior to the Obsidian merger effective time, shares of Galera Series C preferred stock, for an aggregate purchase price of $350.0 million. In the event Obsidian consummates a Permitted Obsidian Bridge Financing prior to the Obsidian merger effective time and a 2026 Galera PIPE Investor funds a portion of such Permitted Obsidian Bridge Financing, such 2026 Galera PIPE Investor’s aggregate purchase amount under the subscription agreement will be reduced dollar for dollar by an amount equal to such 2026 Galera PIPE Investor’s Permitted Obsidian Bridge Financing funding amount. Shares of Galera Series C preferred stock issued pursuant to the concurrent financing will be converted into shares of Galera common stock immediately after they are issued and then, in accordance with the terms of the merger agreement, will be converted into shares of Parent common stock at the Galera merger effective time. The closing of the concurrent financing is anticipated to occur on or about the date of the closing of the mergers, subject to the satisfaction of customary closing conditions.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concurrent financing, Parent and Galera also entered into the 2026 PIPE Registration Rights Agreement with the 2026 Galera PIPE Investors in connection with the concurrent financing. Pursuant to the 2026 PIPE Registration Rights Agreement, the combined company will prepare and file a resale registration statement with the SEC within 30 calendar days following the closing. The combined company will use its reasonable best efforts to cause such registration statement to become effective at the earliest possible date.</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0940"/>
          </w:cols>
          <w:pgMar w:left="320" w:top="455" w:right="6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MERGERS</w:t>
      </w:r>
    </w:p>
    <w:p>
      <w:pPr>
        <w:spacing w:after="0" w:line="22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for holders of Galera common stock and Obsidian common stock. This discussion only applies to holders of Galera common stock or Obsidian common stock that hold their Galera common stock or Obsidian common stock as capital assets for U.S. federal income tax purposes within the meaning of Section 1221 of the Code, and does not describe all of the tax consequences that may be relevant to holders of Galera common stock or Obsidian common stock in light of their particular circumstances, including alternative minimum taxes and the tax on net investment income, or consequences to holders who are subject to special rules, such as:</w:t>
      </w:r>
    </w:p>
    <w:p>
      <w:pPr>
        <w:spacing w:after="0" w:line="89" w:lineRule="exact"/>
        <w:rPr>
          <w:sz w:val="20"/>
          <w:szCs w:val="20"/>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thrifts, mutual funds and other financial institutions or financial services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pension funds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and real estate investment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expatriates and former citizens or former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securities pursuant to an exercise of employee share options, in connection with employee incentive plans or otherwise as compensation;</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tax accounting with respect to the Galera common stock or Obsidian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foreign currency;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retirement and other deferred accounts;</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their Galera common stock or Obsidian common stock as part of a “straddle,” hedge, conversion, constructive sale or other risk reducing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directly, indirectly or constructively own 10% or more (by vote or value) of Galera or Obsidian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purchase or sell their shares as part of a wash sale for tax purposes;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 or Sponsor Persons;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is not the U.S. dollar;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investors in such entities;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are “controlled foreign corporations” or “passive foreign investment companies,” referred to as “PFICs,”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Galera common stock or Obsidian common stock as a result of such income being recognized on an applicable financial statement;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that is treated as a surrogate foreign corporation under Section 7874 of the Code.</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This discussion does not consider the tax treatment of entities that are partnerships or other pass-through entities for U.S. federal income tax purposes or persons who hold Galera common stock or Obsidian common stock through such entities. If a partnership or other pass-through entity for U.S. federal income tax purposes is the beneficial owner of Galera common stock or Obsidian common stock, the U.S. federal income tax treatment of partners of the partnership will generally depend on the status of the partners and the activities of the partner and the partnership.</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80"/>
          </w:cols>
          <w:pgMar w:left="320" w:top="455" w:right="4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discussion is based on the Code, administrative pronouncements, judicial decisions and final, temporary and proposed Treasury regulations, all as of the date hereof, changes to any of which subsequent to the date of this Registration Statement may affect the tax consequences described herein. This discussion does not take into account potential suggested or proposed changes in such tax laws which may impact the discussion below and does not address any aspect of state, local or non-U.S. taxation, or any U.S. federal taxes other than income taxes. Each of the foregoing is subject to change, potentially with retroactive effect. Holders of Galera common stock or Obsidian common stock are urged to consult their tax advisors with respect to the application of U.S. federal tax laws to their particular situation, as well as any tax consequences arising under the laws of any state, local or non-U.S. jurisdiction.</w:t>
      </w:r>
    </w:p>
    <w:p>
      <w:pPr>
        <w:spacing w:after="0" w:line="18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INVESTORS SHOULD CONSULT WITH THEIR TAX ADVISORS WITH RESPECT TO THE APPLICATION OF THE U.S. FEDERAL INCOME TAX LAWS (INCLUDING ANY POTENTIAL FUTURE CHANGES THERETO) TO THEIR PARTICULAR SITUATIONS, AS WELL AS ANY TAX CONSEQUENCES ARISING UNDER THE U.S. FEDERAL ESTATE OR GIFT TAX LAWS OR UNDER THE LAWS OF ANY U.S. STATE, LOCAL, NON-U.S. OR OTHER TAXING JURISDICTION OR UNDER ANY APPLICABLE INCOME TAX TREATY.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purpose of this discussion, a “U.S. holder” is a beneficial owner of Galera common stock or Obsidian common stock who is, or that is for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purposes:</w:t>
      </w:r>
    </w:p>
    <w:p>
      <w:pPr>
        <w:spacing w:after="0" w:line="112" w:lineRule="exact"/>
        <w:rPr>
          <w:sz w:val="20"/>
          <w:szCs w:val="20"/>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administration of such trust and one or more U.S. persons have the authority to control all substantial decisions of the trust or (2) it has a valid election in place to be treated as a U.S. person.</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ALL HOLDERS OF GALERA COMMON STOCK OR OBSIDIAN COMMON STOCK SHOULD CONSULT THEIR TAX ADVISORS REGARDING THE TAX CONSEQUENCES OF THE BUSINESS COMBINATION AND RELATED TRANSACTIONS TO THEM, INCLUDING THE EFFECTS OF U.S. FEDERAL, STATE, LOCAL, NON-U.S. AND OTHER TAX 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Neither Galera nor Obsidian intend to obtain a ruling from the IRS on the tax treatment of the transactions in respect their classifications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“reorganizations” within the meaning of Section 368(a) of the Code or as an “exchange” described in Section 351 of the Code. In the opinion of Sidley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Austin LLP, for U.S. federal income tax purposes, the Galera merger and Obsidian merger should, individually, constitute a “reorganization” within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meaning of Section 368(a) of the Code and the mergers and contribution taken together should qualify as a transaction governed by Section 351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Code, irrespective of the U.S. federal income tax treatment of the receipt of the CVRs by the Galera U.S. holders as described in detail below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Material U.S. Federal Income Tax Consequences of the Receipt of CVRs</w:t>
      </w:r>
      <w:r>
        <w:rPr>
          <w:rFonts w:ascii="Times New Roman" w:cs="Times New Roman" w:eastAsia="Times New Roman" w:hAnsi="Times New Roman"/>
          <w:sz w:val="18"/>
          <w:szCs w:val="18"/>
          <w:color w:val="auto"/>
        </w:rPr>
        <w:t>” beginning on page 180 of this information statement/prospectus. However,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IRS is not bound by opinion of counsel and, as a result, it is possible that the IRS may take a different position and that a court may uphold such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different position.</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to U.S. Holders of Galera Common Stock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receipt of shares of Parent common stock in exchange for shares of Galera common stock pursuant to the Galera merger, taken together with the receipt of shares of Parent common stock in exchange for Obsidian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common stock pursuant to the Obsidian merger, will qualify as an “exchange” described in Section 351 of the Code and/or, taken alone, will qualify as a “reorganization” within the meaning of Section 368(a) of the Code. As a result of the foregoing, a U.S. holder of shares of Galera common stock receiving shares of Parent common stock pursuant to the Galera merger will not recognize gain or loss with respect to such receipt of such shares for U.S. federal tax purposes. The aggregate adjusted tax basis of the shares of Parent common stock the U.S. holder of shares of Galera common stock receives will be equal to the aggregate adjusted tax basis of the shares of Galera common stock the U.S. holder surrendered pursuant to the Galera merger, and the holding period of the shares of Parent common stock will include the U.S. holder’s holding period of the shares of Galera common stock surrendered therefor. A U.S. holder of shares of Galera common stock who acquired such shares at different times should consult their tax advisors with respect to the application of U.S. federal tax laws to their particular situation.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to U.S. Holders of Obsidian Common Stock</w:t>
      </w:r>
    </w:p>
    <w:p>
      <w:pPr>
        <w:spacing w:after="0" w:line="121" w:lineRule="exact"/>
        <w:rPr>
          <w:sz w:val="20"/>
          <w:szCs w:val="20"/>
          <w:color w:val="auto"/>
        </w:rPr>
      </w:pPr>
    </w:p>
    <w:p>
      <w:pPr>
        <w:ind w:left="120" w:right="140" w:firstLine="440"/>
        <w:spacing w:after="0" w:line="271" w:lineRule="auto"/>
        <w:rPr>
          <w:sz w:val="20"/>
          <w:szCs w:val="20"/>
          <w:color w:val="auto"/>
        </w:rPr>
      </w:pPr>
      <w:r>
        <w:rPr>
          <w:rFonts w:ascii="Times New Roman" w:cs="Times New Roman" w:eastAsia="Times New Roman" w:hAnsi="Times New Roman"/>
          <w:sz w:val="17"/>
          <w:szCs w:val="17"/>
          <w:color w:val="auto"/>
        </w:rPr>
        <w:t>The receipt of shares of Parent common stock in exchange for Obsidian common stock pursuant to the Obsidian merger, taken together with the receipt of shares of Parent common stock in exchange for shares of Galera common stock pursuant to the Galera merger, will qualify as an “exchange” described in Section 351 of the Code and/or, taken alone, will qualify as a “reorganization” within the meaning of Section 368(a) of the Code, and, therefore, a U.S. holder of shares of Obsidian common stock receiving shares of Parent common stock pursuant to the Obsidian merger will not recognize gain or loss with respect to such receipt of such shares for U.S. federal tax purposes. The aggregate adjusted tax basis of the Parent common stock a U.S. holder of Obsidian common stock receives will generally be equal to the aggregate adjusted tax basis of the Obsidian common stock the U.S. holder surrendered pursuant to the Obsidian merger, and the holding period of the shares of Parent common stock will generally include the U.S. holder’s holding period of the Obsidian common stock surrendered therefor. A U.S. holder of shares of Obsidian common stock who acquired such shares at different times should consult their tax advisors with respect to the application of U.S. federal tax laws to their particular situation.</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Reporting Requirements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U.S. holders of Galera common stock or Obsidian common stock that receive shares of Parent common stock and, upon completion of the transactions, own shares of Parent common stock representing at least 5.0% of the total combined voting power or value of the total outstanding shares of Parent common stock, are required to attach to their tax returns for the year in which the mergers are consummated, and maintain a permanent record of, a statement containing the information listed in Treasury regulations section 1.351-3. The facts to be disclosed by a U.S. holder include the aggregate fair market value of, and the U.S. holder’s basis in, the shares of Galera common stock or the Obsidian common stock, as applicable, exchanged pursuant to the mergers.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Dissenters’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merger agreement and the mergers are approved by the required vote of Galera and Obsidian stockholders and is not abandoned or terminated, holders of Galera common stock or Obsidian common stock who did not approve the merger agreement or the mergers may be entitled to dissenters’ rights as described herein and can demand to have Galera or Obsidian, as applicable, purchase its shares for cash at their fair market value (as more fully discussed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Exercise of Dissenters’ Rights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Galera and Obsidian stockholders who exercise dissenters’ rights and receive cash consideration will recognize gain or loss equal to the difference between the amount of cash received and their adjusted tax basis in the shares surrendered in exchange therefor. For non-corporate holders, such gain should be entitled to the long-term capital gains rate assuming the holder held the shares for at least one year. The recognition of losses is subject to limitations.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color w:val="auto"/>
        </w:rPr>
        <w:t>The preceding discussion is not a complete analysis or discussion of all potential tax effects that may be important to you. Thus, you are strongly encouraged to consult your tax advisor as to the specific tax consequences resulting from the mergers, including tax return reporting requirements, the applicability and effect of federal, state, local, and other tax laws and the effect of any proposed changes in the tax laws.</w:t>
      </w:r>
    </w:p>
    <w:p>
      <w:pPr>
        <w:spacing w:after="0" w:line="8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0940"/>
          </w:cols>
          <w:pgMar w:left="320" w:top="455" w:right="6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RECEIPT OF CVRS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the receipt of CVRs by Galera U.S. holders (as defined above) with respect to Galera common stock. This discussion does not purport to be a complete analysis of all potential tax consequences that may be relevant to a Galera U.S. holder.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Galera U.S. holder. Galera has not sought and does not intend to seek any rulings from the IRS regarding the matters discussed below. There can be no assurance the IRS or a court will not take a position contrary to that discussed below regarding the tax consequences of the receipt of CVRs.</w:t>
      </w:r>
    </w:p>
    <w:p>
      <w:pPr>
        <w:spacing w:after="0" w:line="192" w:lineRule="exact"/>
        <w:rPr>
          <w:sz w:val="20"/>
          <w:szCs w:val="20"/>
          <w:color w:val="auto"/>
        </w:rPr>
      </w:pPr>
    </w:p>
    <w:p>
      <w:pPr>
        <w:jc w:val="both"/>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This discussion is limited to Galera U.S. holders that hold Galera common stock as a “capital asset” within the meaning of Section 1221 of the Code (generally, property held for investment). This discussion does not address all U.S. federal income tax consequences relevant to a Galera U.S. holder’s particular circumstances, including the impact of the alternative minimum tax or the Medicare contribution tax on net investment income.</w:t>
      </w:r>
    </w:p>
    <w:p>
      <w:pPr>
        <w:spacing w:after="0" w:line="15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THIS DISCUSSION IS FOR INFORMATION PURPOSES ONLY AND IS NOT TAX ADVICE. HOLDERS SHOULD CONSULT THEIR TAX ADVISORS WITH RESPECT TO THE APPLICATION OF THE U.S. FEDERAL INCOME TAX LAWS TO THEIR PARTICULAR SITUATIONS AS WELL AS ANY TAX CONSEQUENCES OF THE RECEIPT OF CVRs ARISING UNDER THE U.S. FEDERAL ESTATE OR GIFT TAX LAWS OR UNDER THE LAWS OF ANY STATE, LOCAL OR NON-U.S. TAXING JURISDICTION OR UNDER ANY APPLICABLE INCOME TAX TREATY.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Treatment of the Issuance of the CVRs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form, the CVRs are issued to Galera U.S. holders by Galera by means of an in-kind distribution in respect to each outstanding share of Galera common stock. Despite the legal form of a distribution, Galera intends to treat the issuance of the CVRs, consistent with the substance of the overall transaction, as additional consideration paid with respect to such Galera common stock in connection with the Galera merger. No assurance can be given that the IRS would not assert, or that a court would not sustain, a position contrary to any description of the intended tax consequences summarized below. No advance ruling has been or will be sought from the IRS regarding any matter discussed in this Registration Statement. The remainder of this discussion assumes the CVRs are issued as additional consideration paid with respect to such Galera common stock in connection with the Galera merger.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Treatment of CVRs by Galera U.S. Holders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There is substantial uncertainty as to the tax treatment of the CVRs. Specifically, there is no authority directly addressing whether contingent value rights with characteristics similar to the CVRs issued in the manner contemplated in this transaction should be treated as a distribution of property with respect to Galera’s stock, a distribution of equity, a “debt instrument” or an “open transaction” for U.S. federal income tax purposes. Under applicable U.S. tax principles such questions are inherently factual in nature. As a result, it is not possible to express a definitive conclusion as to the U.S. federal income tax treatment of receipt of the CVRs or receipt of payments (if any) pursuant to the CVRs. Based on the specific characteristics of the CVRs, Galera intends to treat the issuance of the CVRs as a distribution of property with respect to its stock. No assurance can be given that the IRS would not assert, or that a court would not sustain, a position contrary to any description of the intended tax consequences summarized below. No advance ruling has been or will be sought from the IRS regarding any matter discussed in this Registration Statement.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00"/>
          </w:cols>
          <w:pgMar w:left="320" w:top="455" w:right="4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 Galera U.S. holder will recognize gain (but not loss), with respect to such Galera common stock held, in an amount equal to the lesser of (i) any gain realized with respect to such shares and (ii) the fair market value of the CVRs. A Galera U.S. holder’s gain realized will equal the difference between (i) the sum of the fair market value of the Parent common stock and the CVRs received and (ii) such holder’s tax basis in such Galera common stock surrendered. Any such gain recognized by a Galera U.S. holder with respect to the receipt of the CVRs should be capital gain, which will be long-term or short-term depending on the Galera U.S. holder’s holding period for such Galera common stock. The aggregate adjusted tax basis of the Parent common stock received in the transaction by a Galera U.S. holder will equal the aggregate adjusted tax basis of such holder’s Galera common stock exchanged therefore, decreased by the fair market value of the CVRs received by such Galera U.S. holder and increased by any gain recognized by such holder. The aggregate adjusted tax basis of the CVRs received in the transaction by a Galera U.S. holder will equal their fair market value as of the effective time of the merger, and the holding period for the CVRs received will begin the day after the effective time of the transaction.</w:t>
      </w:r>
    </w:p>
    <w:p>
      <w:pPr>
        <w:spacing w:after="0" w:line="188"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However, the treatment of such future payments is uncertain and alternative treatments are possible, although not expected. One such possible treatment is that the CVRs could be treated as one or more “debt instruments.” If that were to be the case, then payments received with respect to the CVRs generally would likely be treated as payments in retirement of a “debt instrument,” except to the extent interest is imputed under the Code. If those rules were to apply, interest generally would be imputed under complex rules. In such a case, a Galera U.S. holder would be required to include any such interest in income on an annual basis, whether or not currently paid.</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It is possible, although Galera believes unlikely, that the issuance of the CVRs could be treated as a distribution of equity for U.S. federal income tax purposes, in which case Galera U.S. holders should not recognize gain or loss as a result of the issuance of the CVRs. Depending on the fair market value of the CVRs on the date of their issuance, each Galera U.S. holder’s tax basis in such holder’s Galera common stock would be allocated between such holder’s Galera common stock and such holder’s CVRs. The holding period of such CVRs should include the Galera U.S. holder’s holding period of such holder’s Galera common stock. Future payments on a CVR received by a Galera U.S. holder would likely be treated as dividends to the extent of the Galera U.S. holder’s pro rata share of Galera’s current or accumulated earnings and profits (as determined for U.S. federal income tax purposes), then as a non-taxable return of capital to the extent of the Galera U.S. holder’s basis in the CVR, and finally as capital gain from the sale or exchange of the CVR with respect to any remaining value. As discussed above, Galera does not intend to report the issuance of the CVRs as a distribution of equity and any Galera U.S. holder reporting the CVR issuance as a distribution of equity may face an increased chance of being audited by the IRS with respect to such reporting.</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It is possible, although again Galera believes unlikely, that the issuance of the CVRs could be treated as subject to the “open transaction” doctrine if the value of the CVRs on the Closing date cannot be “reasonably ascertained.” If the receipt of CVRs were treated as an “open transaction” for U.S. federal income tax purposes, each Galera U.S. holder would not immediately take the CVRs into account in determining whether such holder must recognize gain (if any) on the receipt of the CVRs and such holder would take no tax basis in the CVRs. Rather, the Galera U.S. holder’s U.S. federal income tax consequences would be determined in line with the discussion above based on whether the CVRs are treated as a distribution of property or of equity at the time the payments with respect to the CVRs are received or deemed received in accordance with the Galera U.S. holder’s regular method of accounting. As discussed above, Galera does not intend to report the issuance of the CVRs as an open transaction and any Galera U.S. holder reporting the CVR issuance as an open transaction may face an increased chance of being audited by the IRS with respect to such reporting.</w:t>
      </w:r>
    </w:p>
    <w:p>
      <w:pPr>
        <w:spacing w:after="0" w:line="19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Assuming the issuance of the CVRs is treated for U.S. federal income tax purposes as a distribution of property with respect to Galera’s stock, the CVRs should generally be treated as capital assets for U.S. federal income tax purposes once issued.</w:t>
      </w:r>
    </w:p>
    <w:p>
      <w:pPr>
        <w:spacing w:after="0" w:line="162" w:lineRule="exact"/>
        <w:rPr>
          <w:sz w:val="20"/>
          <w:szCs w:val="20"/>
          <w:color w:val="auto"/>
        </w:rPr>
      </w:pPr>
    </w:p>
    <w:p>
      <w:pPr>
        <w:jc w:val="center"/>
        <w:ind w:right="340"/>
        <w:spacing w:after="0" w:line="454" w:lineRule="auto"/>
        <w:rPr>
          <w:sz w:val="20"/>
          <w:szCs w:val="20"/>
          <w:color w:val="auto"/>
        </w:rPr>
      </w:pPr>
      <w:r>
        <w:rPr>
          <w:rFonts w:ascii="Times New Roman" w:cs="Times New Roman" w:eastAsia="Times New Roman" w:hAnsi="Times New Roman"/>
          <w:sz w:val="18"/>
          <w:szCs w:val="18"/>
          <w:color w:val="auto"/>
        </w:rPr>
        <w:t>PLEASE CONSULT YOUR TAX ADVISOR WITH RESPECT TO THE PROPER CHARACTERIZATION OF THE RECEIPT OF THE CVRs. 182</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DGCL, if the Galera merger is consummated, stockholders and beneficial owners (as defined in Section 262) of shares of Galera common stock with respect to which the holder thereof has not consented to the adoption of the merger agreement will have the right to not accept the Galera merger consideration provided for pursuant to the merger agreement for their shares of Galera common stock and will have the right to seek appraisal of their shares and to receive payment in cash for the fair value of their shares, exclusive of any element of value arising from the accomplishment or expectation of the Galera merger, as determined by the Delaware Court of Chancery, together with interest, if any, to be paid upon the amount determined to be fair value. The “fair value” of shares of Galera common stock as determined by the Delaware Court of Chancery may be more or less than, or the same as, the Galera merger consideration that stockholders are otherwise entitled to receive under the terms of the merger agreement. These rights are known as appraisal rights. To exercise your appraisal rights, strict compliance with the statutory procedures in Section 262 is required. Failure to follow precisely any of the statutory requirements will result in the loss of your appraisal rights. Stockholders or beneficial owners (as defined in Section 262) wishing to exercise the right to seek appraisal of their shares of Galera common stock must do all of the following:</w:t>
      </w:r>
    </w:p>
    <w:p>
      <w:pPr>
        <w:spacing w:after="0" w:line="100" w:lineRule="exact"/>
        <w:rPr>
          <w:sz w:val="20"/>
          <w:szCs w:val="20"/>
          <w:color w:val="auto"/>
        </w:rPr>
      </w:pPr>
    </w:p>
    <w:p>
      <w:pPr>
        <w:ind w:left="1080" w:right="40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or beneficial owner must not have executed the Galera written consent or otherwise caused their shares to be voted in favor of the adoption of the merger agreement;</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or beneficial owner must properly deliver to Galera a written demand for appraisal of such holder’s or owner’s shares of Galera common stock within 20 days after the date of this information statement/prospectus being given;</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or beneficial owners must continuously hold (in the case of record holders) or continuously own (in the case of beneficial owners) the shares from the date of making the demand through the Galera merger effective time. A stockholder or beneficial owner will lose appraisal rights if the stockholder or beneficial owner transfers the shares before the Galera merger effective time;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 or beneficial owner must otherwise comply with Section 262.</w:t>
      </w:r>
    </w:p>
    <w:p>
      <w:pPr>
        <w:spacing w:after="0" w:line="225"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Additionally, either the surviving corporation or any stockholder or beneficial owner who has properly demanded appraisal must file a petition in the Delaware Court of Chancery requesting a determination of the fair value of the shares within 120 days after the Galera merger effective time. The surviving corporation is under no obligation to file any petition and has no present intention of doing so.</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section is intended as a brief summary of the material provisions of the Delaware statutory procedures that a Galera stockholder or beneficial owner must follow in order to seek and perfect appraisal rights. This summary, however, is not a complete statement of all applicable requirements, and is qualified in its entirety by reference to Section 262, the full text of which may be accessed without subscription or cost at the following publicly available website: https://delcode.delaware.gov/title8/c001/sc09/#262 and is expressly incorporated herein by reference. The following summary does not constitute any legal or other advice, nor does it constitute a recommendation that Galera stockholders or beneficial owners exercise their appraisal rights under Section 262. Unless the context requires otherwise, all references in Section 262 and in this summary to a “stockholder” or to a “holder of shares” are to a record holder of Galera common stock. Unless the context requires otherwise, all references in Section 262 and in this summary to a “beneficial owner” are to a person who is the beneficial owner of shares of Galera common stock held either in voting trust or by a nominee on behalf of such person. Unless the context requires otherwise, all references in Section 262 and in this summary to a “person” are to any individual, corporation, partnership, unincorporated association or other entity. To the extent that there are any inconsistencies between the foregoing summary, on the one hand, and Section 262, on the other hand, Section 262 will govern.</w:t>
      </w:r>
    </w:p>
    <w:p>
      <w:pPr>
        <w:spacing w:after="0" w:line="188"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This information statement/prospectus constitutes Galera’s notice to its stockholders that appraisal rights are available in connection with the Galera merger, in compliance with the requirements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262. </w:t>
      </w:r>
      <w:r>
        <w:rPr>
          <w:rFonts w:ascii="Times New Roman" w:cs="Times New Roman" w:eastAsia="Times New Roman" w:hAnsi="Times New Roman"/>
          <w:sz w:val="18"/>
          <w:szCs w:val="18"/>
          <w:color w:val="auto"/>
        </w:rPr>
        <w:t>If you wish to consider exercising your appraisal rights, you should carefully review the text of Section 262, which may be accessed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subscription or cost at the following publicly available website: https://delcode.delaware.gov/title8/c001/sc09/#262 and is expressly incorporated herein by reference. Failure to comply timely and properly with the requirements of Section 262 will result in the loss of your appraisal rights under the DGCL.</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you elect to demand appraisal of your shares of Galera common stock, (i) you must properly deliver to Galera a written demand for appraisal of your shares of Galera common stock within 20 days after the date of this information statement/prospectus being given, which must reasonably inform Galera of the identity of the holder of record or the beneficial owner, as applicable, of Galera common stock and that the stockholder or beneficial owner intends thereby to demand appraisal of his, her or its shares of Galera common stock (and, in the case of a demand made by a beneficial owner, the demand must reasonably identify the holder of record of the shares of Galera common stock for which the demand is made, be accompanied by documentary evidence of the beneficial owner’s beneficial ownership of the shares of Galera common stock for which appraisal is demanded, include a statement that such documentary evidence is a true and correct copy of what it purports to be, and provide an address at which such beneficial owner consents to receive notices and to be set forth on the verified list required by Section 262(f)), (ii) you must not have executed the Galera written consent,</w:t>
      </w:r>
    </w:p>
    <w:p>
      <w:pPr>
        <w:spacing w:after="0" w:line="1" w:lineRule="exact"/>
        <w:rPr>
          <w:sz w:val="20"/>
          <w:szCs w:val="20"/>
          <w:color w:val="auto"/>
        </w:rPr>
      </w:pPr>
    </w:p>
    <w:p>
      <w:pPr>
        <w:ind w:left="120" w:hanging="4"/>
        <w:spacing w:after="0" w:line="252" w:lineRule="auto"/>
        <w:tabs>
          <w:tab w:leader="none" w:pos="43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continuously hold the shares from the date of making the demand through the Galera merger effective time and (iv) you must otherwise comply with Section 262. Additionally, you or the surviving corporation must file a petition in the Delaware Court of Chancery requesting a determination of the fair value of the shares within 120 days after the Galera merger effective time. The surviving corporation is under no obligation to file any petition and has no present intention of doing so. If you fail to comply with any of these conditions and the Galera merger is completed, you will be entitled to receive the Galera merger consideration for your shares of Galera common stock as provided for pursuant to the merger agreement, but you will have no appraisal rights with respect to your shares of Galera common stock.</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demands for appraisal should be addressed to Galera Therapeutics, Inc., 101 Lindenwood Drive, Suite 225, Malvern, PA 19355, Attention: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Secretary and should be executed by, or on behalf of, the record holder of the shares of Galera common stock.</w:t>
      </w:r>
    </w:p>
    <w:p>
      <w:pPr>
        <w:spacing w:after="0" w:line="20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be effective, a demand for appraisal by a Galera stockholder must be made (i) by, or in the name of, the record stockholder, fully and correctly, as the stockholder’s name appears on the stockholder’s stock certificate(s) or in the transfer agent’s records, in the case of uncertificated shares or (ii) by a beneficial owner of shares of Galera common stock that meets the requirements above. Alternatively, beneficial owners of shares of Galera common stock may have the holder of record of such shares submit the required demand in respect of their shares.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shares of Galera common stock are owned of record in a fiduciary capacity, such as by a trustee, guardian or custodian, execution of a demand for appraisal must be executed by or on behalf of the holder of record. If the shares of Galera common stock are owned by more than one person, as in a joint tenancy or tenancy in common, the demand should be executed by or on behalf of all joint owners. An authorized agent, including an authorized agent for two or more joint owners, may execute the demand for appraisal for a stockholder of record or beneficial owner; however, the agent must identify the record owner or owners (and, if by an authorized agent of any beneficial owner or owners, must identify the beneficial owner or owners and otherwise comply with the requirements applicable to appraisal demands made by beneficial owners) and expressly disclose the fact that, in executing the demand, he or she is acting as agent for the record owner or owners or beneficial owner or owners. A record owner, such as a bank, brokerage firm or other nominee, who holds shares of Galera common stock as a nominee for others, may exercise his or her right of appraisal with respect to the shares of Galera common stock held for one or more beneficial owners, while not exercising this right for other beneficial owners. In that case, the written demand should state the number of shares of Galera common stock as to which appraisal is sought. Where no number of shares of Galera common stock is expressly mentioned, the demand will be presumed to cover all shares of Galera common stock held in the name of the record owner demanding appraisal.</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Within ten days after the Galera merger effective time, the surviving corporation must give notice of the date that the Galera merger has become effective to each of the Galera stockholders who have properly made a written demand for appraisal pursuant to Section 262 and who did not execute the Galera written consent or otherwise have their shares voted in favor of the adoption of the merger agreement.</w:t>
      </w:r>
    </w:p>
    <w:p>
      <w:pPr>
        <w:spacing w:after="0" w:line="176"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At any time within 60 days after the Galera merger effective time, any Galera stockholder or beneficial owner who has properly demanded appraisal, but has not commenced an appraisal proceeding or joined a proceeding as a named party, may withdraw the demand and accept the Galera merger consideration specified by the merger agreement for that person’s shares of Galera common stock by delivering to the surviving corporation a written withdrawal of the demand for appraisal. However, any such attempt to withdraw the demand made more than 60 days after the Galera merger effective time will require written approval of the surviving corporation. Unless the demand is properly withdrawn by the stockholder or beneficial owner within 60 days after the Galera merger effective date, no appraisal proceeding in the Delaware Court of Chancery will be dismissed as to any person without the approval of the Delaware Court of Chancery, and such approval may be conditioned upon such terms as the Delaware Court of Chancery deems just (including without limitation, a reservation of jurisdiction for any application to the Court made with respect to the allocation of the expenses of the proceeding). Notwithstanding the foregoing, any person who has not commenced an appraisal petition or joined the proceeding as a named party may withdraw his, her or its demand for appraisal and accept the merger consideration within 60 days after the Galera merger effective time or thereafter with the written approval of the surviving corporation.</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Within 120 days after the Galera merger effective time, but not thereafter, either the surviving corporation or any stockholder or beneficial owner who has complied with the requirements of Section 262 and is entitled to appraisal rights under Section 262 may commence an appraisal proceeding by filing a petition in the Delaware Court of Chancery demanding a determination of the fair value of the shares of Galera common stock held by all persons entitled to appraisal. Upon the filing of the petition by a stockholder or beneficial owner, service of a copy of such petition will be made upon the surviving corporation. The surviving corporation has no obligation to file such a petition and has no present intention to file such a petition, and holders and beneficial owners of shares of Galera common stock should not assume that the surviving corporation will file a petition. Accordingly, the holders and beneficial owners of Galera common stock who desire to have their shares appraised should initiate all necessary action to perfect their appraisal rights within the time and manner prescribed by Section 262. In addition, within 120 days after the Galera merger effective time, any stockholder or beneficial owner who has properly filed a written demand for appraisal and who has complied with all requirements for perfecting and exercising his, her, or its appraisal rights, upon written request, will be entitled to receive from the surviving corporation, a statement setting forth the aggregate number of shares of Galera common stock that did not execute the Galera written consent or otherwise did not vote in favor of the adoption of the merger agreement and with respect to which demands for appraisal have been received and the aggregate number of holders or beneficial owners holding or owning such shares (for purposes of which the record holder of shares held by a beneficial owner who has made a demand for appraisal shall not be considered a separate stockholder holding such shares). The statement must be mailed to the stockholder or beneficial owner within ten days after such written request has been received by the surviving corporation or within ten days after expiration of the period for delivery of demands for appraisal, whichever is later.</w:t>
      </w:r>
    </w:p>
    <w:p>
      <w:pPr>
        <w:spacing w:after="0" w:line="195"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If a petition for appraisal is properly filed by a stockholder or beneficial owner in accordance with Section 262 and a copy of the petition is delivered to the surviving corporation, then the surviving corporation will be obligated, within 20 days after receiving service of a copy of the petition, to file with the Delaware Register in Chancery a duly verified list containing the names and addresses of all Galera stockholders and beneficial owners who have demanded an appraisal of their shares of Galera common stock and with whom agreements as to the value of their shares of Galera common stock have not been reached by the surviving corporation. The Delaware Register in Chancery, if so ordered by the Delaware Court of Chancery, shall give notice of the time and place fixed for the hearing of such petition by registered or certified mail to Galera and to the persons on the list filed with the Delaware Register in Chancery. The Delaware Court of Chancery is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empowered to conduct a hearing upon the petition and to determine those Galera stockholders and beneficial owners who have complied with Section 262 and who have become entitled to the appraisal rights provided by Section 262. The Delaware Court of Chancery may require persons who have demanded appraisal for their shares of Galera common stock and who hold or own stock represented by certificates to submit their stock certificates to the Register in Chancery for notation of the pendency of the appraisal proceedings; and if any person fails to comply with that direction, the Delaware Court of Chancery may dismiss the proceedings as to that person.</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Delaware Court of Chancery will dismiss appraisal proceedings as to all persons who are otherwise entitled to appraisal rights unless (1) the total number of shares of Galera common stock for which appraisal rights have been pursued and perfected exceeds one percent of the outstanding shares of the shares of Galera common stock eligible for appraisal or (2) the aggregate value of the Galera merger consideration in respect of the shares of Galera common stock for which appraisal rights have been pursued and perfected exceeds $1 million.</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After the Delaware Court of Chancery determines which Galera stockholders and beneficial owners are entitled to appraisal of their shares of Galera common stock, the appraisal proceeding will be conducted in accordance with the rules of the Delaware Court of Chancery, including any rules specifically governing appraisal proceedings. Through such proceeding, the Delaware Court of Chancery will appraise the shares of Galera common stock, determining their fair value as of the Galera merger effective time after taking into account all relevant factors exclusive of any element of value arising from the accomplishment or expectation of the Galera merger, together with interest, if any, to be paid upon the amount determined to be the fair value. When the value is determined, the Delaware Court of Chancery will direct the payment of such value together with interest, if any, by Galera. Unless the Delaware Court of Chancery in its discretion determines otherwise for good cause shown, interest from the Galera merger effective date through the date of payment of the judgment will be compounded quarterly and will accrue at 5% over the Federal Reserve discount rate (including any surcharge) as established from time to time during the period between the effective time and the date of payment of the judgment. Notwithstanding the foregoing, at any time before the entry of judgment in the proceeding, Galera may pay to each person entitled to appraisal an amount in cash, in which case interest shall accrue thereafter as provided herein only upon the sum of (1) the difference, if any between the amount so paid and the fair value of the shares as determined by the Delaware Court of Chancery, and (2) interest theretofore accrued, unless paid at that time.</w:t>
      </w:r>
    </w:p>
    <w:p>
      <w:pPr>
        <w:spacing w:after="0" w:line="190" w:lineRule="exact"/>
        <w:rPr>
          <w:sz w:val="20"/>
          <w:szCs w:val="20"/>
          <w:color w:val="auto"/>
        </w:rPr>
      </w:pPr>
    </w:p>
    <w:p>
      <w:pPr>
        <w:ind w:left="120" w:firstLine="440"/>
        <w:spacing w:after="0" w:line="276" w:lineRule="auto"/>
        <w:rPr>
          <w:sz w:val="20"/>
          <w:szCs w:val="20"/>
          <w:color w:val="auto"/>
        </w:rPr>
      </w:pPr>
      <w:r>
        <w:rPr>
          <w:rFonts w:ascii="Times New Roman" w:cs="Times New Roman" w:eastAsia="Times New Roman" w:hAnsi="Times New Roman"/>
          <w:sz w:val="17"/>
          <w:szCs w:val="17"/>
          <w:color w:val="auto"/>
        </w:rPr>
        <w:t xml:space="preserve">You should be aware that an investment banking opinion as to fairness, from a financial point of view, of the Galera merger consideration is not necessarily an opinion as to fair value under Section 262. </w:t>
      </w:r>
      <w:r>
        <w:rPr>
          <w:rFonts w:ascii="Times New Roman" w:cs="Times New Roman" w:eastAsia="Times New Roman" w:hAnsi="Times New Roman"/>
          <w:sz w:val="17"/>
          <w:szCs w:val="17"/>
          <w:b w:val="1"/>
          <w:bCs w:val="1"/>
          <w:color w:val="auto"/>
        </w:rPr>
        <w:t>No representation is made as to the outcome of an appraisal of fair value by the Delaware</w:t>
      </w:r>
    </w:p>
    <w:p>
      <w:pPr>
        <w:spacing w:after="0" w:line="1" w:lineRule="exact"/>
        <w:rPr>
          <w:sz w:val="20"/>
          <w:szCs w:val="20"/>
          <w:color w:val="auto"/>
        </w:rPr>
      </w:pPr>
    </w:p>
    <w:p>
      <w:pPr>
        <w:ind w:left="120" w:right="10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Court of Chancery and Galera stockholders and beneficial owners should recognize that such an appraisal could result in a determination of a value higher or lower than, or the same as, the Galera merger consideration. </w:t>
      </w:r>
      <w:r>
        <w:rPr>
          <w:rFonts w:ascii="Times New Roman" w:cs="Times New Roman" w:eastAsia="Times New Roman" w:hAnsi="Times New Roman"/>
          <w:sz w:val="18"/>
          <w:szCs w:val="18"/>
          <w:color w:val="auto"/>
        </w:rPr>
        <w:t>Moreover, Galera, or the surviving corporation, reserves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assert, in any appraisal proceeding, that, for purposes of Section 262 of DGCL, the “fair value” of a share of Galera common stock is less than the Galera merger consideration.</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determining “fair value,” the Delaware Court of Chancery is required to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which could be ascertained as of the date of the merger which throw any light on future prospects of the merged corporation. Section 262 provides that fair value is to be “exclusive of any element of value arising from the accomplishment or expectation of the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the Delaware Supreme Court stated that such exclusion is a “narrow exclusion [that] does not encompass known elements of value,” but</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construed Section 262 to mean that “elements of future value, including the nature of the enterprise, which are known or susceptible of proof as of the date of the merger and not the product of speculation, may be considered.” In addition, the Delaware Court of Chancery has decided that the statutory appraisal remedy, depending on the factual circumstances, may or may not be a dissenter’s exclusive remedy.</w:t>
      </w:r>
    </w:p>
    <w:p>
      <w:pPr>
        <w:spacing w:after="0" w:line="18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costs of the appraisal proceeding (which do not include attorneys’ fees or the fees and expenses of experts) may be determined by the Delaware Court of Chancery and taxed upon the parties as the Delaware Court of Chancery deems equitable in the circumstances. Upon the application of any person whose name appears on the verified list filed by Galera who participated in the proceeding and incurred expenses in connection therewith, the Delaware Court of Chancery may order all or a portion of such expenses in connection with the appraisal proceeding, including, without limitation, reasonable attorneys’ fees and the fees and expenses of experts used in the appraisal proceeding, to be charged pro rata against the value of all shares of Galera common stock entitled to appraisal.</w:t>
      </w:r>
    </w:p>
    <w:p>
      <w:pPr>
        <w:spacing w:after="0" w:line="187"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Any Galera stockholder or beneficial owner who demanded appraisal rights will not, after the Galera merger effective time, be entitled to vote shares of Galera common stock subject to that demand for any purpose or to receive payments of dividends or any other distribution with respect to those shares of Galera common stock, other than with respect to payment as of a record date prior to the Galera merger effective time. However, if no petition for appraisal is filed within 120 days after the Galera merger effective time, or if the Galera stockholder or beneficial owner otherwise fails to perfect, or successfully withdraws or loses his, her or its right to appraisal, then the right of that stockholder or beneficial owner to appraisal will cease and that stockholder or beneficial owner will be entitled to receive the Galera merger consideration (without interest) for his, her or its shares of Galera common stock pursuant to the merger agreement.</w:t>
      </w:r>
    </w:p>
    <w:p>
      <w:pPr>
        <w:spacing w:after="0" w:line="185"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view of the complexity of Section 262, Galera stockholders or beneficial owners who may wish to pursue appraisal rights should consult their own legal and financial advisors.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00"/>
          </w:cols>
          <w:pgMar w:left="320" w:top="455" w:right="4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REGARDING GALERA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Throughout this section, unless otherwise noted, “our,” “we,” and “the Company” refers to Galera Therapeutics, Inc and its subsidiaries.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that historically was focused on developing a portfolio of SOD mimetics to improve radiotherapy in cancer, primarily by reducing one of the most common side effects of radiotherapy, SOM. In October 2025, we sold our assets related to avasopasem and rucosopasem and all other dismutase mimetics assets to Biossil, a privately-held company based in Toronto, Canada. In connection with selling these assets, we assigned and Biossil assumed all rights and obligations under the Royalty Agreement with Blackstone, as described below. We received consideration from Biossil in the form of an upfront payment of $3.5 million and are eligible to receive further payments upon the achievement of future regulatory and commercial milestones and we received contingent value rights of up to $105.0 million in the aggregate.</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December 30, 2024, we completed the acquisition of Nova Pharmaceuticals, Inc. (“Nova”), a privately-held biotechnology company advancing a pan-inhibitor of nitric oxide synthase (“NOS”). With that acquisition, we have shifted our strategic focus to developing a product candidate to treat certain types of advanced breast cancer, including metaplastic breast cancer and other refractory subsets of triple-negative breast cancer (“TNBC”). In support of the acquisition, a syndicate of investors led by Ikarian Capital invested $2.9 million to purchase Galera common stock and pre-funded warrants.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Following the sale to Biossil, our portfolio is now comprised of a pan-NOS inhibitor. Our lead program is a Phase 1/2 trial of the pan-NOS inhibitor in combination with nab-paclitaxel and alpelisib for MpBC. This is an investigator-sponsored trial that is funded by a NIH grant to investigators at Houston Methodist, including the drug supply for the trial. In 2025, the Phase 2a portion of the trial was reached and two additional sites were added: the University of Texas MD Anderson Cancer Center and the NIH Clinical Center. Assuming we are successful in securing additional capital, a second trial for this agent is being planned in TNBC in collaboration with the I-SPY 2 consortium.</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three employees. Galera’s cash balance as of December 31, 2025 is anticipated to fund operations into the first quarter of 2027. With its limited resources, Galera continues to concentrate on developing therapies for breast cancer with toxicity reducing indications. Galera also continues to consider partnerships and alternative ways for advancing these indications. Details of development can be found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Disease Overviews and Our Product Candidate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Forms of Breast Cancer that are the Focus of Galera’s Research and Development</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Breast cancer is the most common cancer in women, accounting for ~31% of all female cancers. While most of these cancers are curable and well managed with surgery, radiotherapy and conventional chemotherapeutic regimens, over 42,000 women still die of breast cancer each year in the United States. These deaths are disproportionately due to more aggressive and resistant subsets of breast cancer, such as TNBC, which is the most aggressive large subtype of breast cancer, accounting for 15-20% of diagnoses, defined by the absence of estrogen (ER) and progesterone (PR) receptors and human epidermal growth factor receptor 2 (“Her2”) expression.</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Metaplastic breast cancer (“MpBC”) is a particularly aggressive form of TNBC that has no satisfactory or approved treatment today and is the target of Galera’s lead product and an ongoing investigator-sponsored trial at the Houston Methodist. It accounts for around 5-7% of TNBC and is particularly resistant to chemotherapy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00"/>
          </w:cols>
          <w:pgMar w:left="320" w:top="455" w:right="4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immunotherapy. It is heterogeneous histologically, with squamous or spindle cell features, or Epithelial-to-Mesenchymal Transition (“EMT”). EMT is a biological process in which epithelial cells lose their characteristics (such as cell-cell adhesion and polarity) and gain mesenchymal properties (such as increased motility and invasiveness). Metastases occur more easily than in other forms of TNBC and it has a worse prognosis, with a survival rate of 8 months or less in patients with metastatic disease. MpBC patients predominately have aberrations in both the PI3K and iNOS pathways.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Investigators at Houston Methodist discovered a new cancer gene, ribosomal protein L39 (“RPL39”), that is associated with chemoresistance and lung metastases in TNBC and MpBC. RPL39 promotes the production of nitric oxide by regulating the function of NOS. Elevated expressions of RPL39 and NOS in MpBC are poor prognostic indicators. These investigators demonstrated that NOS inhibition with the pan-NOS inhibitor NG-monomethyl-L-arginine (L-NMMA) decreased tumor cell proliferation, mammosphere formation, and migration in vitro, and reduced tumor development and growth as well as lung metastasis in TNBC patient-derived xenograft (PDX) models.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Houston Methodist team conducted a phase I/II clinical trial of L-NMMA plus taxane for treating patients with chemorefractory, locally advanced breast cancer (“LABC”) or metastatic TNBC. The treatment achieved an overall response rate of 45.8% (82% for LABC, 9/11), with no grade ≥3 toxicities attributed to L-NMMA. Of the 35 TNBC patients enrolled on this trial, 15 had MpBC. The Company’s subsidiary, Nova, has a worldwide license agreement with Houston Methodist that gives Nova the exclusive rights to certain Houston Methodist patents related to L-NMMA for use in the field of oncology, and non-exclusive rights to certain Houston Methodist know-how for use in connection with the licensed patents.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historically have relied on third party CDMOs for the supply of current good manufacturing practice- (cGMP-) grade clinical trial materials and commercial quantities of our historical product candidates. We previously had a formal agreement with Patheon Manufacturing Services LLC (“Patheon”) for production of avasopasem, which was assumed by Biossil.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biotechnology and pharmaceutical industries put significant emphasis and resources into the development of novel and proprietary therapies for cancer treatment. We have historically faced potential competition from many different sources, including large and specialty pharmaceutical and biotechnology companies, academic research institutions and governmental agencies and public and private research institutions.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key competitive factors affecting the success of our products, if approved, are likely to be their efficacy, safety, convenience, price, the level of generic competition and the availability of reimbursement from government and other third-party payors.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Our policy has historically been to seek to protect our proprietary position by, among other methods, filing or in-licensing U.S. and foreign patents and patent applications related to our product candidate and other proprietary technologies, inventions and improvements, including claims related to composition of matter and methods of use, that are important to the development and implementation of our business. We have relied on trademarks, trade secrets, know-how, continuing technological innovation and potential in-licensing opportunities to develop and maintain our proprietary position. For more information, please see “</w:t>
      </w:r>
      <w:r>
        <w:rPr>
          <w:rFonts w:ascii="Times New Roman" w:cs="Times New Roman" w:eastAsia="Times New Roman" w:hAnsi="Times New Roman"/>
          <w:sz w:val="17"/>
          <w:szCs w:val="17"/>
          <w:i w:val="1"/>
          <w:iCs w:val="1"/>
          <w:color w:val="auto"/>
        </w:rPr>
        <w:t>Risk Factors-Risks Related to Intellectual Property</w:t>
      </w:r>
      <w:r>
        <w:rPr>
          <w:rFonts w:ascii="Times New Roman" w:cs="Times New Roman" w:eastAsia="Times New Roman" w:hAnsi="Times New Roman"/>
          <w:sz w:val="17"/>
          <w:szCs w:val="17"/>
          <w:color w:val="auto"/>
        </w:rPr>
        <w:t>” beginning on page 34 of this information statement/prospectus.</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40"/>
          </w:cols>
          <w:pgMar w:left="320" w:top="455"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Patents and Patent Applications</w:t>
      </w:r>
    </w:p>
    <w:p>
      <w:pPr>
        <w:spacing w:after="0" w:line="121"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2025, Galera has exclusively licensed from Houston Methodist currently pending patent applications and in-force patents related to tilarginine consisting of 2 issued U.S. patents, 1 pending PCT application, 2 pending U.S. patent applications, 14 issued foreign patents, including 1 issued European patent that has been validated in a number of European countries, and 4 pending foreign applications. Galera also has a pending U.S. provisional patent application related to the use of tilarginine in oncology therapies. Any issuing patents from this provisional patent application are estimated to expire in 2046.</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 which we file, including the United States, the patent term is 20 years from the earliest filing date of a non-provisional patent application. In the United States, a patent’s term may be lengthened by patent term adjustment, which compensates a patentee for administrative delays by the USPTO, in examining and granting a patent, or may be shortened if a patent is terminally disclaimed over an earlier expiring patent. In some instances, such a patent term adjustment may result in the term of a United States patent extending beyond 20 years from the earliest filing date of a non-provisional patent application. In the United States, the term of a patent that covers a drug product may also be eligible for patent term extension when regulatory approval is granted, provided the legal requirements are met. This permits patent term restoration as compensation for the patent term lost during the FDA regulatory review process. The Hatch-Waxman Act permits a patent term extension of up to a maximum of five years beyond the expiration of the patent if the patent is eligible for such an extension under the Hatch-Waxman Act. The length of the patent term extension is related to the length of time the drug is under regulatory review; however, it cannot extend the remaining term of a patent beyond a total of 14 years from the date of product approval. For patents that might expire during the Patent Term Extension (PTE) application phase, the patent owner may request an interim patent extension. An interim patent extension increases the patent term by one year while a PTE application is pending and may be renewed up to four times. For each interim patent extension granted, the post-approval patent extension is reduced by one year. To grant the interim extension, the director of the USPTO must determine that approval of the drug covered by the patent for which a patent extension is being sought is likely. Interim patent extensions are not available for a drug for which an NDA has not been submitted. In the U.S., only one patent applicable to an approved drug product may be extended. Similar provisions are available in Europe and certain other jurisdictions to extend the term of a patent that covers an approved drug product. In the future, if and when our drug candidates receive approval by the FDA or foreign regulatory authorities, we expect to apply for patent term extensions on issued, PTE-eligible patents covering those drug products.</w:t>
      </w:r>
    </w:p>
    <w:p>
      <w:pPr>
        <w:spacing w:after="0" w:line="19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Galera has one pan-NOS inhibitor (“L-NMMA” or “tilarginine”) that has reached clinical development as of December 31, 2025. Tilarginine has been studied in hundreds of patients for non-oncologic conditions and in a few Phase I/II trials in patients with cancer. Those trials were conducted by Houston Methodist Hospital, who then exclusively licensed their rights to tilarginine to Nova, which was acquired by Galera on December 30, 2024. We have pending and/or in force patent families including U.S. and foreign patents and applications that cover certain combinations of tilarginine with oncology products and therapies that may provide protection for the use of our product candidate in connection with the protocols used in these clinical trials, which are estimated to expire between 2035 and 2045.</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There can be no assurance that any of our pending patent applications will issue or that we will pursue or benefit from any patent term extension or favorable adjustment to the term of any of our patents. The applicable authorities, including the FDA in the United States, may not agree with our assessment of whether such patent term extensions should be granted, and if granted, they may grant more limited extensions than we request. In all cases, the total patent life for the product with the patent extension cannot exceed 14 years from the product’s approval date, or in other words, 14 years of potential marketing time. If the patent life of the product after approval has 14 or more years before expiration, the product would not be eligible for patent extension.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Trademarks and Trade Secrets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We have historically relied upon trade secrets, know-how, continuing technological innovation and potential in-licensing opportunities to develop and maintain our competitive position. We seek to protect our proprietary information, in part, using confidentiality and invention assignment agreements with our commercial partners, collaborators, employees, and consultants. These agreements are designed to protect our proprietary information and, in the case of the invention assignment agreements, to grant us ownership of technologies that are developed through a relationship with an employee or a third party. These agreements may be breached, and we may not have adequate resources to pursue or remedies for any such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Royalty Agreement with Blackstone Life Sciences (Formerly Known as Clarus Ventures)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November 2018, we entered into an Amended and Restated Purchase and Sale Agreement (as subsequently amended, the “Royalty Agreement”) with Clarus IV Galera Royalty AIV, Clarus IV A, L.P., Clarus IV B, L.P., Clarus IV C, L.P. and Clarus IV D, L.P. (collectively, “Blackstone” or “Blackstone Life Sciences”). Pursuant to the Royalty Agreement, Blackstone agreed to pay us, in the aggregate, up to $80.0 million (the “Royalty Purchase Price”), in four tranches of $20.0 million each upon the achievement of specified clinical milestones in our ROMAN trial. We agreed to apply the proceeds from such payments primarily to support clinical development and regulatory activities for our dismutase mimetics (the “Products”) as well as to satisfy working capital obligations and for general corporate expenses. We received the first tranche of the Royalty Purchase Price in November 2018, the second tranche in April 2019, and the third tranche in February 2020.</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May 2020, we entered into Amendment No. 1 to the Royalty Agreement (“Amendment No. 1”) with Clarus IV Galera Royalty AIV, L.P. (the “Blackstone Purchaser”). The Blackstone Purchaser is affiliated with Blackstone Life Sciences, successor in interest to Clarus Ventures. Amendment No. 1 increased the Royalty Purchase Price by $37.5 million to $117.5 million by increasing the fourth tranche from $20.0 million to $37.5 million and adding a new $20.0 million tranche upon the achievement of an additional clinical enrollment milestone. We received the new $20.0 million tranche of the Amendment in June 2021, and received the $37.5 million tranche in July 2021. As partial consideration for Amendment No. 1, we issued two warrants to the Blackstone Purchaser to purchase an aggregate of 550,661 shares of our common stock at an exercise price equal to $13.62 per share, each of which became exercisable upon the receipt by Galera of the applicable specified milestone payment and expire six years after the initial exercise date of each respective warrant.</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August 2025, the Company entered into the Second Amendment to the Royalty Agreement (the “Second Amendment”) with the Blackstone Purchaser. The Second Amendment reduced the royalty payable to Blackstone on (i) worldwide net sales of the Products and (ii) all amounts received by us or our affiliates, licensees and sublicensees with respect to Product-related damages (collectively, the “Product Payments”) from a high single-digit percentage to four percent (4%).</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2025 sale of our dismutase mimetics assets to Biossil, we assigned and Biossil assumed all rights and obligations under the amended Royalty Agreement, and Blackstone acknowledged that it would look solely to Biossil to pay and perform the obligations and liabilities under the amended Royalty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were historically developing. These agencies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the product candidate that we are developing.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Drugs in the United States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United States, the FDA regulates drug products under the Federal Food, Drug, and Cosmetic Act, or FDCA, and implementing regulations. The failure to comply with applicable requirements under the FDCA and other applicable laws at any time during the product development process, approval process or after approval may 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the FDA and the Department of Justice or other governmental entities.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product in the United States must typically undertake the following:</w:t>
      </w:r>
    </w:p>
    <w:p>
      <w:pPr>
        <w:spacing w:after="0" w:line="131" w:lineRule="exact"/>
        <w:rPr>
          <w:sz w:val="20"/>
          <w:szCs w:val="20"/>
          <w:color w:val="auto"/>
        </w:rPr>
      </w:pPr>
    </w:p>
    <w:p>
      <w:pPr>
        <w:ind w:left="1080" w:right="26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and formulation studies in compliance, as applicable, with the Animal Welfare Act and FDA’s good laboratory practice, or GLP,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take effect before human clinical trials may begin;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IRB, representing each clinical site before each clinical trial may be initiated;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or GCP, and other applicable regulations to establish the safety and efficacy of the proposed drug product for each proposed indication;</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packaging, labelling, and distribution of drug substances and drug products consistent with the FDA’s cGMP regulations which are utilized in the GLP non-clinical and GCP clinical studies to investigate the drug candidate;</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product label, package inserts, and prescriber information that is intended to be used and included with the commercial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an NDA;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or components thereof, are produced to assess compliance with cGMP requirements and to assure that the facilities, methods and controls are adequate to preserve the product’s identity, strength, quality and purity;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if appropriate, and securing FDA approval of the NDA; and</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Risk Evaluation and Mitigation Strategies, or REMS, and post-approval studies required by the FDA.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w:t>
      </w:r>
    </w:p>
    <w:p>
      <w:pPr>
        <w:spacing w:after="0" w:line="119" w:lineRule="exact"/>
        <w:rPr>
          <w:sz w:val="20"/>
          <w:szCs w:val="20"/>
          <w:color w:val="auto"/>
        </w:rPr>
      </w:pPr>
    </w:p>
    <w:p>
      <w:pPr>
        <w:ind w:left="120" w:right="2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Preclinical studies include laboratory evaluations of product chemistry, toxicity and formulation,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studies to assess the safety and activity of the drug for initial testing in humans and to</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 trials, among other things, are submitted to the FDA as part of an IND. Some long-term preclinical testing, such as long-term repeat-dose toxicology studies, may continue after the IND is submitted.</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Companies usually must complete some long-term preclinical testing, such as long-term repeat-dose toxicology studies,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 batches of the candidate product and, among other things, the manufacturer must develop methods for testing the identity, strength, quality and purity of the final product. Additionally, appropriate packaging must be selected and tested, and stability studies must be conducted to demonstrate that the candidate product does not undergo unacceptable deterioration over its shelf life.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 and IRB Processes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to be shipped in interstate commerce for use in an investigational clinical trial. In support of a request for an IND, applicants must submit a protocol for each clinical trial and any subsequent protocol amendments must be submitted to the FDA as part of the IND. In addition, the results of preclinical tests, together with manufacturing information, analytical data, any available clinical data or literature and plans for clinical trials, among other things, are submitted to the FDA as part of an IND. An IND goes into effect 30 days after its filing, unless during this 30-day period the FDA raises concerns or questions and imposes a clinical hold.</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A clinical hold is an order issued by the FDA to the sponsor to delay a proposed clinical investigation or to suspend an ongoing investigation. A partial clinical hold is a delay 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 satisfying the FDA that the investigation can proceed. The FDA may also place a clinical hold or partial clinical hold on a trial after a clinical trial has begun.</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trial complies with certain FDA regulatory requirements in order to use the trial as support for an IND or application for marketing approval, including that such trials must be conducted in accordance with GCP, including review and approval by an independent ethics committee, or IEC, and obtaining informed consent from patients. The GCP requirements in the final rule encompass both ethical and data integrity standards for clinical studies. The FDA’s regulations are intended to help ensure the protection of human patients enrolled in non-IND foreign clinical studies, as well as the quality and integrity of the resulting data. They further help ensure that non-IND foreign studies are conducted in a manner comparable to that required for IND studies.</w:t>
      </w:r>
    </w:p>
    <w:p>
      <w:pPr>
        <w:spacing w:after="0" w:line="19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an IRB representing each institution participating in the clinical trial must review and approve the plan for any clinical trial before it commences at that institution, and the IRB must exercise continuing supervision over the trial. The IRB must review and approve, among other things, the trial protocol and informed consent information to be provided to trial patients.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 group maintains to available data from the trial. Suspension or termination of development during any phase of clinical trials can occur if it is determined that the participants or patients are being exposed to an unacceptable health risk. Other reasons for suspension or termination may be made based on evolving business objectives and/or competitive climate.</w:t>
      </w:r>
    </w:p>
    <w:p>
      <w:pPr>
        <w:spacing w:after="0" w:line="183" w:lineRule="exact"/>
        <w:rPr>
          <w:sz w:val="20"/>
          <w:szCs w:val="20"/>
          <w:color w:val="auto"/>
        </w:rPr>
      </w:pPr>
    </w:p>
    <w:p>
      <w:pPr>
        <w:ind w:left="120" w:right="1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Information about certain clinical trials must be submitted within specific timeframes to the NIH for public dissemination on its </w:t>
      </w:r>
      <w:r>
        <w:rPr>
          <w:rFonts w:ascii="Times New Roman" w:cs="Times New Roman" w:eastAsia="Times New Roman" w:hAnsi="Times New Roman"/>
          <w:sz w:val="18"/>
          <w:szCs w:val="18"/>
          <w:i w:val="1"/>
          <w:iCs w:val="1"/>
          <w:color w:val="auto"/>
        </w:rPr>
        <w:t xml:space="preserve">www.ClinicalTrials.gov </w:t>
      </w:r>
      <w:r>
        <w:rPr>
          <w:rFonts w:ascii="Times New Roman" w:cs="Times New Roman" w:eastAsia="Times New Roman" w:hAnsi="Times New Roman"/>
          <w:sz w:val="18"/>
          <w:szCs w:val="18"/>
          <w:color w:val="auto"/>
        </w:rPr>
        <w:t>website.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Human Clinical Trials in Support of an NDA</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patients or healthy volunteers under the supervision of qualified investigators in accordance with GCP requirements, which include, among other things, the requirement that all research patients provide their informed consent in writing before their participation in any clinical trial. Clinical trials are conducted under written trial protocols detailing, among other things, the inclusion and exclusion criteria, the objectives of the trial, the tests to be conducted on study participants, the parameters to be used in monitoring safety and the effectiveness criteria to be evaluated.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Human clinical trials are typically conducted in 3 sequential phases, but the phases may overlap.</w:t>
      </w:r>
    </w:p>
    <w:p>
      <w:pPr>
        <w:spacing w:after="0" w:line="250" w:lineRule="exact"/>
        <w:rPr>
          <w:sz w:val="20"/>
          <w:szCs w:val="20"/>
          <w:color w:val="auto"/>
        </w:rPr>
      </w:pPr>
    </w:p>
    <w:p>
      <w:pPr>
        <w:ind w:left="1080" w:hanging="424"/>
        <w:spacing w:after="0" w:line="267"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1. </w:t>
      </w:r>
      <w:r>
        <w:rPr>
          <w:rFonts w:ascii="Times New Roman" w:cs="Times New Roman" w:eastAsia="Times New Roman" w:hAnsi="Times New Roman"/>
          <w:sz w:val="18"/>
          <w:szCs w:val="18"/>
          <w:color w:val="auto"/>
        </w:rPr>
        <w:t>The drug is initially introduced into healthy human subjects or, in certain indications such as cancer, patients with the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disease or condition and tested for safety, dosage tolerance, absorption, metabolism, distribution, excretion and, if possible, to gain an early indication of its effectiveness and to determine optimal dosage.</w:t>
      </w:r>
    </w:p>
    <w:p>
      <w:pPr>
        <w:spacing w:after="0" w:line="78" w:lineRule="exact"/>
        <w:rPr>
          <w:rFonts w:ascii="Times New Roman" w:cs="Times New Roman" w:eastAsia="Times New Roman" w:hAnsi="Times New Roman"/>
          <w:sz w:val="18"/>
          <w:szCs w:val="18"/>
          <w:color w:val="auto"/>
        </w:rPr>
      </w:pPr>
    </w:p>
    <w:p>
      <w:pPr>
        <w:ind w:left="1080" w:right="420" w:hanging="424"/>
        <w:spacing w:after="0" w:line="284"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Phase 2. </w:t>
      </w:r>
      <w:r>
        <w:rPr>
          <w:rFonts w:ascii="Times New Roman" w:cs="Times New Roman" w:eastAsia="Times New Roman" w:hAnsi="Times New Roman"/>
          <w:sz w:val="18"/>
          <w:szCs w:val="18"/>
          <w:color w:val="auto"/>
        </w:rPr>
        <w:t>The drug is administered to a limited patient population to identify possible adverse effects and safety risks, to preliminarily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 the efficacy of the product for specific targeted diseases and to determine dosage tolerance and optimal dosage.</w:t>
      </w:r>
    </w:p>
    <w:p>
      <w:pPr>
        <w:spacing w:after="0" w:line="63" w:lineRule="exact"/>
        <w:rPr>
          <w:rFonts w:ascii="Times New Roman" w:cs="Times New Roman" w:eastAsia="Times New Roman" w:hAnsi="Times New Roman"/>
          <w:sz w:val="18"/>
          <w:szCs w:val="18"/>
          <w:color w:val="auto"/>
        </w:rPr>
      </w:pPr>
    </w:p>
    <w:p>
      <w:pPr>
        <w:ind w:left="1080" w:right="40" w:hanging="424"/>
        <w:spacing w:after="0" w:line="267" w:lineRule="auto"/>
        <w:tabs>
          <w:tab w:leader="none" w:pos="10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7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Reports detailing activities under, and the status of, an IND must be submitted at least annually to the FDA.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and any clinically important increase in the rate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patients are being exposed to an unacceptable health risk. Similarly, an IRB can suspend or terminate 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88"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Sponsors may reach an SPA agreement with respect to the design of clinical trials. 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Upon specific request by a clinical trial</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sponsor, the FDA will evaluate the protocol and respond to a sponsor’s questions regarding protocol design and scientific and regulatory requirements. The FDA aims to complete SPA reviews within 45 days of receipt of the request. The FDA ultimately assesses whether specific elements of the protocol design of the trial, such as entry criteria, dose selection, endpoints and/or planned analyses, are acceptable to support regulatory approval of the product with respect to the effectiveness of the indication studied. All exchanges between the FDA and the sponsor regarding an SPA must be clearly documented in an SPA letter or the minutes of a meeting between the sponsor and the FDA.</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even after an SPA agreement is finalized, the SPA agreement may be modified, and such modification will be deemed binding on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 Moreover, if the FDA revokes or alters its agreement under the SPA, or interprets the data collected from the clinical trial differently than we do, the FDA may not deem the data sufficient to support an application for regulatory approval.</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Submission of an NDA to the FDA</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subject to an application user fee. The sponsor of an approved NDA is also subject to an annual prescription drug program fee. Certain exceptions and waivers are available for some of these fees, such as an exception from the application fee for drugs with orphan designation and a waiver for certain small businesses. The FDA conducts a preliminary review of an NDA within 60 days of its receipt and informs the sponsor by the 74th day after the FDA’s receipt of the submission to determine whether the application is sufficiently complete to permit substantive review. The FDA may request additional information rather than accept an NDA for filing, and the sponsor receives a Refuse to File Notice.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certain performance goals in the review process of NDAs. The goal for review of most standard applications is within 10 months from the date of filing, and for “priority review” products the review goal is within 6 months of filing. The review process may be extended by the FDA to consider new information or clarification provided by the applicant to address an outstanding deficiency identified by the FDA following the original submission.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or will be manufactured. These pre-approval inspections, or PAIs, may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 at the commercial scale. Additionally, before approving an NDA, the FDA will typically inspect one or more clinical sites to assure compliance with GCP.</w:t>
      </w:r>
    </w:p>
    <w:p>
      <w:pPr>
        <w:spacing w:after="0" w:line="187"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In addition, as a condition of approval, the FDA may require an applicant to develop a Risk Evaluation and Mitigation Strategies, or REMS. REMS uses risk minimization strategies to ensure that the benefits of the product outweigh the potential risks. REMS can include medication guides, physician communication plans for healthcare professionals, and elements to assure safe use, or ETASU. ETASU may include, but are not limited to, special training or certification for prescribing or dispensing, dispensing only under certain circumstances, special monitoring, and the use of patient registries. The FDA may require a REMS at the time of approval or post-approval if it becomes aware of a serious risk associated with use of the product. The requirement for a REMS can materially affect the potential market and profitability of a product.</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or explain why such referral was not made.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Fast Track, Breakthrough Therapy, and Priority Review Designations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fast-track designation, breakthrough therapy designation, and priority review designation.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Specifically, the FDA may designate a product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and assigning a cross-disciplinary project lead for the review team.</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Third, the FDA may designate a product for Priority Review if it is a product that treats a serious condition and, if approved, would provide a significant improvement in safety or effectiveness. The FDA determines, on a case- by-case basis, whether the proposed product represents a significant improvement when compared with</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10 months to 6 months.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FDA’s Decision on an NDA</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 FDA’s satisfaction in a resubmission of the NDA, the FDA may issue an approval letter. The FDA has committed to reviewing such resubmissions in 2 or 6 months depending on the type of information included. Even with submission of this additional information, the FDA ultimately may decide that the application does not satisfy the regulatory criteria for approval.</w:t>
      </w:r>
    </w:p>
    <w:p>
      <w:pPr>
        <w:spacing w:after="0" w:line="189"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 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 requirements and FDA review and approval.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(such as annual reports and quarterly safety reports for the first 3 years),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user fee requirements for any marketed products, as well as new application fees for supplemental applications with clinical data.</w:t>
      </w:r>
    </w:p>
    <w:p>
      <w:pPr>
        <w:spacing w:after="0" w:line="183"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55" w:right="47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7" w:lineRule="exact"/>
        <w:rPr>
          <w:sz w:val="20"/>
          <w:szCs w:val="20"/>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the FDA to approve pending NDAs or supplements to approved NDAs, or suspension or revocation of product license approvals;</w:t>
      </w:r>
    </w:p>
    <w:p>
      <w:pPr>
        <w:spacing w:after="0" w:line="14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All promotional materials must be submitted to FDA prior to the time of their first use. The FDA and other agencies actively enforce the laws and regulations prohibiting the promotion of off-label uses, and a company that is found to have improperly promoted off-label uses may be subject to significant liability.</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or PDMA, which regulates the distribution of drug samples at the federal level and sets minimum standards for the registration and regulation of drug sample distributors by the states. Both the PDMA and state laws limit the distribution of prescription pharmaceutical product samples and impose requirements to ensure accountability in distribution.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505(b)(2) NDAs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NDAs for most new drug products are based on two adequate and well-controlled clinical trials which must contain substantial evidence of the safety and efficacy of the proposed new product. These applications are submitted under Section 505(b)(1) of the FDCA. The FDA is, however, authorized to approve an alternative type of NDA under Section 505(b)(2) of the FDCA. This type of application allows the applicant to rely, in part, on the FDA’s previous findings of safety and efficacy for a similar product, or published literature. Specifically, Section 505(b)(2) of the FDCA applies to an NDA for a drug for which the investigations to show whether the drug is safe and effective and relied upon by the applicant for approval of the application “were not conducted by or for the applicant and for which the applicant has not obtained a right of reference or use from the person by or for whom the investigations were conducted.”</w:t>
      </w:r>
    </w:p>
    <w:p>
      <w:pPr>
        <w:spacing w:after="0" w:line="18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Thus, Section 505(b)(2) authorizes the FDA to approve an NDA based in part on safety and effectiveness data that were not developed by the applicant. Section 505(b)(2) may provide an alternate and potentially more expeditious pathway to FDA approval for new or improved formulations or new uses of previously approved products. If the Section 505(b)(2) applicant can establish that reliance on the FDA’s previous approval is scientifically appropriate, the applicant may eliminate the need to conduct certain preclinical studies or clinical trials of the new product. The FDA may also require companies to perform additional studies or measurements to support the change from the approved product. The FDA may then approve the new drug candidate for all or some of the label indications for which the referenced product has been approved, as well as for any new indication sought by the Section 505(b)(2) applicant.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Abbreviated New Drug Applications for Generic Drugs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1984, with passage of the Hatch-Waxman Amendments to the FDCA, Congress authorized the FDA to approve generic drugs that are the same as drugs previously approved by the FDA under the NDA provisions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statute. To obtain approval of a generic drug, an applicant must submit an abbreviated new drug application, or ANDA, to the agency. In support of such applications, a generic manufacturer may rely on the preclinical and clinical testing previously conducted for a drug product previously approved under an NDA, known as the reference-listed drug, or RLD.</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Specifically, in order for an ANDA to be approved, the FDA generally must find that the generic version is a duplicate to the RLD with respect to the active ingredients, the route of administration, the dosage form, conditions of use and the strength of the drug. The FDA must also determine that the generic drug is “bioequivalent” to the innovator drug. Under the statute, a generic drug is required to be bioequivalent to an RLD.</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Upon approval of an ANDA, the FDA indicates whether the generic product is “therapeutically equivalent” to the RLD in its publication Approved Drug Products with Therapeutic Equivalence Evaluations, also referred to as the Orange Book. Clinicians and pharmacists often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clinicians or patient.</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applies to the condition(s) of use for which the new clinical investigation was conducted, and often protects changes to a previously approved drug product, such as a new dosage form, route of administration, combination or 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Hatch-Waxman Patent Certification and the 30-Month Stay</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Specifically, the applicant must certify with respect to each patent that: (1) the required patent information has not been filed, (2) the listed patent has expired, (3) the listed patent has not expired, but will expire on a particular date and approval is sought after patent expiration; or (4) the listed patent is invalid, unenforceable or will not be infringed by the new product.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or 505(b)(2) application will not be approved until all the listed patents claiming the referenced product have expired (other than method of use patents involving indications for which the applicant is not seeking approval).</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8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 As a result, approval of a Section 505(b)(2) NDA can be stalled until all the listed patents claiming the referenced product have expired, until any non-patent exclusivity, such as exclusivity for obtaining approval of an NCE,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505(b)(2) and NCE Data Exclusivity in U.S.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the United States, the Hatch-Waxman Act provides a 3-year period of non-patent data exclusivity within the United States to the first applicant to gain approval through a 505(b)(2) application seeking regulatory approval of, for example, a new indication, dosage, or strength of an existing drug. This three-year exclusivity covers only the conditions of use associated with the new clinical investigation and does not prohibit the FDA from approving an ANDA for drugs containing the original active agent.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the Hatch-Waxman Act provides period of 5-years of non-patent data exclusivity for a new drug containing a new chemical entity. For the purposes of this provision, a new chemical entity, or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Pediatric Studies and Exclusivity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Administration Safety and Innovation Act or FDASIA, in 2012, sponsors must also submit pediatric trial plans prior to the assessment data. Those plans must contain an outline of the proposed pediatric trial or studies the applicant plans to conduct, including trial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 6 months to the term of any patent or regulatory exclusivity, including orphan exclusivity. This 6-month exclusivity may be granted if an NDA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the latest statutory or regulatory period of exclusivity or patent covering the product is extended by 6 months. This is not a patent term extension, but it effectively extends the regulatory period during which the FDA cannot approve another application.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 and Exclusivity</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 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the product generally will receive orphan drug exclusivity. Orphan drug exclusivity means that the FDA may not approve any other applications for the same product for the same indication for 7 years, except in certain limited circumstances. Competitors may 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 Restoration and Extension</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 of up to 5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and Reimbursement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Our ability to successfully commercialize our product candidate in the event we may receive regulatory approval will depend in significant part on the availability of coverage and reimbursement from third-party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payors, including governmental healthcare programs, such as the Medicare and Medicaid programs in the U.S., private health insurers, managed care organizations, and other entities. Third-party payors may limit coverage to specific products on an approved list, or formulary, which might not include our product candidate. Third-party payors, together with regulators and others, are increasingly challenging the prices charged for pharmaceutical products and related services, in addition to their cost-effectiveness, safety and efficacy.</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foreign regulatory authorities. Interim reimbursement amounts for new drugs, if applicable, may also be insufficient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Coverage and reimbursement policies for drug products can differ significantly from payor to payor as there is no uniform policy of coverage and reimbursement for drug products among third party payors in the U.S. Third party payors in the U.S. often rely upon Medicare coverage policy and payment limitations in setting their own reimbursement policies.</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Moreover, obtaining coverage and adequate reimbursement is a time-consuming and costly process. We may be required to provide scientific and clinical support for the use of any product to each third-party payor separately with no assurance that approval will be obtained, and we may need to conduct expensive pharmacoeconomic studies in order to demonstrate the cost-effectiveness of our products. We cannot be certain that our product candidate will be considered cost-effective by third-party payors. This process could delay the market acceptance of any product candidate for which we may receive approval and could have a negative effect on our future revenues and operating results.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Additionally, individual states in the U.S. have become increasingly active in passing laws and implementing regulations designed to control pharmaceutical product pricing, including reimbursement constraints, discounts, restrictions on certain product access, marketing cost disclosure and transparency measures and, in some cases, mechanisms to encourage importation from other countries and bulk purchasing. It is likely that additional state and federal healthcare reform measures will be adopted in the future, any of which could limit the amounts that federal and state governments will pay for healthcare products and services, which could result in reduced demand for a pharmaceutical manufacturer’s products or additional pricing pressure.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pharmaceutical products that are granted marketing approval. Arrangements with providers, consultants, third-party payors and customers are subject to broadly applicable federal and state fraud and abuse laws, anti-kickback laws, false claims laws, laws requiring reporting of payments to physicians and teaching physicians and other healthcare providers, and other healthcare laws and regulations that may constrain business and/or financial arrangements. Restrictions under applicable healthcare laws and regulations include, but are not limited to, the following:</w:t>
      </w:r>
    </w:p>
    <w:p>
      <w:pPr>
        <w:spacing w:after="0" w:line="89" w:lineRule="exact"/>
        <w:rPr>
          <w:sz w:val="20"/>
          <w:szCs w:val="20"/>
          <w:color w:val="auto"/>
        </w:rPr>
      </w:pPr>
    </w:p>
    <w:p>
      <w:pPr>
        <w:ind w:left="1080" w:right="20" w:hanging="424"/>
        <w:spacing w:after="0" w:line="256" w:lineRule="auto"/>
        <w:tabs>
          <w:tab w:leader="none" w:pos="10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or bribe),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100"/>
          </w:cols>
          <w:pgMar w:left="320" w:top="455" w:right="47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3"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and criminal false claims laws, including the civil False Claims Act, and civil monetary penalties laws, which prohibit, among other things, individuals or entities from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Private individuals, commonly known as “whistleblowers,” can bring False Claims Act qui tam actions on behalf of the government and may share in amounts paid by the defendant to the government in recovery or settlement. In addition, the government may assert that a claim including items and services resulting from a violation of the U.S. federal Anti-Kickback Statute constitutes a false or fraudulent claim for purposes of the False Claims Act; Moreover, manufacturers can be held liable under the False Claims Act even though they, in most cases, do not submit claims directly to government payors if they are deemed to “cause” the submission of false or fraudulent claims;</w:t>
      </w:r>
    </w:p>
    <w:p>
      <w:pPr>
        <w:spacing w:after="0" w:line="99"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created additional federal criminal statutes which prohibit,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92" w:lineRule="exact"/>
        <w:rPr>
          <w:rFonts w:ascii="Times New Roman" w:cs="Times New Roman" w:eastAsia="Times New Roman" w:hAnsi="Times New Roman"/>
          <w:sz w:val="18"/>
          <w:szCs w:val="18"/>
          <w:color w:val="auto"/>
        </w:rPr>
      </w:pPr>
    </w:p>
    <w:p>
      <w:pPr>
        <w:ind w:left="1080" w:right="80" w:hanging="424"/>
        <w:spacing w:after="0" w:line="255"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among others, to track and report annually to the government information related to all payments and other transfers of value made to U.S.-licensed physicians (defined to include doctors, dentists, optometrists, podiatrists and chiropractors), physician assistants, nurse practitioners, clinical nurse specialists, certified registered nurse anesthetists, anesthesiologist assistants, and certified-nurse midwives and U.S. teaching hospitals, as well as track and report ownership and investment interests held in such manufacturers, among others, by U.S.-licensed physicians and their immediate family members, unless an exception applies;</w:t>
      </w:r>
    </w:p>
    <w:p>
      <w:pPr>
        <w:spacing w:after="0" w:line="94"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U.S. state laws and regulations, including, but not limited to: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and that requires tracking gifts and other remuneration and items of value provided to healthcare professionals and entities; and state and local laws that require the registration of pharmaceutical sales representatives; and</w:t>
      </w:r>
    </w:p>
    <w:p>
      <w:pPr>
        <w:spacing w:after="0" w:line="9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healthcare laws and regulations in the EU and other jurisdictions, including reporting requirements detailing interactions with and payments to healthcare providers.</w:t>
      </w:r>
    </w:p>
    <w:p>
      <w:pPr>
        <w:spacing w:after="0" w:line="162"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and regulations will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those actions could have a significant impact on our business, including the imposition of civil, criminal and administrative penalties, damages, disgorgement, monetary fines, individual imprisonment, additional reporting obligations and oversight if we become subject to a corporate integrity agreement or other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agreement to resolve allegations of non-compliance with these laws, possible exclusion from participation in federal healthcare programs, contractual damages, reputational harm, diminished profits and future earnings, and curtailment or restructuring of our operations, any of which could adversely affect our ability to operate our business and our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U.S. and some foreign jurisdictions are considering or have enacted a number of legislative and regulatory proposals to change the healthcare system in ways that could affect our ability to sell our products profitably. Among policy makers and payors in the U.S. and elsewhere, there is significant interest in promoting changes in healthcare systems with the stated goals of containing healthcare costs, improving quality or expanding access.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the U.S. there have been, and continue to be, proposals by the federal government, state governments, regulators and third-party payors to control or manage the costs of health care and, more generally, to reform the U.S. healthcare system. The pharmaceutical industry has been a particular focus of these efforts and has been significantly affected by major legislative initiatives. For example, in March 2010, the Patient Protection and Affordable Care Act, as amended by the Health Care and Education Reconciliation Act (collectively, the “ACA”) was enacted, which included significant changes to the coverage and payment for pharmaceutical products under government health care programs. This law was designed to expand access to health insurance coverage for uninsured and underinsured individuals while containing overall healthcare costs. The ACA and certain of its provisions have been subject to judicial challenges as well as legislative and regulatory efforts to repeal or replace them or to alter their interpretation or implementation. For example, on June 17, 2021, the U.S. Supreme Court dismissed a lawsuit challenging the constitutionality of certain aspects of the ACA without ruling on the merits of the constitutionality arguments.</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Other legislative changes designed to reduce healthcare expenditures have been proposed and adopted in the U.S. since the ACA was enacted. For example, through the process created by the Budget Control Act of 2011, there are automatic reductions of Medicare payments to providers up to 2% per fiscal year, which went into effect in April 2013 and will remain in effect through the first eleven months of FY 2032, unless additional Congressional action is taken (with the exception of a temporary suspension due to the COVID-19 pandemic from May 1, 2020 through March 31, 2022 and a subsequent reduction to 1% from April 1, 2022 until June 30, 2022).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89"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Moreover, there have been several recent U.S. Congressional inquiries and proposed federal legislation designed to, among other things, bring more transparency to pharmaceutical and biological product pricing, reduce the cost of prescription drugs and biological products under Medicare, and reform government program reimbursement methodologies for drug and biological products. For example, in August 2022, former President Biden signed into law the IRA, which implements substantial changes to the Medicare program, including drug pricing reforms and changes to the Medicare Part D benefit design. Among other reforms, the IRA imposes inflation rebates on drug and biological product manufacturers for products reimbursed under Medicare Parts B and D if the prices of those products increase faster than inflation; implements changes to the Medicare Part D benefit that cap benefit annual out-of-pocket spending at $2,000 (adjusted annually for inflation), with new discount obligations for pharmaceutical manufacturers; and establishes a “maximum fair price” for a fixed number of pharmaceutical and biological products covered under Medicare Parts B and D following a price negotiation process with the Centers for Medicare and Medicaid Services (“CMS”). CMS continues to take steps to implement the IRA, including: negotiating and publishing “maximum fair prices” for drugs selected under the IRA’s price negotiation framework and releasing quarterly lists of Medicare Part B products and annual lists of Medicare Part D products that are subject to adjusted coinsurance rates based on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inflationary rebate provisions of the IRA. While it remains to be seen how the drug pricing provisions imposed by the IRA will affect the broader pharmaceutical industry, several pharmaceutical manufacturers and other industry stakeholders have challenged the law, including through lawsuits brought against the HHS, the Secretary of HHS, CMS, and the CMS Administrator challenging the constitutionality and administrative implementation of the IRA’s drug price negotiation provisions. Additionally, when originally enacted, the IRA explicitly excluded from price negotiation orphan drugs designated for only one rare disease or condition and for which the only active approved indication is for such disease or condition. However, the OBBBA signed into law on July 4, 2025 amended the applicable statute to broaden the orphan drug exclusion such that products with more than one orphan designation and more than one approved indication will remain exempt from price negotiation, so long as each approved indication is for a rare disease or condition. The OBBBA also postpones the start of price negotiation requirements for drugs and biologics with orphan designations until the product receives approval for a non-orphan indication.</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current presidential administration has also signaled its intent to pursue additional healthcare reform measures, including those aimed at reducing prescription drug prices, through various means, including presidential executive orders and agency action. These efforts include, among other things, proposals to establish a “most favored nation” drug pricing policy that would tie U.S. drug prices to the prices paid for drugs in other countries. It remains to be seen how these drug pricing initiatives will affect the broader pharmaceutical industry.</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At the state level, individual states in the U.S. have increasingly passed legislation and implemented regulations designed to control pharmaceutical and biological product pricing, including price or patient reimbursement constraints, discounts, restrictions on certain product access and marketing cost disclosures and transparency measures, and, in some cases, laws designed to encourage importation from other countries and bulk purchasing. Some third-party payors also require pre-approval of coverage for new or innovative devices or therapies before they will reimburse healthcare providers that use such therapies. The implementation of cost containment measures or other healthcare reforms may prevent us from being able to generate revenue, attain profitability, or commercialize any product that is ultimately approved. In addition, several state laws require disclosures related to state agencies and/or commercial purchasers with respect to certain price increases and new product launches that exceed certain pricing thresholds as identified in the relevant statutes.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 Some states have also established prescription drug affordability boards that are tasked with identifying certain high-cost prescription products that may pose affordability challenges for consumers and payers, conducting cost reviews on such products, and, in some circumstances, imposing upper payment limits on such products.</w:t>
      </w:r>
    </w:p>
    <w:p>
      <w:pPr>
        <w:spacing w:after="0" w:line="190"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expect that these initiatives and other healthcare reform measures that may be adopted in the future, as well as the trend toward managed healthcare and increasing influence of managed care organizations, may result in more rigorous coverage criteria and lower reimbursement, leading to additional downward pressure on the price that we receive for any approved product. Any reduction in reimbursement from Medicare or other government-funded programs may result in a similar reduction in payments from private payors. The implementation of current and future cost containment measures or other healthcare reforms may adversely affect our operations and prevent us from being able to generate revenue, attain profitability or commercialize our drug candidates.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Privacy and Security Laws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Numerous state, federal and foreign laws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and could apply to our operations or the operations of our partners.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certain foreign laws, such as the UK General Data Protection Regulation and Data Protection Act 2018 (collectively, the “UK GDPR”), govern the privacy and security of personal data, including health-related data.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of March 16, 2026, we had three employees. None of our employees is subject to a collective bargaining agreement or represented by a trade or labor union. We consider our relationship with our employees to be good.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00"/>
          </w:cols>
          <w:pgMar w:left="320" w:top="455" w:right="4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 OF GALERA</w:t>
      </w:r>
    </w:p>
    <w:p>
      <w:pPr>
        <w:spacing w:after="0" w:line="205"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Galera’s financial condition and results of operations together with its consolidated financial statements and the related notes and other financial information included elsewhere in this information statement/prospectus. Some of the information contained in this discussion and analysis contains forward-looking statements that involve risks and uncertainties. You should review the sections entitled “Risk Factors” and “Cautionary Statement Regarding Forward-Looking Statements” in this information statement/prospectus for a discussion of important factors that could cause actual results to differ materially from the results described below. Throughout this section, unless otherwise noted, “our,” “we,” and “the Company” refers to Galera Therapeutics, Inc. and its subsidiaries</w:t>
      </w:r>
      <w:r>
        <w:rPr>
          <w:rFonts w:ascii="Times New Roman" w:cs="Times New Roman" w:eastAsia="Times New Roman" w:hAnsi="Times New Roman"/>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that historically was focused on developing a portfolio of SOD mimetics to improve radiotherapy in cancer, primarily by reducing one of the most common side effects of radiotherapy, SOM. In October 2025, we sold our assets related to avasopasem and rucosopasem and all other dismutase mimetics assets to Biossil, a privately-held company based in Toronto, Canada. In connection with selling these assets, we assigned and Biossil assumed all rights and obligations under the Royalty Agreement with Blackstone, as described below. We received consideration from Biossil in the form of an upfront payment of $3.5 million and are eligible to receive further payments upon the achievement of future regulatory and commercial milestones and received contingent value rights of up to $105.0 million in the aggregate.</w:t>
      </w:r>
    </w:p>
    <w:p>
      <w:pPr>
        <w:spacing w:after="0" w:line="18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December 30, 2024, we completed the acquisition of Nova Pharmaceuticals, Inc., a privately-held biotechnology company advancing a pan-inhibitor of NOS. Nitric oxide (“NO”) plays a critical role in the tumor microenvironment (“TME”), in the initiation, progression and metastasis of many cancers and in the immune responses to cancer. Specifically, NOS has been shown to be over-expressed in TNBC and especially in the rare subset of TNBC known as MpBC that today has no effective or regulatory approved therapy. Initial clinical data with our pan-NOS inhibitor in these patients, when combined with a taxane, have been promising. With that acquisition, we have shifted our strategic focus to developing a product candidate to treat certain types of advanced breast cancer, including MpBC and other refractory subsets of TNBC. In support of the acquisition, a syndicate of investors led by Ikarian Capital invested $2.9 million to purchase Galera common stock and pre-funded warrants. The Company continues as Galera Therapeutics, Inc., and our common stock is listed on the OTCQB (OTCQB:GRTX).</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In November 2025, our subsidiary Nova Pharmaceuticals, Inc. was merged into another subsidiary, Grape Merger Sub II, LLC, and the surviving entity was renamed Nova Pharmaceuticals Operating, LLC (“Nova”).</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Following the sale to Biossil, our portfolio is now comprised of a pan-NOS inhibitor. Our lead program is a Phase 1/2 trial of the pan-NOS inhibitor in combination with nab-paclitaxel and alpelisib for MpBC. This is an investigator-sponsored trial that is funded by an NIH grant to investigators at Houston Methodist, including the drug supply for the trial. Assuming we are successful in securing additional capital, a second trial for this agent is being planned in TNBC in collaboration with the I-SPY 2 consortium.</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organizing and staffing our company, business planning, raising capital, acquiring and developing product and technology rights, and conducting research and development. We have incurred recurring losses and negative cash flows from operations and have funded our operations primarily through the sale and issuance of equity, $117.5 million of proceeds received under the Royalty Agreement with Blackstone, and $3.5 million received from the sale to Biossil, receiving aggregate gross proceeds of $383.4 million.</w:t>
      </w:r>
    </w:p>
    <w:p>
      <w:pPr>
        <w:spacing w:after="0" w:line="180"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ability to generate product revenue sufficient to achieve profitability will depend heavily on the successful resumption of development and eventual commercialization of one or more of our current or future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product candidates. We may never succeed in these activities and we expect to continue to incur losses for the foreseeable future. We had net income of $149.0 million for the year ended December 31, 2025, primarily resulting from a $151.0 million non-cash gain from the derecognition of the royalty purchase liability on our consolidated balance sheet, as the result of the assumption by Biossil of our obligations under the Royalty Agreement with Blackstone. Our net loss was $19.0 million for the year ended December 31, 2024. As of March 31, 2026, we had $5.5 million in cash and cash equivalents and an accumulated deficit of $308.9 million. As of December 31, 2025, we had $6.4 million in cash and cash equivalents and an accumulated deficit of $307.3 million.</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significant expenses and operating losses for the foreseeable future. Our anticipated operating expenses involve significant risks and uncertainties and are dependent on our current assessment of the extent and costs of activities required to advance our product candidate. We have incurred significant expenses in connection with the mergers, including expenses for the merger agreement and the registration statement of which this information statement/prospectus forms a part. We expect our existing cash and cash equivalents as of March 31, 2026 will enable us to fund our operating expenses and capital expenditure requirements into the first quarter of 2027, but not for more than one year after May 14, 2026. As a result, there is substantial doubt about our ability to continue as a going concern after such time. For the avoidance of doubt, this estimate is based on our operating plan as of March 31, 2026 and does not assume completion of the mergers, the concurrent financing or any other future financing.</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Our ability to continue operations is dependent on consummating the mergers and the concurrent financing on a timely basis. If the mergers are not completed, we may be required to pursue other strategic alternatives, which could include raising additional capital on unfavorable terms, significantly reducing or discontinuing operations, or pursuing a voluntary dissolution.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Stock is now quoted under its existing symbol “GRTX” on the Over-The-Counter Quote Bulletin Board - Venture Market.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described below.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included elsewhere in this information statement/prospectus, we believe the following accounting policies are the most critical to the judgments and estimates used in the preparation of our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Royalty Purchase Liability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assignment and assumption of our Royalty Agreement with Blackstone to Biossil in October 2025, we accounted for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$117.5 million in aggregate proceeds received under the Royalty Agreement as debt, and imputed our interest expense, when applicable, based 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royalty repayment period amounts we estimated, which took into consideration the probability and timing of obtaining approval from the FDA and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potential future revenue from commercializing our product candidate. In October 2023, following our decisions to</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discontinue the rucosopasem GRECO trials and not conduct another Phase 3 trial of avasopasem, we suspended imputing any interest expense related to our royalty purchase liability. Accordingly, no interest expense was recognized during the years ended December 31, 2025 and 2024.</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Upon our assignment of all further rights and obligations associated with the Royalty Agreement to Biossil in October 2025, inclusive of Blackstone’s acknowledgement of the assignment, we determined the outstanding royalty purchase obligation of $151.0 million met the extinguishment criteria under the applicable accounting standards. The extinguishment of this royalty purchase obligation was recorded as gain on extinguishment of debt within our consolidated statement of operations for the year ended December 31, 2025.</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development of our product candidate. We expense research and development costs as incurred.</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accrue an expense for manufacturing, preclinical studies and clinical trial activities performed by third parties based upon estimates of the proportion of work completed over the term of the individual trial and patient enrollment rates in accordance with agreements with CDMOs, CROs and clinical trial sites. We determine the estimates by reviewing contracts, vendor agreements and purchase orders, and through discussions with our internal research and development personnel and external service providers as to the progress or stage of completion of trials or services and the agreed-upon fee to be paid for such services. However, actual costs and timing of these activities are highly uncertain, subject to risks and may change depending upon a number of factors, including our clinical development plan.</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make estimates of our accrued expenses as of each balance sheet date in our consolidated financial statements based on facts and circumstances known at that time. If the actual timing of the performance of services or the level of effort varies from the estimate, we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Acquired in-process research and development expenses consist of a non-cash expense related to the acquisition of research and development programs that had no alternative future use at the time of acquisition which requires immediate expense recognition.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current and past product candidates. We expense research and development costs as incurred. These expenses include:</w:t>
      </w:r>
    </w:p>
    <w:p>
      <w:pPr>
        <w:spacing w:after="0" w:line="67" w:lineRule="exact"/>
        <w:rPr>
          <w:sz w:val="20"/>
          <w:szCs w:val="20"/>
          <w:color w:val="auto"/>
        </w:rPr>
      </w:pPr>
    </w:p>
    <w:p>
      <w:pPr>
        <w:ind w:left="1080" w:hanging="424"/>
        <w:spacing w:after="0"/>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preclinical studies and clinical trials required to obtain regulatory approval;</w:t>
      </w:r>
    </w:p>
    <w:p>
      <w:pPr>
        <w:spacing w:after="0" w:line="130" w:lineRule="exact"/>
        <w:rPr>
          <w:rFonts w:ascii="Times New Roman" w:cs="Times New Roman" w:eastAsia="Times New Roman" w:hAnsi="Times New Roman"/>
          <w:sz w:val="18"/>
          <w:szCs w:val="18"/>
          <w:color w:val="auto"/>
        </w:rPr>
      </w:pPr>
    </w:p>
    <w:p>
      <w:pPr>
        <w:ind w:left="1080" w:right="88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share-based compensation expense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CROs, as well as investigative sites and consultants that conduct our preclinical studies and clinical trials;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0" w:hanging="424"/>
        <w:spacing w:after="0" w:line="282" w:lineRule="auto"/>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CDMOs, including manufacturing scale-up expenses and the cost of acquiring and manufacturing preclinical study and clinical trial materials;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track our external research and development expenses on a program-by-program basis, such as fees paid to CROs, CDMOs and research laboratories in connection with our preclinical development, process development, manufacturing and clinical development activities. However, we do not track our internal research and development expenses on a program-by-program basis as they primarily relate to personnel-related and share-based compensation expense, early-stage research expenses and other costs that are deployed across multiple projects under development.</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for the three months ended March 31, 2026 and 2025 (in thousands):</w:t>
      </w:r>
    </w:p>
    <w:p>
      <w:pPr>
        <w:spacing w:after="0" w:line="182"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534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CCEEFF"/>
            </w:tcBorders>
          </w:tcPr>
          <w:p>
            <w:pPr>
              <w:spacing w:after="0"/>
              <w:rPr>
                <w:sz w:val="12"/>
                <w:szCs w:val="12"/>
                <w:color w:val="auto"/>
              </w:rPr>
            </w:pPr>
          </w:p>
        </w:tc>
      </w:tr>
      <w:tr>
        <w:trPr>
          <w:trHeight w:val="209"/>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Avasopasem manganese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Rucosopasem manganese</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research and development expense</w:t>
            </w: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Personnel related and share-based compensation expense</w:t>
            </w:r>
          </w:p>
        </w:tc>
        <w:tc>
          <w:tcPr>
            <w:tcW w:w="1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— </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r>
      <w:tr>
        <w:trPr>
          <w:trHeight w:val="20"/>
        </w:trPr>
        <w:tc>
          <w:tcPr>
            <w:tcW w:w="5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by program for the years ended December 31, 2025 and 2024 (in thousands):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5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Avasopasem manganese</w:t>
            </w:r>
          </w:p>
        </w:tc>
        <w:tc>
          <w:tcPr>
            <w:tcW w:w="1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Rucosopasem manganese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3"/>
              </w:rPr>
              <w:t>— </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Pan-NOS inhibitor</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expense</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related and share-based compensation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2,166</w:t>
            </w:r>
          </w:p>
        </w:tc>
      </w:tr>
      <w:tr>
        <w:trPr>
          <w:trHeight w:val="223"/>
        </w:trPr>
        <w:tc>
          <w:tcPr>
            <w:tcW w:w="5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349</w:t>
            </w:r>
          </w:p>
        </w:tc>
        <w:tc>
          <w:tcPr>
            <w:tcW w:w="6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3,151</w:t>
            </w:r>
          </w:p>
        </w:tc>
        <w:tc>
          <w:tcPr>
            <w:tcW w:w="100" w:type="dxa"/>
            <w:vAlign w:val="bottom"/>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have ceased all clinical trial activity directly funded by the Company, and had suspended the clinical development of our dismutase mimetics product candidates prior to their sale to Biossil.</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 is highly uncertain. At this time, we cannot reasonably estimate or know the nature, timing and costs of the efforts that will be necessary to complete the development of our product candidate. We are unable to predict when, if ever, material net cash inflows will commence from sales of any future product candidates that we may develop due to the numerous risks and uncertainties associated with clinical development, including:</w:t>
      </w:r>
    </w:p>
    <w:p>
      <w:pPr>
        <w:spacing w:after="0" w:line="85" w:lineRule="exact"/>
        <w:rPr>
          <w:sz w:val="20"/>
          <w:szCs w:val="20"/>
          <w:color w:val="auto"/>
        </w:rPr>
      </w:pPr>
    </w:p>
    <w:p>
      <w:pPr>
        <w:ind w:left="1080" w:right="220" w:hanging="424"/>
        <w:spacing w:after="0" w:line="282" w:lineRule="auto"/>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adequate supply of our product candidate for our trials;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60"/>
          </w:cols>
          <w:pgMar w:left="320" w:top="455" w:right="51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the length of time required to enroll suitable patients;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patients receive;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side effects associated with our product candidate; •the duration of patient follow-up;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unforeseen events on the initiation and completion of our preclinical studies, clinical trials and manufacturing scale-up.</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never succeed in achieving regulatory approval for any future product candidates we may develop.</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expenses, including salaries, benefits and share-based compensation expense for employees in executive, finance, and accounting functions. General and administrative expense also includes legal fees related to intellectual property and corporate matters, director fees, fees for accounting and consulting services, insurance expense, and rent.</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Assuming we are successful in securing additional capital, we expect that our expenses will increase in the future to support our continued research and development activities and to expand our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Interest income consists of amounts earned on our cash and cash equivalents held with large institutional banks and a money market mutual fund invested in U.S. Treasury obligations.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Loss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Foreign currency loss consists primarily of exchange rate fluctuations on transactions denominated in a currency other than the U.S. dollar.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2024, the impairment of our acquired intangible asset and goodwill resulted in an income tax benefit of $0.2 million due to the tax effect of the reduction in the deferred tax liability associated with the asset.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Operating Loss and Research and Development Tax Credit Carryforwards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we had federal and state tax net operating loss carryforwards of $157.8 million and $12.6 million, respectively, which will begin to expire in 2044 unless previously utilized. In connection with the Section 382 study performed in 2025, the federal research and development tax credit carryforwards have been written off.</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0980"/>
          </w:cols>
          <w:pgMar w:left="320" w:top="455" w:right="5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March 31, 2026 and 2025</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three months ended March 31, 2026 and 2025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6"/>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gridSpan w:val="4"/>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6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(1,655)</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(1,963)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(1,606</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(1,592</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decreased by $78,000 from $93,000 for the three months ended March 31, 2025 to $15,000 for the three months ended March 31, 2026. Research and development expenses decreased following the sale of the dismutase mimetics assets to Biossil in October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$0.3 million from $1.9 million for the three months ended March 31, 2025 to $1.6 million for the three months ended March 31, 2026. The decrease was primarily due to lower legal and professional fees during the three months ended March 31, 2026.</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Interest income decreased from $77,000 for the three months ended March 31, 2025 to $49,000 for the three months ended March 31, 2026, due to the reduction in investable cash and securities and reduced interest rates.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Liability</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we recognized a $0.3 million change in the fair value of the warrant liability. This adjustment was recorded prior to the reclassification of the liability-classified warrants to equity.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2025 and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2025 and 2024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1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560" w:type="dxa"/>
            <w:vAlign w:val="bottom"/>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200" w:type="dxa"/>
            <w:vAlign w:val="bottom"/>
            <w:gridSpan w:val="3"/>
          </w:tcPr>
          <w:p>
            <w:pPr>
              <w:jc w:val="right"/>
              <w:ind w:right="688"/>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(2,802)</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11,002</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(5,309)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dismutase mimetics assets</w:t>
            </w:r>
          </w:p>
        </w:tc>
        <w:tc>
          <w:tcPr>
            <w:tcW w:w="3200" w:type="dxa"/>
            <w:vAlign w:val="bottom"/>
            <w:gridSpan w:val="3"/>
            <w:shd w:val="clear" w:color="auto" w:fill="CCEEFF"/>
          </w:tcPr>
          <w:p>
            <w:pPr>
              <w:jc w:val="right"/>
              <w:ind w:right="588"/>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364"/>
        </w:trPr>
        <w:tc>
          <w:tcPr>
            <w:tcW w:w="4120" w:type="dxa"/>
            <w:vAlign w:val="bottom"/>
          </w:tcPr>
          <w:p>
            <w:pPr>
              <w:spacing w:after="0"/>
              <w:rPr>
                <w:sz w:val="24"/>
                <w:szCs w:val="24"/>
                <w:color w:val="auto"/>
              </w:rPr>
            </w:pPr>
          </w:p>
        </w:tc>
        <w:tc>
          <w:tcPr>
            <w:tcW w:w="19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212</w:t>
            </w: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gridSpan w:val="5"/>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5"/>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 of acquired intangible asset</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Write-off of goodwill</w:t>
            </w:r>
          </w:p>
        </w:tc>
        <w:tc>
          <w:tcPr>
            <w:tcW w:w="2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(975)</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6"/>
              </w:rPr>
              <w:t>248</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6"/>
              </w:rPr>
              <w:t>294</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benefit</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149,049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(18,957</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168,006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of Nova, we recognized a non-cash in-process research and development expense of $3.8 million during the year ended December 31, 2024 related to the acquired anti-cancer therapeutics programs that had no alternative future use at the time of acquisition, which requires immediate expense recognition.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decreased by $2.9 million from $3.2 million for the year ended December 31, 2024 to $0.3 million for the year ended December 31, 2025. Personnel-related and share-based compensation expense decreased $2.1 million, as our remaining research and development personnel were terminated during the year ended December 31, 2024, which included $0.8 million of severance charges, and their stock options forfeited. Rucosopasem development costs decreased by $0.7 million as we wound up the GRECO-1 and GRECO-2 clinical trials in 2024. Other research and development expenses decreased $0.3 million, which was offset by a $0.4 million increase in avasopasem development costs since the year ended December 31, 2024 included a $0.4 million credit for previously estimated CRO expenses following a legal settlement.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p>
      <w:pPr>
        <w:spacing w:after="0" w:line="121" w:lineRule="exact"/>
        <w:rPr>
          <w:sz w:val="20"/>
          <w:szCs w:val="20"/>
          <w:color w:val="auto"/>
        </w:rPr>
      </w:pPr>
    </w:p>
    <w:p>
      <w:pPr>
        <w:ind w:left="120" w:right="80" w:firstLine="440"/>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 decreased by $5.3 million from $11.0 million for the year ended December 31, 2024 to $5.7 million for the year ended December 31, 2025. Personnel related and share-based compensation expenses decreased $2.9 million due to reduced headcount, severance expense during the year ended December 31, 2024 for two officers terminated in August 2024, stock options forfeited by terminated employees, and stock options that became fully vested during 2024. In addition, legal and professional fees decreased $1.2 million, insurance expense decreased</w:t>
      </w:r>
    </w:p>
    <w:p>
      <w:pPr>
        <w:spacing w:after="0" w:line="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$0.6 million, and facilities costs decreased $0.6 million because the year ended December 31, 2024 included a $0.5 million charge for expenses incurred to terminate our office lease.</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Sale of Dismutase Mimetics Assets</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recognized a gain on sale of assets of $3.5 million during the year ended December 31, 2025 in connection with the sale of our dismutase mimetics assets to Biossil, the amount of the cash consideration received in October 2025.</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80"/>
          </w:cols>
          <w:pgMar w:left="320" w:top="455" w:right="4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Write-off of Acquired Intangible Asset and Goodwill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August 2024, the Galera Board approved the Plan of Dissolution, under which future development of our historical product candidates would no longer continue. In connection with this decision, we concluded that the related IPR&amp;D asset and related goodwill were each impaired in their entirety, and as such recognized non-cash impairment charges of $2.3 million for the IPR&amp;D and $0.9 million for the goodwill during the year ended December 31,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Litigation Settlement</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recognized a $1.0 million gain during the year ended December 31, 2024 in connection with the settlement of certain litigation, which was recorded in operating expenses.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Interest income decreased by $0.4 million from $0.6 million for the year ended December 31, 2024 to $0.2 million for the year ended December 31, 2025, due to the reduction in investable cash and securities and reduced interest rates.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Extinguishment of Debt</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discussed above, we assigned all further rights and obligations associated with the Royalty Agreement to Biossil in connection with the October 2025 sale of our dismutase mimetics assets, including avasopasem and rucosopasem, resulting in recognition of a $151.0 million gain during the year ended December 31, 2025 in connection with extinguishment of the $151.0 million royalty purchase liability.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Liability</w:t>
      </w:r>
    </w:p>
    <w:p>
      <w:pPr>
        <w:spacing w:after="0" w:line="121" w:lineRule="exact"/>
        <w:rPr>
          <w:sz w:val="20"/>
          <w:szCs w:val="20"/>
          <w:color w:val="auto"/>
        </w:rPr>
      </w:pPr>
    </w:p>
    <w:p>
      <w:pPr>
        <w:jc w:val="both"/>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During the years ended December 31, 2025 and 2024 we recognized gains of $0.3 million and $0.5 million, respectively, for changes in fair value of the warrant liability as a result of the change in the price of our common stock. The warrant liability was reclassified to equity as of March 31, 2025.</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impairment of our acquired intangible asset and goodwill resulted in an income tax benefit of $0.2 million due to the tax effect of the reduction in the deferred tax liability associated with the asset.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do not have any products approved for sale, and we do not expect to generate any revenue from product sales unless and until we successfully complete development and obtain regulatory approval for our product candidate, which will not be for many years, if ever. Through March 31, 2026, we have funded our operations primarily through the sale and issuance of equity, $117.5 million of proceeds received under the Royalty Agreement with Blackstone, and $3.5 million from the sale to Biossil, receiving aggregate gross proceeds of $383.4 million.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October 15, 2025, we entered into, and subsequently amended, an Asset Purchase and Sale Agreement with Biossil, pursuant to which Biossil agreed to acquire all of our right, title and interest in and to our assets related to avasopasem and rucosopasem and all other dismutase mimetic assets. In connection with acquiring these assets, we assigned and Biossil assumed all rights and obligations under the Royalty Agreement with Blackstone. We received consideration from Biossil in the form of an upfront payment of $3.5 million and are eligible to receive further payments upon the achievement of future regulatory and commercial milestones and received contingent value rights of up to $105.0 million in the aggregate.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80"/>
          </w:cols>
          <w:pgMar w:left="320" w:top="455"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December 2024, we completed a private placement with a group of investors led by Ikarian Capital. We issued approximately 21.1 million shares of common stock plus pre-funded warrants exercisable for approximately 23.0 million shares of common stock at an offering price of $0.065 per share or pre-funded warrant. As a result of the private placement, we received net proceeds of approximately $2.9 million.</w:t>
      </w:r>
    </w:p>
    <w:p>
      <w:pPr>
        <w:spacing w:after="0" w:line="176"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In February 2023, we completed a registered direct offering, which resulted in the issuance and sale of 14,320,000 shares of our common stock and warrants to purchase up to 14,320,000 shares of common stock at a combined offering price of $2.095 per share and accompanying warrant, generating gross proceeds of $30.0 million. The warrants have an exercise price of $1.97 per share of common stock, are exercisable immediately following their issuance and will expire five years from the date of issuance. We received net proceeds of approximately $27.6 million from this offering, after deducting placement agent fees and offering expenses.</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of March 31, 2026, we had $5.5 million in cash and cash equivalents and an accumulated deficit of $308.9 million. We have no ongoing material financing commitments, such as lines of credit or guarantees, that are expected to affect our liquidity over the next five years. We expect our existing cash and cash equivalents as of March 31, 2026 will enable us to fund our operating expenses and capital expenditure requirements into the first quarter of 2027, but not for more than one year after May 14, 2026. As a result, there is substantial doubt about our ability to continue as a going concern through the 12 months after May 14, 2026. For the avoidance of doubt, this estimate is based on our operating plan as of March 31, 2026 and does not assume completion of the mergers, the concurrent financing or any other future financing.</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more information, see the discussion under the heading “Liquidity” in Note 1 to our unaudited interim consolidated financial statements.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2026</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79"/>
              </w:rPr>
              <w:t>$ (875)</w:t>
            </w:r>
          </w:p>
        </w:tc>
        <w:tc>
          <w:tcPr>
            <w:tcW w:w="520" w:type="dxa"/>
            <w:vAlign w:val="bottom"/>
            <w:gridSpan w:val="2"/>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 (2,238)</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0" w:type="dxa"/>
            <w:vAlign w:val="bottom"/>
          </w:tcPr>
          <w:p>
            <w:pPr>
              <w:spacing w:after="0"/>
              <w:rPr>
                <w:sz w:val="18"/>
                <w:szCs w:val="18"/>
                <w:color w:val="auto"/>
              </w:rPr>
            </w:pPr>
          </w:p>
        </w:tc>
        <w:tc>
          <w:tcPr>
            <w:tcW w:w="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635</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0" w:type="dxa"/>
            <w:vAlign w:val="bottom"/>
          </w:tcPr>
          <w:p>
            <w:pPr>
              <w:spacing w:after="0"/>
              <w:rPr>
                <w:sz w:val="19"/>
                <w:szCs w:val="19"/>
                <w:color w:val="auto"/>
              </w:rPr>
            </w:pP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0"/>
              </w:rPr>
              <w:t>$ (875</w:t>
            </w:r>
          </w:p>
        </w:tc>
        <w:tc>
          <w:tcPr>
            <w:tcW w:w="520" w:type="dxa"/>
            <w:vAlign w:val="bottom"/>
            <w:gridSpan w:val="2"/>
          </w:tcPr>
          <w:p>
            <w:pPr>
              <w:jc w:val="right"/>
              <w:ind w:right="388"/>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(1,603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used $0.9 million of net cash in operating activities. Cash used in operating activities reflected our net loss of $1.6 million, partially offset by $0.7 million from other changes in operating assets and liabilities and non-cash share based compensation expense. The primary use of cash was to fund our operations.</w:t>
      </w:r>
    </w:p>
    <w:p>
      <w:pPr>
        <w:spacing w:after="0" w:line="176"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2025, we used $2.2 million of net cash in operating activities. Cash used in operating activities reflected our net loss of $1.6 million, $0.5 million from other changes in operating assets and liabilities, and net non-cash charges of $0.1 million related to share-based compensation expense and the change in the fair value of the warrant liability. The primary use of cash was to fund our operations.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100"/>
          </w:cols>
          <w:pgMar w:left="320" w:top="455" w:right="4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financing activities provided $0.6 million from the sale of our common stock in a private placement in December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00" w:type="dxa"/>
            <w:vAlign w:val="bottom"/>
          </w:tcPr>
          <w:p>
            <w:pPr>
              <w:spacing w:after="0"/>
              <w:rPr>
                <w:sz w:val="13"/>
                <w:szCs w:val="13"/>
                <w:color w:val="auto"/>
              </w:rPr>
            </w:pPr>
          </w:p>
        </w:tc>
        <w:tc>
          <w:tcPr>
            <w:tcW w:w="1860" w:type="dxa"/>
            <w:vAlign w:val="bottom"/>
            <w:gridSpan w:val="6"/>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500" w:type="dxa"/>
            <w:vAlign w:val="bottom"/>
          </w:tcPr>
          <w:p>
            <w:pPr>
              <w:spacing w:after="0"/>
              <w:rPr>
                <w:sz w:val="15"/>
                <w:szCs w:val="15"/>
                <w:color w:val="auto"/>
              </w:rPr>
            </w:pPr>
          </w:p>
        </w:tc>
        <w:tc>
          <w:tcPr>
            <w:tcW w:w="1860" w:type="dxa"/>
            <w:vAlign w:val="bottom"/>
            <w:gridSpan w:val="6"/>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5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10"/>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$(6,049)</w:t>
            </w: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(12,145)</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2,223</w:t>
            </w:r>
          </w:p>
        </w:tc>
      </w:tr>
      <w:tr>
        <w:trPr>
          <w:trHeight w:val="223"/>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(1,914</w:t>
            </w:r>
          </w:p>
        </w:tc>
        <w:tc>
          <w:tcPr>
            <w:tcW w:w="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we used $6.0 million of net cash in operating activities. Cash used in operating activities reflected our net income of $149.0 million less net non-cash gains and charges of $154.4 million, primarily attributable to the gain on sale of our dismutase mimetics assets and gain on extinguishment of debt, and $0.7 million from other changes in operating assets and liabilities. The primary use of cash was to fund our operations.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we used $12.2 million of net cash in operating activities. Cash used in operating activities reflected our net loss of $19.0 million plus $2.1 million from other changes in operating assets and liabilities, partially offset by non-cash charges of $8.9 million related to acquired in-process research and development, the write-off of the acquired intangible asset and goodwill, deferred tax benefit, share-based compensation, depreciation expense, and loss from disposal of property and equipment. The primary use of cash was to fund our operations as we reviewed strategic alternatives and completed the acquisition of Nova.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 December 31, 2025, we received proceeds of $3.5 million from the sale of our dismutase mimetics assets. During the year ended December 31, 2024, investing activities used $46,000, primarily cash paid for the acquisition of Nova.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financing activities provided $0.6 million from the sale of our common stock in a private placement in December 2024, some proceeds of which were received in January 2025.</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financing activities provided $2.2 million from the sale of our common stock and pre-funded warrants in a private placement in December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expect our existing cash and cash equivalents as of March 31, 2026 will enable us to fund our operating expenses and capital expenditure requirements into the first quarter of 2027, but not for more than one year after May 14, 2026. As a result there is substantial doubt about our ability to continue as a going concern through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12 months after May 14, 2026. Our ability to continue operations is dependent on consummating the mergers and the concurrent financing on a timely basis. If the mergers are not completed, we may be required to pursue other strategic alternatives, which could include raising additional capital on unfavorable terms, significantly reducing or discontinuing operations, or pursuing a voluntary dissolution.</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our product candidate, we are unable to estimate the exact amount of our working capital requirements. Our future funding requirements will depend on, and could increase significantly as a result of, many factors, including:</w:t>
      </w:r>
    </w:p>
    <w:p>
      <w:pPr>
        <w:spacing w:after="0" w:line="81" w:lineRule="exact"/>
        <w:rPr>
          <w:sz w:val="20"/>
          <w:szCs w:val="20"/>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any future preclinical studies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prioritization and number of any future research and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any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any future collaborations on favorable terms, if at all;</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any future collaboration agreements, if any;</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 and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arrangements for any future commercial production;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scaling-up or contracting for sales and marketing capabilities as we prepare for the potential commercialization of our product candidate.</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any future product candidates, if approved, may not achieve commercial success.</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our stockholders’ ownership interest will be diluted, and the terms of these securities may include liquidation or other preferences that adversely affect our existing stockholders’ rights. Debt financing, if available, may involve agreements that include covenants limiting or restricting our ability to take specific actions, such as incurring additional debt, making capital expenditures or declaring dividends. If we are unable to raise additional funds when needed, we may be required to delay, limit, reduce or terminate certain activities, including planned research and development activities or hiring plans.</w:t>
      </w:r>
    </w:p>
    <w:p>
      <w:pPr>
        <w:spacing w:after="0" w:line="189"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Agreements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Purchase Agreement with Biossil</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On October 15, 2025, the Company and Biossil entered into an Asset Purchase and Sale Agreement, as amended (the “Purchase Agreement”), whereby Biossil agreed to acquire all of the Company’s right, title and interest in and to its assets related to GC4419 and GC4711 and all other dismutase mimetic assets (the “Assets”).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purchase of the Assets, Biossil agreed to assume all further rights and obligations of the Company under the Amended and Restated Purchase and Sale Agreement, dated November 14, 2018, by and among the Company, Clarus IV Galera Royalty AIV, L.P., and the other parties thereto, as amended from time to time. Clarus IV Galera Royalty AIV, L.P. is affiliated with Blackstone.</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purchase price for the Assets consists of (i) an upfront payment of $3,500,000, and (ii) potential future regulatory milestones, commercial milestones and contingent value rights of up to $105,000,000 in the aggregate.</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related to the Assets and the business of the Company. Certain provisions, including confidentiality, indemnification, and payment obligations, survive the closing of the Transaction in certain circumstances as set forth in the Purchase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Methodist Hospital License Agreement</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Company’s subsidiary, Nova, has a worldwide license agreement (the “License”) with Houston Methodist. The License was executed in January 2024 and gives Nova the exclusive rights to certain Houston Methodist patents for use in the field of oncology, and non-exclusive rights to certain Houston Methodist know-how for use in connection with the licensed patents.</w:t>
      </w:r>
    </w:p>
    <w:p>
      <w:pPr>
        <w:spacing w:after="0" w:line="17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consideration for the License, Nova paid Houston Methodist an initial license fee of $300,000, approximately $147,000 as reimbursement for patent costs incurred prior to the date of the license, and a $100,000 deposit for future patent costs incurred by Houston Methodist to the extent they are not paid by Nova. Under a separate patent prosecution agreement, fees of the law firm maintaining the licensed patents are billed to and payable directly by Nova.</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License includes due diligence requirements for Nova to submit an IND application by January 31, 2028, and thereafter to initiate Phase 1, 2 and 3 clinical trials and file a Biologics License Application (“BLA”) by specified dates. If Nova receives FDA approval for a product covered by the License, fees are payable upon attainment of certain commercial milestones, and low-to-mid single digit royalties are payable on net sales. Fees are also payable on any sublicense revenue that Nova receives.</w:t>
      </w:r>
    </w:p>
    <w:p>
      <w:pPr>
        <w:spacing w:after="0" w:line="180"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As additional consideration for the License, Nova made an initial issuance of shares of Nova common stock to Houston Methodist, and subsequently issued additional shares such that Houston Methodist maintained an agreed percentage of Nova outstanding shares. On December 30, 2024, the Houston Methodist shares in Nova were exchanged for approximately 7,323 shares of the Company’s Series B Preferred Stock. Refer to Note 9 to our unaudited interim consolidated financial statements included in this information statement/prospectus.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earlier terminated, the License expires on the later of January 31, 2044, or the end of the patent term for the last licensed patent to expire, after which the license continues on a nonexclusive, royalty-free basis.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80"/>
          </w:cols>
          <w:pgMar w:left="320" w:top="455" w:right="4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OF GALERA</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holdings of Galera common stock by (i) stockholders who beneficially owned more than 5% of the outstanding shares of Galera common stock, and (ii) each of Galera’s directors, each of Galera’s named executive officers and all directors and executive officers as a group as of May 19, 2026, unless otherwise indicated. 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207,758,723 shares of Galera common stock outstanding as of May 19, 2026. In computing the number of shares beneficially owned by a person and the percentage ownership of that person, shares of Galera common stock subject to options, or other rights held by such person that are currently exercisable or will become exercisable within 60 days of May 19, 2026 are considered outstanding, although these shares are not considered outstanding for purposes of computing the percentage ownership of any other person.</w:t>
      </w:r>
    </w:p>
    <w:p>
      <w:pPr>
        <w:spacing w:after="0" w:line="188"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101 Lindenwood Drive, Suite 225, Malvern, Pennsylvania 19355. Galera believes, based on information provided to it, that each of the stockholders listed below has sole voting and investment power with respect to the shares beneficially owned by the stockholder unless noted otherwise, subject to community property laws where applicable.</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0" w:type="dxa"/>
            <w:vAlign w:val="bottom"/>
          </w:tcPr>
          <w:p>
            <w:pPr>
              <w:spacing w:after="0"/>
              <w:rPr>
                <w:sz w:val="13"/>
                <w:szCs w:val="13"/>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48"/>
        </w:trPr>
        <w:tc>
          <w:tcPr>
            <w:tcW w:w="580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r>
      <w:tr>
        <w:trPr>
          <w:trHeight w:val="148"/>
        </w:trPr>
        <w:tc>
          <w:tcPr>
            <w:tcW w:w="5800" w:type="dxa"/>
            <w:vAlign w:val="bottom"/>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r>
      <w:tr>
        <w:trPr>
          <w:trHeight w:val="173"/>
        </w:trPr>
        <w:tc>
          <w:tcPr>
            <w:tcW w:w="5800" w:type="dxa"/>
            <w:vAlign w:val="bottom"/>
          </w:tcPr>
          <w:p>
            <w:pPr>
              <w:spacing w:after="0"/>
              <w:rPr>
                <w:sz w:val="15"/>
                <w:szCs w:val="15"/>
                <w:color w:val="auto"/>
              </w:rPr>
            </w:pPr>
          </w:p>
        </w:tc>
        <w:tc>
          <w:tcPr>
            <w:tcW w:w="15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8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Emerald Bioventures, LLC </w:t>
            </w:r>
            <w:r>
              <w:rPr>
                <w:rFonts w:ascii="Times New Roman" w:cs="Times New Roman" w:eastAsia="Times New Roman" w:hAnsi="Times New Roman"/>
                <w:sz w:val="25"/>
                <w:szCs w:val="25"/>
                <w:color w:val="auto"/>
                <w:vertAlign w:val="superscript"/>
              </w:rPr>
              <w:t>(1)</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61,029,978</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30.02%</w:t>
            </w:r>
          </w:p>
        </w:tc>
      </w:tr>
      <w:tr>
        <w:trPr>
          <w:trHeight w:val="216"/>
        </w:trPr>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Affiliates of Ikarian Capital, LLC </w:t>
            </w:r>
            <w:r>
              <w:rPr>
                <w:rFonts w:ascii="Times New Roman" w:cs="Times New Roman" w:eastAsia="Times New Roman" w:hAnsi="Times New Roman"/>
                <w:sz w:val="25"/>
                <w:szCs w:val="25"/>
                <w:color w:val="auto"/>
                <w:vertAlign w:val="superscript"/>
              </w:rPr>
              <w:t>(2)</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30,579,731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9.99%</w:t>
            </w: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Par Hyare </w:t>
            </w:r>
            <w:r>
              <w:rPr>
                <w:rFonts w:ascii="Times New Roman" w:cs="Times New Roman" w:eastAsia="Times New Roman" w:hAnsi="Times New Roman"/>
                <w:sz w:val="25"/>
                <w:szCs w:val="25"/>
                <w:color w:val="auto"/>
                <w:vertAlign w:val="superscript"/>
              </w:rPr>
              <w:t>(3)</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13,521,291</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6.65%</w:t>
            </w:r>
          </w:p>
        </w:tc>
      </w:tr>
      <w:tr>
        <w:trPr>
          <w:trHeight w:val="216"/>
        </w:trPr>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Yair Schneid </w:t>
            </w:r>
            <w:r>
              <w:rPr>
                <w:rFonts w:ascii="Times New Roman" w:cs="Times New Roman" w:eastAsia="Times New Roman" w:hAnsi="Times New Roman"/>
                <w:sz w:val="25"/>
                <w:szCs w:val="25"/>
                <w:color w:val="auto"/>
                <w:vertAlign w:val="superscript"/>
              </w:rPr>
              <w:t>(4)</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10,823,610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w:t>
            </w: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 Mel Sorensen, M.D. </w:t>
            </w:r>
            <w:r>
              <w:rPr>
                <w:rFonts w:ascii="Times New Roman" w:cs="Times New Roman" w:eastAsia="Times New Roman" w:hAnsi="Times New Roman"/>
                <w:sz w:val="25"/>
                <w:szCs w:val="25"/>
                <w:color w:val="auto"/>
                <w:vertAlign w:val="superscript"/>
              </w:rPr>
              <w:t>(5)</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3,396,864</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Joel Sussman </w:t>
            </w:r>
            <w:r>
              <w:rPr>
                <w:rFonts w:ascii="Times New Roman" w:cs="Times New Roman" w:eastAsia="Times New Roman" w:hAnsi="Times New Roman"/>
                <w:sz w:val="25"/>
                <w:szCs w:val="25"/>
                <w:color w:val="auto"/>
                <w:vertAlign w:val="superscript"/>
              </w:rPr>
              <w:t>(6)</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859,638</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Nancy Chang, Ph.D. </w:t>
            </w:r>
            <w:r>
              <w:rPr>
                <w:rFonts w:ascii="Times New Roman" w:cs="Times New Roman" w:eastAsia="Times New Roman" w:hAnsi="Times New Roman"/>
                <w:sz w:val="25"/>
                <w:szCs w:val="25"/>
                <w:color w:val="auto"/>
                <w:vertAlign w:val="superscript"/>
              </w:rPr>
              <w:t>(7)</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9,534,851</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Lawrence Alleva </w:t>
            </w:r>
            <w:r>
              <w:rPr>
                <w:rFonts w:ascii="Times New Roman" w:cs="Times New Roman" w:eastAsia="Times New Roman" w:hAnsi="Times New Roman"/>
                <w:sz w:val="25"/>
                <w:szCs w:val="25"/>
                <w:color w:val="auto"/>
                <w:vertAlign w:val="superscript"/>
              </w:rPr>
              <w:t>(8)</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192,182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Michael Friedman </w:t>
            </w:r>
            <w:r>
              <w:rPr>
                <w:rFonts w:ascii="Times New Roman" w:cs="Times New Roman" w:eastAsia="Times New Roman" w:hAnsi="Times New Roman"/>
                <w:sz w:val="25"/>
                <w:szCs w:val="25"/>
                <w:color w:val="auto"/>
                <w:vertAlign w:val="superscript"/>
              </w:rPr>
              <w:t>(9)</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8,374,268</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5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Kevin Lokay </w:t>
            </w:r>
            <w:r>
              <w:rPr>
                <w:rFonts w:ascii="Times New Roman" w:cs="Times New Roman" w:eastAsia="Times New Roman" w:hAnsi="Times New Roman"/>
                <w:sz w:val="25"/>
                <w:szCs w:val="25"/>
                <w:color w:val="auto"/>
                <w:vertAlign w:val="superscript"/>
              </w:rPr>
              <w:t>(10)</w:t>
            </w: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150,552</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All executive officers and directors as a group (6 persons) </w:t>
            </w:r>
            <w:r>
              <w:rPr>
                <w:rFonts w:ascii="Times New Roman" w:cs="Times New Roman" w:eastAsia="Times New Roman" w:hAnsi="Times New Roman"/>
                <w:sz w:val="25"/>
                <w:szCs w:val="25"/>
                <w:color w:val="auto"/>
                <w:vertAlign w:val="superscript"/>
              </w:rPr>
              <w:t>(11)</w:t>
            </w:r>
          </w:p>
        </w:tc>
        <w:tc>
          <w:tcPr>
            <w:tcW w:w="15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22,508,355</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conversion of Series B Non-Voting Convertible Preferred Stock into shares of Galera common stock.</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Schedule 13G filed with the SEC on February 14, 2025. Consists of: (i) 11,398,346 shares of Galera common stock and 10,349,959 pre-funded warrants held by Ikarian Healthcare Master Fund LP; (ii) 3,445,787 shares of Galera common stock and 3,128,855 pre-funded warrants held by Boothbay Absolute Return Strategies LP; and (iii) 1,182,787 shares of Galera common stock and 1,073,997 pre-funded warrants held by Boothbay Diversified Alpha Master Fund LP. However, the warrants cannot be exercised in an amount that would cause these entities to collectively hold over 9.99% of Galera’s capital stock. The business address of Ikarian Healthcare Master Fund LP is 100 Crescent Court, Suite 1620, Dallas, TX 75201. The business address of each of Boothbay Absolute Return Strategies LP and Boothbay Diversified Alpha Master Fund LP is 140 E. 45th Street, 14FL, New York, NY 10017.</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conversion of Series B Non-Voting Convertible Preferred Stock into shares of Galera common stock.</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53"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Schedule 13G/A filed with the SEC on May 16, 2024. Consists of 10,823,610 shares of Galera common stock held of record by Yair Schneid. Mr. Schneid is deemed to have sole voting and dispositive power with regard to such shares. Does not include 3,178,137 shares of Galera common stock held by Rochel Soffer individually and 2,750,000 shares of Galera common stock held by Alpha Pharma Investments LLC. Rochel Soffer is the spouse of Mr. Schneid and is also the sole member of Alpha Pharma Investments LLC. Rochel Soffer has voting and dispositive power of Alpha Pharma Investments LLC and is therefore deemed the beneficial owner of such securities. Mr. Schneid disclaims beneficial ownership of all securities owned by Rochel Soffer and Alpha Pharma Investments LLC, except to the extent of their pecuniary interest therein, if any. The mailing address of Mr. Schneid is 1 Wood Lane, Suffern, NY 10901.</w:t>
      </w:r>
    </w:p>
    <w:p>
      <w:pPr>
        <w:spacing w:after="0" w:line="2"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195,029 shares of Galera common stock and 3,201,835 shares of Galera common stock underlying stock options exercisable within 60 days of May 19, 2026.</w:t>
      </w: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859,638 shares of Galera common stock underlying stock options exercisable within 60 days of May 19, 2026.</w:t>
      </w:r>
    </w:p>
    <w:p>
      <w:pPr>
        <w:spacing w:after="0" w:line="9"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9,486,851 shares of Galera common stock and 48,000 shares of Galera common stock underlying stock options exercisable within 60 days of May 19, 2026.</w:t>
      </w:r>
    </w:p>
    <w:p>
      <w:pPr>
        <w:ind w:left="540" w:right="220" w:hanging="424"/>
        <w:spacing w:after="0" w:line="250"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10,370 shares of Galera common stock and 181,812 shares of Galera common stock underlying stock options exercisable within 60 days of May 19, 2026.</w:t>
      </w:r>
    </w:p>
    <w:p>
      <w:pPr>
        <w:ind w:left="540" w:right="80" w:hanging="424"/>
        <w:spacing w:after="0" w:line="250"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8,326,268 shares of Galera common stock and 45,333 shares of Galera common stock underlying stock options exercisable within 60 days of May 19, 2026.</w:t>
      </w:r>
    </w:p>
    <w:p>
      <w:pPr>
        <w:ind w:left="540" w:hanging="424"/>
        <w:spacing w:after="0"/>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150,552 shares of Galera common stock underlying stock options exercisable within 60 days of May 19, 2026.</w:t>
      </w:r>
    </w:p>
    <w:p>
      <w:pPr>
        <w:spacing w:after="0" w:line="9" w:lineRule="exact"/>
        <w:rPr>
          <w:rFonts w:ascii="Times New Roman" w:cs="Times New Roman" w:eastAsia="Times New Roman" w:hAnsi="Times New Roman"/>
          <w:sz w:val="18"/>
          <w:szCs w:val="18"/>
          <w:color w:val="auto"/>
        </w:rPr>
      </w:pPr>
    </w:p>
    <w:p>
      <w:pPr>
        <w:ind w:left="540" w:hanging="424"/>
        <w:spacing w:after="0" w:line="260" w:lineRule="auto"/>
        <w:tabs>
          <w:tab w:leader="none" w:pos="5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18,018,518 shares of Galera common stock and 4,489,837 shares of Galera common stock underlying stock options exercisable within 60 days of May 19, 2026.</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5"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REGARDING OBSIDIAN</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“our” and the “Company” refer to Obsidian.</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firstLine="440"/>
        <w:spacing w:after="0" w:line="241" w:lineRule="auto"/>
        <w:rPr>
          <w:sz w:val="20"/>
          <w:szCs w:val="20"/>
          <w:color w:val="auto"/>
        </w:rPr>
      </w:pPr>
      <w:r>
        <w:rPr>
          <w:rFonts w:ascii="Times New Roman" w:cs="Times New Roman" w:eastAsia="Times New Roman" w:hAnsi="Times New Roman"/>
          <w:sz w:val="18"/>
          <w:szCs w:val="18"/>
          <w:color w:val="auto"/>
        </w:rPr>
        <w:t>We are a clinical-stage biopharmaceutical company harnessing novel protein-regulation technology to develop engineered tumor infiltrating lymphocyte, or TIL, cell therapies for the treatment of patients with solid tumors. Our proprietary cytoDRiVE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is highly versatile and allows us to leverage drug responsive domains, or DRDs, to control protein function, with our initial focus on TIL cell therapies developed from this platform, or cytoTILs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lead product candidate, OBX-115, is a novel, genetically engineered, autologous TIL cell therapy currently in a Phase 2 clinical trial for the treatment of advanced melanoma and a Phase 1 clinical trial for the treatment of non-small cell lung cancer, or NSCLC. Our proprietary cytoDRiVE platform has enabled OBX-115 to have the potential to drive superior tumor-killing activity with a significantly more tolerable safety profile. In contrast to other TIL approaches, OBX-115 is designed with regulatable membrane-bound IL15, or mbIL15, which drives TIL persistence, eliminates the need to dose toxic interleukin-2, or IL2, and enables outpatient administration of low-dose lymphodepletion. We currently own or in-license the intellectual property rights to OBX-115 and own the intellectual property to our proprietary cytoDRiVE platform. Furthermore, OBX-115 can be manufactured using tumor tissue procurement from an outpatient, minimally invasive core needle biopsy. Across a cohort of fifteen patients with treatment-resistant or refractory melanoma in our Phase 1/2 clinical trial, OBX-115 administration at the recommended Phase 2 dose demonstrated a 67% confirmed objective response rate, or ORR, and significant tumor burden reduction, including two confirmed complete responses, or CRs. This response rate, to our knowledge, is the highest current ORR shown in this setting across modalities. We believe that, if approved, the more favorable product profile will support rapid market adoption of OBX-115 relative to currently available TIL cell therapies. OBX-115 has been granted Fast Track and Regenerative Medicine Advanced Therapy, or RMAT, designations from the U.S. Food and Drug Administration, or FDA, for the treatment of patients with unresectable or metastatic melanoma that is resistant to immune checkpoint inhibitor, or ICI, therapy. These designations are advantageous to facilitate and expedite the review of therapies, allow for more frequent meetings with FDA to discuss the development plan for the product candidate, and enable potential eligibility for rolling review and priority review, however such designations do not guarantee marketing approval, either on an accelerated basis or otherwise. In our Phase 1 clinical trial in NSCLC, early clinical results show robust tumor shrinkage and include multiple confirmed partial responses, or PRs. We expect additional NSCLC Phase 1 clinical data will be available in the first half of 2027 and expect to announce melanoma registration-enabling data by the end of 2027. We believe our product candidates are distinct from current cell therapies and have the potential to significantly impact the treatment of solid tumors and clinical outcomes of patients with cancer.</w:t>
      </w:r>
    </w:p>
    <w:p>
      <w:pPr>
        <w:spacing w:after="0" w:line="21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Cell therapies have delivered transformational benefits in treating hematological malignancies; however, their impact in treating solid tumors has been limited. Approved chimeric antigen receptor, or CAR-T, cell therapies or engineered T-cell receptor, or TCR-T, cell therapies, which target single antigens, have demonstrated limited efficacy in solid tumors while leading to significant toxicities. Solid tumors present formidable barriers to immune and cell therapies, including antigen heterogeneity, physical exclusion of immune cells, immunosuppressive tumor microenvironments, and adverse effects due to overlapping expression of tumor targets in tumor cells with non-tumor host cells. Furthermore, while immunotherapies such as ICIs have improved outcomes for patients, more than 85% of cancer patients fail to respond to ICI therapy. As such, solid tumors represent an area of high unmet clinical need, accounting for over 90% of cancer deaths.</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that by using TIL, which are immune cells extracted from a patient’s own tumor, and our cytoDRiVE platform to develop OBX-115, we will be able to overcome the challenges faced by traditional cell therapies. As TIL contain T cells that recognize a broad spectrum of tumor antigens, the potential for loss of antitumor activity due to antigen heterogeneity is limited. In addition, TIL, being tumor-derived, has an advantage over T cell therapies manufactured from circulating T cells based on their ability to migrate to tumors.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Clinical trials with standard non-engineered TIL, the first generation of TIL cell therapy that involves isolation and expansion of all TIL in the tumor sample, have shown objective responses in clinical trials in limited solid tumor types. OBX-115 cells are engineered TIL expressing pharmacologically regulatable mbIL15, which has been shown to enhance their inherent tumor homing and broaden their targeting.</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 growing library of internally discovered DRDs of varying sizes and purposes, and our cytoDRiVE platform is designed to enable rapid optimization of tunable and functional proteins. We have developed an extensive synthetic biology engineering toolkit to potentially optimize protein functionality in any cell type, including but not limited to, type I/II membrane proteins, membrane-tethered cytokines, intracellular proteins, secreted proteins, and genome editing proteins. In addition to the development of our cytoTILs, we are exploring the breadth of our cytoDRiVE platform by developing novel approaches that expand its potential applications to additional cell therapies, including the ability to regulate secreted proteins and expression of messenger RNA, or mRNA, or small interfering RNA, or siRNA. cytoDRiVE is highly versatile and can be applied across a broad range of therapeutic applications, including to broaden the reach of cell therapies (including CAR-T) and gene therapies outside of oncology. Our cytoDRiVE platform has led to the development of our lead cytoTIL product candidate, OBX-115, with carbonic anhydrase 2, or CA2, as the DRD which is pharmacologically regulated by acetazolamide, or ACZ, to allow for control of mbIL15 expression.</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Product Candidate: OBX-115</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lead product candidate, OBX-115, is designed to significantly improve upon existing cell therapies, including non-engineered TIL cell therapies, that have demonstrated limited success due to moderate efficacy, unfavorable adverse event profile, and manufacturing challenges. We designed our proprietary manufacturing process to ensure OBX-115 would contain tumor-reactive TIL with high antitumor activity and phenotypically enriched for expansion and persistence. In addition, we have optimized our manufacturing process across the continuum of pre-Rapid Expansion Protocol, or Pre-REP, activation, transduction of CA2-mbIL15 construct, Rapid Expansion Protocol, or REP, and cryopreservation to potentially allow for robustness, reproducibility, and a high manufacturing success rate. By leveraging our cytoDRiVE and our robust proprietary manufacturing process, we believe OBX-115 has key attributes required to address the unmet need in the treatment of solid tumors and to meaningfully expand the targetable patient population. These attributes include:</w:t>
      </w:r>
    </w:p>
    <w:p>
      <w:pPr>
        <w:spacing w:after="0" w:line="93" w:lineRule="exact"/>
        <w:rPr>
          <w:sz w:val="20"/>
          <w:szCs w:val="20"/>
          <w:color w:val="auto"/>
        </w:rPr>
      </w:pPr>
    </w:p>
    <w:p>
      <w:pPr>
        <w:ind w:left="1080" w:right="100" w:hanging="424"/>
        <w:spacing w:after="0" w:line="259"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Transduced to express mbIL15</w:t>
      </w:r>
      <w:r>
        <w:rPr>
          <w:rFonts w:ascii="Times New Roman" w:cs="Times New Roman" w:eastAsia="Times New Roman" w:hAnsi="Times New Roman"/>
          <w:sz w:val="18"/>
          <w:szCs w:val="18"/>
          <w:color w:val="auto"/>
        </w:rPr>
        <w:t>: We utilize ACZ, an oral, FDA approved drug, to regulate the expression of mbIL15 on OBX-115.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presence of ACZ, both in our manufacturing process and in patients, stabilizes our mbIL15 construct, allowing it to be expressed on the cell surface where it can activate T cells as well as other immune cells such as natural killer, or NK, cells. This dosing schedule also enables longer term cell persistence. In the absence of ACZ, mbIL15 is degraded by the cell’s disposal mechanism, known as the cellular proteasome system.</w:t>
      </w:r>
    </w:p>
    <w:p>
      <w:pPr>
        <w:spacing w:after="0" w:line="84" w:lineRule="exact"/>
        <w:rPr>
          <w:rFonts w:ascii="Times New Roman" w:cs="Times New Roman" w:eastAsia="Times New Roman" w:hAnsi="Times New Roman"/>
          <w:sz w:val="18"/>
          <w:szCs w:val="18"/>
          <w:color w:val="auto"/>
        </w:rPr>
      </w:pPr>
    </w:p>
    <w:p>
      <w:pPr>
        <w:ind w:left="1080" w:right="140" w:hanging="424"/>
        <w:spacing w:after="0" w:line="257"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IL</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b w:val="1"/>
          <w:bCs w:val="1"/>
          <w:i w:val="1"/>
          <w:iCs w:val="1"/>
          <w:color w:val="auto"/>
        </w:rPr>
        <w:t xml:space="preserve"> needed during REP nor after TIL infusion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Regulated mbIL15 expression drives TIL persistence, eliminating the need for IL2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both during the REP of manufacturing and after TIL infusion. IL2 stimulation of T cells during the REP causes T cell exhaustion, which may translate to reduced T cell persistence after infusion and activation-induced cell death, a form of programmed cell death. Use of IL2 also leads to expansion of regulatory T cells, or Tregs, immune cells that have the potential to suppress T cell cytotoxicity. Further, systemic administration of IL2 has been shown to induce severe toxicities, including capillary leak syndrome with potential for multi-organ failure, myocardial infarction, acute renal failure, and immune-mediated neuropathy.</w:t>
      </w:r>
    </w:p>
    <w:p>
      <w:pPr>
        <w:spacing w:after="0" w:line="87" w:lineRule="exact"/>
        <w:rPr>
          <w:rFonts w:ascii="Times New Roman" w:cs="Times New Roman" w:eastAsia="Times New Roman" w:hAnsi="Times New Roman"/>
          <w:sz w:val="18"/>
          <w:szCs w:val="18"/>
          <w:color w:val="auto"/>
        </w:rPr>
      </w:pPr>
    </w:p>
    <w:p>
      <w:pPr>
        <w:ind w:left="1080" w:right="180" w:hanging="424"/>
        <w:spacing w:after="0" w:line="259" w:lineRule="auto"/>
        <w:tabs>
          <w:tab w:leader="none" w:pos="10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Utilizes low-dose lymphodepletion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Presence of regulated mbIL15 enables the use of low-dose lymphodepletion for OBX-115.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non-engineered TIL, treatment with OBX-115 utilizes approximately 50% less cyclophosphamide and is compatible with outpatient administration. Standard-dose lymphodepletion has approximately four times more cyclophosphamide than CAR-T regimens and predominantly requires inpatient administration. The administration of standard-dose lymphodepletion and high-dose IL2 in first generation, non-engineered, approved TIL cell therapies further elevates risk of adverse event severity.</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60"/>
          </w:cols>
          <w:pgMar w:left="320" w:top="455" w:right="51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260" w:hanging="424"/>
        <w:spacing w:after="0" w:line="268"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More convenient tissue procurement and reduced burden on patients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clinical data has shown that our optimized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 allows us to utilize core needle biopsy for tumor tissue procurement, which is an outpatient procedure with minimal scheduling complexity compared to surgical resection.</w:t>
      </w:r>
    </w:p>
    <w:p>
      <w:pPr>
        <w:spacing w:after="0" w:line="76" w:lineRule="exact"/>
        <w:rPr>
          <w:rFonts w:ascii="Times New Roman" w:cs="Times New Roman" w:eastAsia="Times New Roman" w:hAnsi="Times New Roman"/>
          <w:sz w:val="18"/>
          <w:szCs w:val="18"/>
          <w:color w:val="auto"/>
        </w:rPr>
      </w:pPr>
    </w:p>
    <w:p>
      <w:pPr>
        <w:ind w:left="1080" w:right="120" w:hanging="424"/>
        <w:spacing w:after="0" w:line="262" w:lineRule="auto"/>
        <w:tabs>
          <w:tab w:leader="none" w:pos="108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Manufacturing innovation driving superior phenotype: </w:t>
      </w:r>
      <w:r>
        <w:rPr>
          <w:rFonts w:ascii="Times New Roman" w:cs="Times New Roman" w:eastAsia="Times New Roman" w:hAnsi="Times New Roman"/>
          <w:sz w:val="18"/>
          <w:szCs w:val="18"/>
          <w:color w:val="auto"/>
        </w:rPr>
        <w:t>Optimization and innovation of our manufacturing process, including the use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4-1BB agonism, engineered iFeeder cells, and pharmacologically regulatable mbIL15 creates a drug product that consists of minimally exhausted, memory-rich CD8+ cells. These attributes allow for robust expansion and persistence with enhanced cytotoxicity of OBX-115 post-infusion into the patient.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Together, we believe the innovation of regulated mbIL15 engineering, along with the proprietary technology and optimization of our manufacturing process, drives a differentiated product profile with a potentially decreased treatment burden for patients, while demonstrating multiple profile advantages over other cell therapies.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our Phase 1/2 trial, in a cohort of 15 patients with advanced melanoma and confirmed radiological progression post-ICI therapy, an indication of high unmet medical need, treatment with OBX-115 at the recommended Phase 2 dose, or RP2D, led to an unprecedented ORR of 67% with rapid and durable tumor regression. Furthermore, there was no treatment-related mortality, or TRM, dose-limiting toxicities, or DLTs, or discontinuations due to adverse events. There were no cases of immune effector-cell associated neurotoxicity syndromes, or ICANS. Our optimized regimen enables outpatient administration of low dose lymphodepletion.</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7"/>
          <w:szCs w:val="17"/>
          <w:color w:val="auto"/>
        </w:rPr>
        <w:t>Amtagvi</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or lifileucel, was the first TIL cell therapy to receive accelerated FDA approval in 2024 for the treatment of adult patients with unresectable or metastatic melanoma previously treated with a PD-1 blocking antibody, and if B-Raf proto-oncogene, or BRAF, V600 mutation positive, a BRAF inhibitor with or without a mitogen-activated protein kinase enzyme, or MEK, inhibitor. Amtagvi’s approval was based on a 31.5% ORR and the label carries a boxed warning for multiple serious risks, including 7.5% rate of TRM, prolonged severe cytopenia, internal organ hemorrhage, and severe infections. During Amtagvi’s registrational clinical trial, capillary leak syndrome occurred in 13.5% and encephalopathy in 17.3% of Amtagvi treated patients. Additionally, grade ≥ 3 febrile neutropenia was seen in 46.8% of patients and 23.6% of patients were transferred to the intensive care unit, or ICU, post-infusion. Many patients in this trial experienced an extended hospital length-of-stay. The boxed warning restricts use of Amtagvi to use only in the inpatient setting with the availability of cardiopulmonary or intensive care specialists. These fatal treatment-related adverse effects are potentially attributed to the multicomponent regimen including standard-dose lymphodepletion and IL2. OBX-115 treatment regimen does not include standard-dose lymphodepletion or IL2 and it has a zero rate of TRM and a 10% rate of ≥ Grade 3 febrile neutropenia. Additionally, there have been no cases of capillary leak syndrome or encephalopathy, nor have any ICU transfers occurred among patients with melanoma treated with OBX115.</w:t>
      </w:r>
    </w:p>
    <w:p>
      <w:pPr>
        <w:spacing w:after="0" w:line="19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U.S. incidence of second-line advanced melanoma is about 10,300 with about 8,500 deaths annually. Our analyses suggest that based on its favorable product profile, OBX-115 has the potential to double the number of treatment-eligible patients with advanced melanoma compared to existing non-engineered TILs.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FDA granted OBX-115 Fast Track and RMAT designations for the treatment of patients with unresectable or metastatic melanoma that is resistant to ICI therapy. Candidates receiving RMAT designation may also be eligible for accelerated approval and priority review. We plan to initiate our registration-enabling study for OBX-115 in second-line advanced melanoma in support of an accelerated approval in mid-2026, with a potential regulatory filing as early as 2028.</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100"/>
          </w:cols>
          <w:pgMar w:left="320" w:top="455" w:right="4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Based on the encouraging clinical trial results demonstrated to date, we believe OBX-115’s product profile may enable the application for earlier lines of therapy. We intend to evaluate the feasibility of OBX-115 in the first-line setting in patients with advanced melanoma.</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Advanced NSCLC is another attractive indication to pursue with OBX-115 as it is an immune sensitive tumor with a prevalence approximately ten times greater than that of advanced melanoma. In our Phase 1 regimen optimization NSCLC trial, OBX-115 has shown reductions in tumor burden, including multiple PRs in patients that had previously been treated with ICI. We believe OBX-115 has an optimal product profile to drive greater applicability and adoption.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are building an innovative pipeline of genetically engineered TIL cell therapies, led by OBX-115, for the treatment of solid tumors. We own worldwide rights to OBX-115 and our earlier stage product candidates. Our current pipeline is summarized in the diagram below.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97155</wp:posOffset>
            </wp:positionV>
            <wp:extent cx="5074920" cy="10801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074920"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40" w:hanging="224"/>
        <w:spacing w:after="0" w:line="261" w:lineRule="auto"/>
        <w:tabs>
          <w:tab w:leader="none" w:pos="340"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Intended to obtain sufficient efficacy and safety data to support an NDA or BLA submission to obtain regulatory approval. Although registration-enabling clinical studies are often Phase 3 trials, the FDA has approved drugs based on Phase 2 registration-enabling clinical studies through its accelerated approval program.</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Our goal is to leverage our cytoDRiVE platform to unlock the full potential of cell therapies to treat solid tumors. We believe that our ability to dynamically regulate the activity of our cell therapies in the body using our cytoDRiVE platform is key to achieving this goal. Our strategy is as follows:</w:t>
      </w:r>
    </w:p>
    <w:p>
      <w:pPr>
        <w:spacing w:after="0" w:line="41" w:lineRule="exact"/>
        <w:rPr>
          <w:sz w:val="20"/>
          <w:szCs w:val="20"/>
          <w:color w:val="auto"/>
        </w:rPr>
      </w:pPr>
    </w:p>
    <w:p>
      <w:pPr>
        <w:ind w:left="1080" w:hanging="424"/>
        <w:spacing w:after="0" w:line="253" w:lineRule="auto"/>
        <w:tabs>
          <w:tab w:leader="none" w:pos="10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OBX-115 for the treatment of melanoma and NSCLC. </w:t>
      </w:r>
      <w:r>
        <w:rPr>
          <w:rFonts w:ascii="Times New Roman" w:cs="Times New Roman" w:eastAsia="Times New Roman" w:hAnsi="Times New Roman"/>
          <w:sz w:val="18"/>
          <w:szCs w:val="18"/>
          <w:color w:val="auto"/>
        </w:rPr>
        <w:t>Clinical results in patients with second-line advanced melanoma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 ICI experience provide compelling support for the differentiated antitumor and tolerability profile of OBX-115. We plan to initiate our registration-enabling study for OBX-115 in second-line advanced melanoma in pursuit of an accelerated approval in mid-2026 with a potential regulatory filing as early as 2028. A registration-enabling study is a clinical trial that is intended to obtain sufficient efficacy and safety data to support an NDA or BLA submission to obtain regulatory approval. Although registration-enabling clinical studies are often Phase 3 trials, the FDA has approved drugs based on Phase 2 registration-enabling clinical studies through its accelerated approval program, provided the product is eligible and meets the conditions of accelerated approval. We also intend to initiate a clinical trial to evaluate the potential of OBX-115 as part of first-line treatment of advanced melanoma. In NSCLC, early clinical results in patients previously treated with ICIs suggest that OBX-115 has the potential to deliver meaningful antitumor activity in NSCLC while maintaining a generally well-tolerated profile. We intend to continue enrolling patients in our ongoing trial and, upon review of the Phase 1 clinical data in the first half of 2027, potentially further advance the clinical development in NSCLC. Similar to melanoma, we believe that the observed tolerability profile of OBX-115 may provide an opportunity to evaluate the potential of OBX-115 earlier in the course of disease.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120"/>
          </w:cols>
          <w:pgMar w:left="320" w:top="455" w:right="4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56"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the potential of OBX-115 for the treatment of other solid tumors. </w:t>
      </w:r>
      <w:r>
        <w:rPr>
          <w:rFonts w:ascii="Times New Roman" w:cs="Times New Roman" w:eastAsia="Times New Roman" w:hAnsi="Times New Roman"/>
          <w:sz w:val="18"/>
          <w:szCs w:val="18"/>
          <w:color w:val="auto"/>
        </w:rPr>
        <w:t>OBX-115 may be applicable to additional solid tumor types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where scientific rationale or prior TIL activity supports development, including tumors with prognostic TIL associations, supportive preclinical findings, or clinical responses to non-engineered TIL. This rationale extends to tumor types with FDA approved ICI therapies, where endogenous TIL activity is a mediator of response and progression following ICI therapy may indicate exhaustion of TIL function. By leveraging cytoDRiVE and our proprietary manufacturing process, in contrast to what is currently feasible with non-engineered TIL, OBX-115 may be manufactured from these tumors, whether they harbor suppressed tumor reactive TIL that regulatable mbIL-15 may functionally enhance or fewer TIL overall that are potentially expandable in the REP phase leading to robust cell dose yields.</w:t>
      </w:r>
    </w:p>
    <w:p>
      <w:pPr>
        <w:spacing w:after="0" w:line="88"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Advance our manufacturing capabilities in anticipation of our biologics license application, or BLA, and, if approved, commercial launch. </w:t>
      </w:r>
      <w:r>
        <w:rPr>
          <w:rFonts w:ascii="Times New Roman" w:cs="Times New Roman" w:eastAsia="Times New Roman" w:hAnsi="Times New Roman"/>
          <w:sz w:val="17"/>
          <w:szCs w:val="17"/>
          <w:color w:val="auto"/>
        </w:rPr>
        <w:t>We believe our proprietary manufacturing process enables advantages in phenotype, yield, process robustness, and tumor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procurement flexibility. We collaborate with leading contract development manufacturing organizations, or CDMOs, with cell therapies expertise to manufacture OBX-115, and plan to expand our capacity with these partners as we approach potential regulatory approval.</w:t>
      </w:r>
    </w:p>
    <w:p>
      <w:pPr>
        <w:spacing w:after="0" w:line="66" w:lineRule="exact"/>
        <w:rPr>
          <w:rFonts w:ascii="Times New Roman" w:cs="Times New Roman" w:eastAsia="Times New Roman" w:hAnsi="Times New Roman"/>
          <w:sz w:val="17"/>
          <w:szCs w:val="17"/>
          <w:color w:val="auto"/>
        </w:rPr>
      </w:pPr>
    </w:p>
    <w:p>
      <w:pPr>
        <w:ind w:left="1080" w:right="300" w:hanging="424"/>
        <w:spacing w:after="0" w:line="268"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Commercialize OBX-115 in the United States and evaluate partnership opportunities in other regions. </w:t>
      </w:r>
      <w:r>
        <w:rPr>
          <w:rFonts w:ascii="Times New Roman" w:cs="Times New Roman" w:eastAsia="Times New Roman" w:hAnsi="Times New Roman"/>
          <w:sz w:val="18"/>
          <w:szCs w:val="18"/>
          <w:color w:val="auto"/>
        </w:rPr>
        <w:t>We intend to retain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 rights to OBX-115 in the United States and opportunistically evaluate strategic collaborations to maximize the commercial potential of OBX-115 in other regions.</w:t>
      </w:r>
    </w:p>
    <w:p>
      <w:pPr>
        <w:spacing w:after="0" w:line="76" w:lineRule="exact"/>
        <w:rPr>
          <w:rFonts w:ascii="Times New Roman" w:cs="Times New Roman" w:eastAsia="Times New Roman" w:hAnsi="Times New Roman"/>
          <w:sz w:val="18"/>
          <w:szCs w:val="18"/>
          <w:color w:val="auto"/>
        </w:rPr>
      </w:pPr>
    </w:p>
    <w:p>
      <w:pPr>
        <w:ind w:left="1080" w:right="200" w:hanging="424"/>
        <w:spacing w:after="0" w:line="257" w:lineRule="auto"/>
        <w:tabs>
          <w:tab w:leader="none" w:pos="10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invest in our cytoDRiVE platform and intellectual property for our cytoTIL product candidates while actively exploring strategic partnerships and collaborations for other applications of our platform. </w:t>
      </w:r>
      <w:r>
        <w:rPr>
          <w:rFonts w:ascii="Times New Roman" w:cs="Times New Roman" w:eastAsia="Times New Roman" w:hAnsi="Times New Roman"/>
          <w:sz w:val="18"/>
          <w:szCs w:val="18"/>
          <w:color w:val="auto"/>
        </w:rPr>
        <w:t>Our cytoDRiVE platform is designed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highly versatile and fit-for-purpose, with the ability to drive on- or off-activity across multiple classes of proteins and cell types. We believe there are potential next-generation applications across oncology and broader therapeutic areas. This abundance of potential treatment opportunities may enable us to selectively enter strategic collaborations involving our cytoDRiVE platform to maximize the patient benefit and long-term value of our research and development portfolio.</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History and Team</w:t>
      </w:r>
    </w:p>
    <w:p>
      <w:pPr>
        <w:spacing w:after="0" w:line="121" w:lineRule="exact"/>
        <w:rPr>
          <w:sz w:val="20"/>
          <w:szCs w:val="20"/>
          <w:color w:val="auto"/>
        </w:rPr>
      </w:pPr>
    </w:p>
    <w:p>
      <w:pPr>
        <w:ind w:left="120" w:right="160" w:firstLine="440"/>
        <w:spacing w:after="0" w:line="253" w:lineRule="auto"/>
        <w:rPr>
          <w:sz w:val="20"/>
          <w:szCs w:val="20"/>
          <w:color w:val="auto"/>
        </w:rPr>
      </w:pPr>
      <w:r>
        <w:rPr>
          <w:rFonts w:ascii="Times New Roman" w:cs="Times New Roman" w:eastAsia="Times New Roman" w:hAnsi="Times New Roman"/>
          <w:sz w:val="18"/>
          <w:szCs w:val="18"/>
          <w:color w:val="auto"/>
        </w:rPr>
        <w:t>Obsidian was founded in 2015 by Atlas Venture to enable a new generation of cell therapies. We are led by a management team with extensive experience in cell therapy, including TIL cell therapies. Madan Jagasia, M.D., our Chief Executive Officer, previously served as Executive Vice President, Medical Affairs at Iovance Biotherapeutics, or Iovance. Prior to Iovance, Dr. Jagasia was Chief Medical Officer and Executive Medical Director of Cancer Patient Care Center, Vanderbilt-Ingram Cancer Center. Parameswaran Hari, M.D., our Chief Medical Officer, has decades of experience leading cell and gene therapy programs. Dr. Hari previously served as Senior Vice President, Clinical Science at Iovance; Chief of Hematology and Oncology at the Medical College of Wisconsin and Secretary of the American Society of Transplantation and Cellular Therapy. Dana Alexander, our Chief Technical Officer, has over 25 years of experience across cell, gene therapy and biologics process development and chemistry, manufacturing, and controls, or CMC, from Phase 1 through commercialization, including serving as Senior Vice President of Technical Operations at AlloVir. Julie Feder, our Chief Financial Officer, has extensive experience in driving the financial and corporate growth of life sciences companies, including serving as Chief Financial Officer for Aura Biosciences, Verastem Oncology, and the Clinton Health Access Initiative.</w:t>
      </w:r>
    </w:p>
    <w:p>
      <w:pPr>
        <w:spacing w:after="0" w:line="194"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To date, we have raised over $335 million from leading institutional investors, including: Atlas Venture, Celgene Corporation, Deep Track Biotechnology Master Fund and TCG Crossover Fund. Prospective investors should not rely on the investment decisions of our existing investors, as these investors may have different risk tolerances and have received their shares in prior offerings at prices lower than the price offered to the public in connection with transactions contemplated by the merger agreement. See “</w:t>
      </w:r>
      <w:r>
        <w:rPr>
          <w:rFonts w:ascii="Times New Roman" w:cs="Times New Roman" w:eastAsia="Times New Roman" w:hAnsi="Times New Roman"/>
          <w:sz w:val="18"/>
          <w:szCs w:val="18"/>
          <w:i w:val="1"/>
          <w:iCs w:val="1"/>
          <w:color w:val="auto"/>
        </w:rPr>
        <w:t>Certain Relationships and Related Party Transactions</w:t>
      </w:r>
      <w:r>
        <w:rPr>
          <w:rFonts w:ascii="Times New Roman" w:cs="Times New Roman" w:eastAsia="Times New Roman" w:hAnsi="Times New Roman"/>
          <w:sz w:val="18"/>
          <w:szCs w:val="18"/>
          <w:color w:val="auto"/>
        </w:rPr>
        <w:t>” beginning of page 302 of this information statement/prospectus for more information.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on Solid Tumors and Cell Therapies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Solid Tumors: A Remaining Unmet Need in Cancer</w:t>
      </w:r>
    </w:p>
    <w:p>
      <w:pPr>
        <w:spacing w:after="0" w:line="121"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Despite advances across the treatment landscape, solid tumors remain a significant unmet medical need, with mortality and clinical outcomes generally worsening as disease advances. In 2026, there will be an estimated 2.1 million new cancer cases and 600,000 cancer deaths in the United States, with approximately 90% attributable to solid tumors, according to the American Cancer Society. Several key factors such as tumor heterogeneity, as well as challenging tumor microenvironments, have made solid tumors very difficult to treat. When tumors become refractory to early lines of treatment, options for further therapy are currently limited to alternate forms of chemotherapy, clinical trials of agents in development or palliative care. Each of these alternatives presents a low likelihood of cure, while generally exposing patients to safety and tolerability concerns. As a result, metastatic solid tumors where the disease has progressed after initial therapy continue to account for a disproportionate share of cancer-related mortality.</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Characteristics of Existing Cell Therapies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Overview of cell therapies and their limitations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Cellular immunotherapies leverage the innate abilities of immune effector cell, such as tumor trafficking, expansion, and persistence, and address the limitations of conventional cancer treatments. Autologous cell therapies reengineer a patient’s own immune system to recognize tumors with high specificity and enable long-term immune surveillance and durable responses. FDA-approved autologous cell therapies have achieved major advances in multiple hematologic malignancies, including B-cell lymphomas, leukemias, and myeloma, as well as in two solid tumor types: metastatic melanoma and synovial sarcoma. Current autologous approaches fall into three primary categories: CAR-T, TCR-T, and TIL cell therapies.</w:t>
      </w:r>
    </w:p>
    <w:p>
      <w:pPr>
        <w:spacing w:after="0" w:line="183"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The central challenge for cellular immunotherapies is to achieve cancer-specific cell killing while sparing normal healthy tissues. The immune system distinguishes normal from abnormal cells through two major recognition mechanisms. Antibodies or antibody fragments bind with high specificity to antigens such as cell surface proteins, whereas T cells use their receptors, or TCRs, to detect peptide fragments derived primarily from the breakdown of intracellular proteins and presented on the surface by major histocompatibility complex, or MHC, molecules. Because MHC displays a broad repertoire of intracellular peptides, TCR-based recognition enables deeper surveillance of cellular abnormalities than antibody binding alone. In cancer immunity, professional antigen presenting cells can produce specific cancer directed CD8 T cell responses by presenting tumor-derived antigens derived from dying cancer cells. TIL cell therapies and TCR-T therapies use TCR mediated recognition to mediate cancer cell specific cytotoxicity.</w:t>
      </w:r>
    </w:p>
    <w:p>
      <w:pPr>
        <w:spacing w:after="0" w:line="171" w:lineRule="exact"/>
        <w:rPr>
          <w:sz w:val="20"/>
          <w:szCs w:val="20"/>
          <w:color w:val="auto"/>
        </w:rPr>
      </w:pPr>
    </w:p>
    <w:p>
      <w:pPr>
        <w:ind w:left="120" w:right="220" w:firstLine="440"/>
        <w:spacing w:after="0" w:line="277" w:lineRule="auto"/>
        <w:rPr>
          <w:sz w:val="20"/>
          <w:szCs w:val="20"/>
          <w:color w:val="auto"/>
        </w:rPr>
      </w:pPr>
      <w:r>
        <w:rPr>
          <w:rFonts w:ascii="Times New Roman" w:cs="Times New Roman" w:eastAsia="Times New Roman" w:hAnsi="Times New Roman"/>
          <w:sz w:val="17"/>
          <w:szCs w:val="17"/>
          <w:color w:val="auto"/>
        </w:rPr>
        <w:t>CAR-T cells are engineered T cells that rely on an antibody-derived binding domain to recognize target cells. The antigenic targets of currently available CAR-T therapies reflect the normal cell lineages from which the cancer arose. This approach has had major success in certain hematologic malignancies, where B cell or plasma cell lineage restricted surface antigens such as CD20 or BCMA can be safely targeted because the hematologic system can regenerate itself and thereby tolerate the toxicity arising from temporary off-tumor toxicity. However, in most solid tumors, truly tumor-specific surface antigens are uncommon, increasing the risk of on-target, off-tumor toxicity and limiting the application of CAR-T therapies.</w:t>
      </w:r>
    </w:p>
    <w:p>
      <w:pPr>
        <w:spacing w:after="0" w:line="168" w:lineRule="exact"/>
        <w:rPr>
          <w:sz w:val="20"/>
          <w:szCs w:val="20"/>
          <w:color w:val="auto"/>
        </w:rPr>
      </w:pPr>
    </w:p>
    <w:p>
      <w:pPr>
        <w:ind w:left="120" w:right="100" w:firstLine="440"/>
        <w:spacing w:after="0" w:line="233" w:lineRule="auto"/>
        <w:rPr>
          <w:sz w:val="20"/>
          <w:szCs w:val="20"/>
          <w:color w:val="auto"/>
        </w:rPr>
      </w:pPr>
      <w:r>
        <w:rPr>
          <w:rFonts w:ascii="Times New Roman" w:cs="Times New Roman" w:eastAsia="Times New Roman" w:hAnsi="Times New Roman"/>
          <w:sz w:val="18"/>
          <w:szCs w:val="18"/>
          <w:color w:val="auto"/>
        </w:rPr>
        <w:t>As solid tumors account for approximately 90% of cancer deaths, the lack of tumor specific CAR-T targetable surface antigens reflects a substantial unmet need. Therefore, researchers have continued to investigate ways to redirect T cells, driven by their native TCRs, to recognize and kill tumor cells with greater specificity and reduced off-tumor toxicity. Leveraging the TCR offers the key advantage of enabling immune cells to target intracellular tumor antigens that cannot be accessed by antibody-based approaches or CAR-T cells. Tecelra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approved by the FDA in 2024, is the first approved engineered TCR therapy. Tecelra recognizes MAGE-A4, an</w:t>
      </w:r>
    </w:p>
    <w:p>
      <w:pPr>
        <w:spacing w:after="0" w:line="1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intracellular protein that is generally absent in healthy tissues. However, the potential of TCR-engineered T cell therapies is limited because of two main factors:</w:t>
      </w:r>
    </w:p>
    <w:p>
      <w:pPr>
        <w:spacing w:after="0" w:line="67" w:lineRule="exact"/>
        <w:rPr>
          <w:sz w:val="20"/>
          <w:szCs w:val="20"/>
          <w:color w:val="auto"/>
        </w:rPr>
      </w:pPr>
    </w:p>
    <w:p>
      <w:pPr>
        <w:ind w:left="1080" w:right="60" w:hanging="532"/>
        <w:spacing w:after="0" w:line="26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MHC molecules exist in numerous variants known as allelic variants within individuals and vary extensively between individuals, and each allele presents a distinct peptide repertoire. As a result, TCR therapies can only be administered to patients who express MHC alleles compatible with the engineered receptor.</w:t>
      </w:r>
    </w:p>
    <w:p>
      <w:pPr>
        <w:spacing w:after="0" w:line="81" w:lineRule="exact"/>
        <w:rPr>
          <w:rFonts w:ascii="Times New Roman" w:cs="Times New Roman" w:eastAsia="Times New Roman" w:hAnsi="Times New Roman"/>
          <w:sz w:val="18"/>
          <w:szCs w:val="18"/>
          <w:color w:val="auto"/>
        </w:rPr>
      </w:pPr>
    </w:p>
    <w:p>
      <w:pPr>
        <w:ind w:left="1080" w:right="220" w:hanging="532"/>
        <w:spacing w:after="0" w:line="266"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Engineered TCR-T therapies target a single antigen and therefore cannot address the heterogeneity of tumor antigen expression within a tumor. Loss or downregulation of the targeted antigen is a common immune-evasion strategy in cancer which can render the therapy ineffective.</w:t>
      </w:r>
    </w:p>
    <w:p>
      <w:pPr>
        <w:spacing w:after="0" w:line="176" w:lineRule="exact"/>
        <w:rPr>
          <w:sz w:val="20"/>
          <w:szCs w:val="20"/>
          <w:color w:val="auto"/>
        </w:rPr>
      </w:pPr>
    </w:p>
    <w:p>
      <w:pPr>
        <w:jc w:val="both"/>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In contrast, TIL cell therapies offer a broader TCR-based approach. By expanding a patient’s own tumor-derived T cell population, which naturally recognizes a diverse set of intracellular peptides presented by MHC, TIL offer a breadth of antigen recognition, reduces vulnerability to single-antigen loss and are not subject to MHC allele restriction constraints of TCR-T therapies.</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Table 1 below summarizes certain characteristics of existing cell therapy modalities, including CAR-T, TCR-T and non-engineered TIL cell therapies, and highlights key differences in targeting, safety considerations and practical limitations.</w:t>
      </w:r>
    </w:p>
    <w:p>
      <w:pPr>
        <w:sectPr>
          <w:pgSz w:w="11900" w:h="16838" w:orient="portrait"/>
          <w:cols w:equalWidth="0" w:num="1">
            <w:col w:w="11100"/>
          </w:cols>
          <w:pgMar w:left="320" w:top="455" w:right="479" w:bottom="1440" w:gutter="0" w:footer="0" w:header="0"/>
        </w:sectPr>
      </w:pPr>
    </w:p>
    <w:p>
      <w:pPr>
        <w:spacing w:after="0" w:line="331"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Advantages</w:t>
            </w:r>
          </w:p>
        </w:tc>
        <w:tc>
          <w:tcPr>
            <w:tcW w:w="29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CAR-T Therapy</w:t>
            </w:r>
          </w:p>
        </w:tc>
        <w:tc>
          <w:tcPr>
            <w:tcW w:w="0" w:type="dxa"/>
            <w:vAlign w:val="bottom"/>
          </w:tcPr>
          <w:p>
            <w:pPr>
              <w:spacing w:after="0"/>
              <w:rPr>
                <w:sz w:val="1"/>
                <w:szCs w:val="1"/>
                <w:color w:val="auto"/>
              </w:rPr>
            </w:pPr>
          </w:p>
        </w:tc>
      </w:tr>
      <w:tr>
        <w:trPr>
          <w:trHeight w:val="191"/>
        </w:trPr>
        <w:tc>
          <w:tcPr>
            <w:tcW w:w="2180" w:type="dxa"/>
            <w:vAlign w:val="bottom"/>
            <w:vMerge w:val="continue"/>
          </w:tcPr>
          <w:p>
            <w:pPr>
              <w:spacing w:after="0"/>
              <w:rPr>
                <w:sz w:val="16"/>
                <w:szCs w:val="16"/>
                <w:color w:val="auto"/>
              </w:rPr>
            </w:pPr>
          </w:p>
        </w:tc>
        <w:tc>
          <w:tcPr>
            <w:tcW w:w="2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 Target antigens beyond peptides on</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cell surface independent of MHC</w:t>
            </w:r>
          </w:p>
        </w:tc>
        <w:tc>
          <w:tcPr>
            <w:tcW w:w="0" w:type="dxa"/>
            <w:vAlign w:val="bottom"/>
          </w:tcPr>
          <w:p>
            <w:pPr>
              <w:spacing w:after="0"/>
              <w:rPr>
                <w:sz w:val="1"/>
                <w:szCs w:val="1"/>
                <w:color w:val="auto"/>
              </w:rPr>
            </w:pPr>
          </w:p>
        </w:tc>
      </w:tr>
      <w:tr>
        <w:trPr>
          <w:trHeight w:val="319"/>
        </w:trPr>
        <w:tc>
          <w:tcPr>
            <w:tcW w:w="2180" w:type="dxa"/>
            <w:vAlign w:val="bottom"/>
          </w:tcPr>
          <w:p>
            <w:pPr>
              <w:spacing w:after="0"/>
              <w:rPr>
                <w:sz w:val="24"/>
                <w:szCs w:val="24"/>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•   Lower cumulative cyclophosphamide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dose in lymphodepletion regimen</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compared to non-engineered TIL cell</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therapy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TCR-T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16510</wp:posOffset>
            </wp:positionV>
            <wp:extent cx="18173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9" w:lineRule="exact"/>
        <w:rPr>
          <w:sz w:val="20"/>
          <w:szCs w:val="20"/>
          <w:color w:val="auto"/>
        </w:rPr>
      </w:pPr>
    </w:p>
    <w:p>
      <w:pPr>
        <w:ind w:left="140" w:right="180" w:hanging="179"/>
        <w:spacing w:after="0" w:line="272" w:lineRule="auto"/>
        <w:rPr>
          <w:sz w:val="20"/>
          <w:szCs w:val="20"/>
          <w:color w:val="auto"/>
        </w:rPr>
      </w:pPr>
      <w:r>
        <w:rPr>
          <w:rFonts w:ascii="Times New Roman" w:cs="Times New Roman" w:eastAsia="Times New Roman" w:hAnsi="Times New Roman"/>
          <w:sz w:val="18"/>
          <w:szCs w:val="18"/>
          <w:color w:val="auto"/>
        </w:rPr>
        <w:t>•   Accessibility to intracellular target through MHC</w:t>
      </w:r>
    </w:p>
    <w:p>
      <w:pPr>
        <w:spacing w:after="0" w:line="76" w:lineRule="exact"/>
        <w:rPr>
          <w:sz w:val="20"/>
          <w:szCs w:val="20"/>
          <w:color w:val="auto"/>
        </w:rPr>
      </w:pPr>
    </w:p>
    <w:p>
      <w:pPr>
        <w:ind w:left="140" w:hanging="179"/>
        <w:spacing w:after="0" w:line="282" w:lineRule="auto"/>
        <w:rPr>
          <w:sz w:val="20"/>
          <w:szCs w:val="20"/>
          <w:color w:val="auto"/>
        </w:rPr>
      </w:pPr>
      <w:r>
        <w:rPr>
          <w:rFonts w:ascii="Times New Roman" w:cs="Times New Roman" w:eastAsia="Times New Roman" w:hAnsi="Times New Roman"/>
          <w:sz w:val="18"/>
          <w:szCs w:val="18"/>
          <w:color w:val="auto"/>
        </w:rPr>
        <w:t>•   Utilizes natural TCR signaling pathways for potentially better effect</w:t>
      </w:r>
    </w:p>
    <w:p>
      <w:pPr>
        <w:spacing w:after="0" w:line="67" w:lineRule="exact"/>
        <w:rPr>
          <w:sz w:val="20"/>
          <w:szCs w:val="20"/>
          <w:color w:val="auto"/>
        </w:rPr>
      </w:pPr>
    </w:p>
    <w:p>
      <w:pPr>
        <w:ind w:left="140" w:right="40" w:hanging="179"/>
        <w:spacing w:after="0" w:line="261" w:lineRule="auto"/>
        <w:rPr>
          <w:sz w:val="20"/>
          <w:szCs w:val="20"/>
          <w:color w:val="auto"/>
        </w:rPr>
      </w:pPr>
      <w:r>
        <w:rPr>
          <w:rFonts w:ascii="Times New Roman" w:cs="Times New Roman" w:eastAsia="Times New Roman" w:hAnsi="Times New Roman"/>
          <w:sz w:val="18"/>
          <w:szCs w:val="18"/>
          <w:color w:val="auto"/>
        </w:rPr>
        <w:t>•   -Lower cumulative cyclophosphamide dose in lymphodepletion regimen compared to non-engineered TIL cell therapy</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Non-Engineered TIL Cell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5080</wp:posOffset>
            </wp:positionV>
            <wp:extent cx="1671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ind w:left="160" w:hanging="179"/>
        <w:spacing w:after="0" w:line="261" w:lineRule="auto"/>
        <w:rPr>
          <w:sz w:val="20"/>
          <w:szCs w:val="20"/>
          <w:color w:val="auto"/>
        </w:rPr>
      </w:pPr>
      <w:r>
        <w:rPr>
          <w:rFonts w:ascii="Times New Roman" w:cs="Times New Roman" w:eastAsia="Times New Roman" w:hAnsi="Times New Roman"/>
          <w:sz w:val="18"/>
          <w:szCs w:val="18"/>
          <w:color w:val="auto"/>
        </w:rPr>
        <w:t>•   Broad repertoire of TCRs that target both defined and undefined tumor antigens</w:t>
      </w:r>
    </w:p>
    <w:p>
      <w:pPr>
        <w:spacing w:after="0" w:line="86" w:lineRule="exact"/>
        <w:rPr>
          <w:sz w:val="20"/>
          <w:szCs w:val="20"/>
          <w:color w:val="auto"/>
        </w:rPr>
      </w:pPr>
    </w:p>
    <w:p>
      <w:pPr>
        <w:ind w:left="160" w:right="20" w:hanging="179"/>
        <w:spacing w:after="0" w:line="255" w:lineRule="auto"/>
        <w:rPr>
          <w:sz w:val="20"/>
          <w:szCs w:val="20"/>
          <w:color w:val="auto"/>
        </w:rPr>
      </w:pPr>
      <w:r>
        <w:rPr>
          <w:rFonts w:ascii="Times New Roman" w:cs="Times New Roman" w:eastAsia="Times New Roman" w:hAnsi="Times New Roman"/>
          <w:sz w:val="18"/>
          <w:szCs w:val="18"/>
          <w:color w:val="auto"/>
        </w:rPr>
        <w:t>•   Because TIL are isolated from tumors, they are enriched with T cells that specifically recognize tumor cells and have demonstrated the ability to traffic to, and survive in, the tumor microenvironment</w:t>
      </w:r>
    </w:p>
    <w:p>
      <w:pPr>
        <w:spacing w:after="0" w:line="94" w:lineRule="exact"/>
        <w:rPr>
          <w:sz w:val="20"/>
          <w:szCs w:val="20"/>
          <w:color w:val="auto"/>
        </w:rPr>
      </w:pPr>
    </w:p>
    <w:p>
      <w:pPr>
        <w:sectPr>
          <w:pgSz w:w="11900" w:h="16838" w:orient="portrait"/>
          <w:cols w:equalWidth="0" w:num="3">
            <w:col w:w="5280" w:space="240"/>
            <w:col w:w="2800" w:space="200"/>
            <w:col w:w="2580"/>
          </w:cols>
          <w:pgMar w:left="320" w:top="455" w:right="479" w:bottom="1440" w:gutter="0" w:footer="0" w:header="0"/>
          <w:type w:val="continuous"/>
        </w:sectPr>
      </w:pPr>
    </w:p>
    <w:p>
      <w:pPr>
        <w:ind w:left="120"/>
        <w:spacing w:after="0"/>
        <w:tabs>
          <w:tab w:leader="none" w:pos="2280" w:val="left"/>
        </w:tabs>
        <w:rPr>
          <w:sz w:val="20"/>
          <w:szCs w:val="20"/>
          <w:color w:val="auto"/>
        </w:rPr>
      </w:pPr>
      <w:r>
        <w:rPr>
          <w:rFonts w:ascii="Times New Roman" w:cs="Times New Roman" w:eastAsia="Times New Roman" w:hAnsi="Times New Roman"/>
          <w:sz w:val="18"/>
          <w:szCs w:val="18"/>
          <w:color w:val="auto"/>
        </w:rPr>
        <w:t>Disadvantages</w:t>
      </w:r>
      <w:r>
        <w:rPr>
          <w:sz w:val="20"/>
          <w:szCs w:val="20"/>
          <w:color w:val="auto"/>
        </w:rPr>
        <w:tab/>
      </w:r>
      <w:r>
        <w:rPr>
          <w:rFonts w:ascii="Times New Roman" w:cs="Times New Roman" w:eastAsia="Times New Roman" w:hAnsi="Times New Roman"/>
          <w:sz w:val="18"/>
          <w:szCs w:val="18"/>
          <w:color w:val="auto"/>
        </w:rPr>
        <w:t>•   Limited availability of truly</w:t>
      </w:r>
    </w:p>
    <w:p>
      <w:pPr>
        <w:spacing w:after="0" w:line="2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tumor-exclusive surface antigens and</w:t>
      </w:r>
    </w:p>
    <w:p>
      <w:pPr>
        <w:spacing w:after="0" w:line="2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antigen heterogeneity in solid tumors</w:t>
      </w:r>
    </w:p>
    <w:p>
      <w:pPr>
        <w:spacing w:after="0" w:line="21"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can limit efficacy and increase</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on-target/off-tumor toxicity risk</w:t>
      </w:r>
    </w:p>
    <w:p>
      <w:pPr>
        <w:spacing w:after="0" w:line="11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•   Evasion by loss of target antigen</w:t>
      </w:r>
    </w:p>
    <w:p>
      <w:pPr>
        <w:spacing w:after="0" w:line="2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surface expression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 Treatment limited by HLA type</w:t>
      </w:r>
    </w:p>
    <w:p>
      <w:pPr>
        <w:spacing w:after="0" w:line="131" w:lineRule="exact"/>
        <w:rPr>
          <w:sz w:val="20"/>
          <w:szCs w:val="20"/>
          <w:color w:val="auto"/>
        </w:rPr>
      </w:pPr>
    </w:p>
    <w:p>
      <w:pPr>
        <w:ind w:left="180" w:hanging="179"/>
        <w:spacing w:after="0" w:line="266" w:lineRule="auto"/>
        <w:rPr>
          <w:sz w:val="20"/>
          <w:szCs w:val="20"/>
          <w:color w:val="auto"/>
        </w:rPr>
      </w:pPr>
      <w:r>
        <w:rPr>
          <w:rFonts w:ascii="Times New Roman" w:cs="Times New Roman" w:eastAsia="Times New Roman" w:hAnsi="Times New Roman"/>
          <w:sz w:val="18"/>
          <w:szCs w:val="18"/>
          <w:color w:val="auto"/>
        </w:rPr>
        <w:t>•   Target single antigens and may not address antigen heterogeneity within a single tumor</w:t>
      </w:r>
    </w:p>
    <w:p>
      <w:pPr>
        <w:spacing w:after="0" w:line="81" w:lineRule="exact"/>
        <w:rPr>
          <w:sz w:val="20"/>
          <w:szCs w:val="20"/>
          <w:color w:val="auto"/>
        </w:rPr>
      </w:pPr>
    </w:p>
    <w:p>
      <w:pPr>
        <w:ind w:left="180" w:right="20" w:hanging="179"/>
        <w:spacing w:after="0" w:line="266" w:lineRule="auto"/>
        <w:rPr>
          <w:sz w:val="20"/>
          <w:szCs w:val="20"/>
          <w:color w:val="auto"/>
        </w:rPr>
      </w:pPr>
      <w:r>
        <w:rPr>
          <w:rFonts w:ascii="Times New Roman" w:cs="Times New Roman" w:eastAsia="Times New Roman" w:hAnsi="Times New Roman"/>
          <w:sz w:val="18"/>
          <w:szCs w:val="18"/>
          <w:color w:val="auto"/>
        </w:rPr>
        <w:t>•   Can cross-react with off-target peptides in healthy tissues and cause toxicities</w:t>
      </w:r>
    </w:p>
    <w:p>
      <w:pPr>
        <w:spacing w:after="0" w:line="81" w:lineRule="exact"/>
        <w:rPr>
          <w:sz w:val="20"/>
          <w:szCs w:val="20"/>
          <w:color w:val="auto"/>
        </w:rPr>
      </w:pPr>
    </w:p>
    <w:p>
      <w:pPr>
        <w:ind w:left="180" w:right="160" w:hanging="179"/>
        <w:spacing w:after="0" w:line="266" w:lineRule="auto"/>
        <w:rPr>
          <w:sz w:val="20"/>
          <w:szCs w:val="20"/>
          <w:color w:val="auto"/>
        </w:rPr>
      </w:pPr>
      <w:r>
        <w:rPr>
          <w:rFonts w:ascii="Times New Roman" w:cs="Times New Roman" w:eastAsia="Times New Roman" w:hAnsi="Times New Roman"/>
          <w:sz w:val="18"/>
          <w:szCs w:val="18"/>
          <w:color w:val="auto"/>
        </w:rPr>
        <w:t>•   Evasion by loss of antigen presentation machinery can render the therapy ineffective</w:t>
      </w:r>
    </w:p>
    <w:p>
      <w:pPr>
        <w:spacing w:after="0" w:line="81" w:lineRule="exact"/>
        <w:rPr>
          <w:sz w:val="20"/>
          <w:szCs w:val="20"/>
          <w:color w:val="auto"/>
        </w:rPr>
      </w:pPr>
    </w:p>
    <w:p>
      <w:pPr>
        <w:ind w:right="200"/>
        <w:spacing w:after="0" w:line="470" w:lineRule="auto"/>
        <w:rPr>
          <w:sz w:val="20"/>
          <w:szCs w:val="20"/>
          <w:color w:val="auto"/>
        </w:rPr>
      </w:pPr>
      <w:r>
        <w:rPr>
          <w:rFonts w:ascii="Times New Roman" w:cs="Times New Roman" w:eastAsia="Times New Roman" w:hAnsi="Times New Roman"/>
          <w:sz w:val="18"/>
          <w:szCs w:val="18"/>
          <w:color w:val="auto"/>
        </w:rPr>
        <w:t>•   Some TCR-Ts require IL-2 dosing 227</w:t>
      </w:r>
    </w:p>
    <w:p>
      <w:pPr>
        <w:spacing w:after="0" w:line="20" w:lineRule="exact"/>
        <w:rPr>
          <w:sz w:val="20"/>
          <w:szCs w:val="20"/>
          <w:color w:val="auto"/>
        </w:rPr>
      </w:pPr>
      <w:r>
        <w:rPr>
          <w:sz w:val="20"/>
          <w:szCs w:val="20"/>
          <w:color w:val="auto"/>
        </w:rPr>
        <w:br w:type="column"/>
      </w:r>
    </w:p>
    <w:p>
      <w:pPr>
        <w:ind w:left="180" w:right="80" w:hanging="179"/>
        <w:spacing w:after="0" w:line="266" w:lineRule="auto"/>
        <w:rPr>
          <w:sz w:val="20"/>
          <w:szCs w:val="20"/>
          <w:color w:val="auto"/>
        </w:rPr>
      </w:pPr>
      <w:r>
        <w:rPr>
          <w:rFonts w:ascii="Times New Roman" w:cs="Times New Roman" w:eastAsia="Times New Roman" w:hAnsi="Times New Roman"/>
          <w:sz w:val="18"/>
          <w:szCs w:val="18"/>
          <w:color w:val="auto"/>
        </w:rPr>
        <w:t>•   Require surgical tumor resection for T cell isolation and cause delays in generating TIL</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 Need for IL-2 dosing</w:t>
      </w:r>
    </w:p>
    <w:p>
      <w:pPr>
        <w:spacing w:after="0" w:line="131" w:lineRule="exact"/>
        <w:rPr>
          <w:sz w:val="20"/>
          <w:szCs w:val="20"/>
          <w:color w:val="auto"/>
        </w:rPr>
      </w:pPr>
    </w:p>
    <w:p>
      <w:pPr>
        <w:ind w:left="180" w:right="520" w:hanging="179"/>
        <w:spacing w:after="0" w:line="289" w:lineRule="auto"/>
        <w:rPr>
          <w:sz w:val="20"/>
          <w:szCs w:val="20"/>
          <w:color w:val="auto"/>
        </w:rPr>
      </w:pPr>
      <w:r>
        <w:rPr>
          <w:rFonts w:ascii="Times New Roman" w:cs="Times New Roman" w:eastAsia="Times New Roman" w:hAnsi="Times New Roman"/>
          <w:sz w:val="17"/>
          <w:szCs w:val="17"/>
          <w:color w:val="auto"/>
        </w:rPr>
        <w:t>•   Higher cumulative cyclophosphamide dose in lymphodepletion regimen</w:t>
      </w:r>
    </w:p>
    <w:p>
      <w:pPr>
        <w:sectPr>
          <w:pgSz w:w="11900" w:h="16838" w:orient="portrait"/>
          <w:cols w:equalWidth="0" w:num="3">
            <w:col w:w="5160" w:space="320"/>
            <w:col w:w="2840" w:space="180"/>
            <w:col w:w="2600"/>
          </w:cols>
          <w:pgMar w:left="320" w:top="455" w:right="479" w:bottom="1440" w:gutter="0" w:footer="0" w:header="0"/>
          <w:type w:val="continuous"/>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318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CAR-T Therapy</w:t>
            </w:r>
          </w:p>
        </w:tc>
        <w:tc>
          <w:tcPr>
            <w:tcW w:w="288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TCR-T Therapy</w:t>
            </w:r>
          </w:p>
        </w:tc>
        <w:tc>
          <w:tcPr>
            <w:tcW w:w="140" w:type="dxa"/>
            <w:vAlign w:val="bottom"/>
          </w:tcPr>
          <w:p>
            <w:pPr>
              <w:spacing w:after="0"/>
              <w:rPr>
                <w:sz w:val="13"/>
                <w:szCs w:val="13"/>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Non-Engineered TIL Cell</w:t>
            </w:r>
          </w:p>
        </w:tc>
        <w:tc>
          <w:tcPr>
            <w:tcW w:w="0" w:type="dxa"/>
            <w:vAlign w:val="bottom"/>
          </w:tcPr>
          <w:p>
            <w:pPr>
              <w:spacing w:after="0"/>
              <w:rPr>
                <w:sz w:val="1"/>
                <w:szCs w:val="1"/>
                <w:color w:val="auto"/>
              </w:rPr>
            </w:pPr>
          </w:p>
        </w:tc>
      </w:tr>
      <w:tr>
        <w:trPr>
          <w:trHeight w:val="187"/>
        </w:trPr>
        <w:tc>
          <w:tcPr>
            <w:tcW w:w="2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Target Antigen</w:t>
            </w:r>
          </w:p>
        </w:tc>
        <w:tc>
          <w:tcPr>
            <w:tcW w:w="3180" w:type="dxa"/>
            <w:vAlign w:val="bottom"/>
            <w:gridSpan w:val="2"/>
            <w:vMerge w:val="continue"/>
          </w:tcPr>
          <w:p>
            <w:pPr>
              <w:spacing w:after="0"/>
              <w:rPr>
                <w:sz w:val="16"/>
                <w:szCs w:val="16"/>
                <w:color w:val="auto"/>
              </w:rPr>
            </w:pPr>
          </w:p>
        </w:tc>
        <w:tc>
          <w:tcPr>
            <w:tcW w:w="28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Therapy</w:t>
            </w:r>
          </w:p>
        </w:tc>
        <w:tc>
          <w:tcPr>
            <w:tcW w:w="0" w:type="dxa"/>
            <w:vAlign w:val="bottom"/>
          </w:tcPr>
          <w:p>
            <w:pPr>
              <w:spacing w:after="0"/>
              <w:rPr>
                <w:sz w:val="1"/>
                <w:szCs w:val="1"/>
                <w:color w:val="auto"/>
              </w:rPr>
            </w:pPr>
          </w:p>
        </w:tc>
      </w:tr>
      <w:tr>
        <w:trPr>
          <w:trHeight w:val="191"/>
        </w:trPr>
        <w:tc>
          <w:tcPr>
            <w:tcW w:w="2180" w:type="dxa"/>
            <w:vAlign w:val="bottom"/>
            <w:vMerge w:val="continue"/>
          </w:tcPr>
          <w:p>
            <w:pPr>
              <w:spacing w:after="0"/>
              <w:rPr>
                <w:sz w:val="16"/>
                <w:szCs w:val="16"/>
                <w:color w:val="auto"/>
              </w:rPr>
            </w:pPr>
          </w:p>
        </w:tc>
        <w:tc>
          <w:tcPr>
            <w:tcW w:w="2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Lineage-specific surface antigens also</w:t>
            </w:r>
          </w:p>
        </w:tc>
        <w:tc>
          <w:tcPr>
            <w:tcW w:w="200" w:type="dxa"/>
            <w:vAlign w:val="bottom"/>
          </w:tcPr>
          <w:p>
            <w:pPr>
              <w:spacing w:after="0"/>
              <w:rPr>
                <w:sz w:val="16"/>
                <w:szCs w:val="16"/>
                <w:color w:val="auto"/>
              </w:rPr>
            </w:pPr>
          </w:p>
        </w:tc>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Intracellular tumor-associated antigens</w:t>
            </w:r>
          </w:p>
        </w:tc>
        <w:tc>
          <w:tcPr>
            <w:tcW w:w="140" w:type="dxa"/>
            <w:vAlign w:val="bottom"/>
          </w:tcPr>
          <w:p>
            <w:pPr>
              <w:spacing w:after="0"/>
              <w:rPr>
                <w:sz w:val="16"/>
                <w:szCs w:val="16"/>
                <w:color w:val="auto"/>
              </w:rPr>
            </w:pPr>
          </w:p>
        </w:tc>
        <w:tc>
          <w:tcPr>
            <w:tcW w:w="2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Neoantigens or tumor-associated</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expressed by normal cells (e.g., CD19,</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bound to MHC</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antigens bound to MHC</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BCMA)</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(e.g., NY-ESO-1, MAGE-A4)</w:t>
            </w:r>
          </w:p>
        </w:tc>
        <w:tc>
          <w:tcPr>
            <w:tcW w:w="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Tumor Cell Specificity</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Low</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High</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High</w:t>
            </w:r>
          </w:p>
        </w:tc>
        <w:tc>
          <w:tcPr>
            <w:tcW w:w="0" w:type="dxa"/>
            <w:vAlign w:val="bottom"/>
          </w:tcPr>
          <w:p>
            <w:pPr>
              <w:spacing w:after="0"/>
              <w:rPr>
                <w:sz w:val="1"/>
                <w:szCs w:val="1"/>
                <w:color w:val="auto"/>
              </w:rPr>
            </w:pPr>
          </w:p>
        </w:tc>
      </w:tr>
      <w:tr>
        <w:trPr>
          <w:trHeight w:val="32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HLA Restriction</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Yes</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w:t>
            </w:r>
          </w:p>
        </w:tc>
        <w:tc>
          <w:tcPr>
            <w:tcW w:w="0" w:type="dxa"/>
            <w:vAlign w:val="bottom"/>
          </w:tcPr>
          <w:p>
            <w:pPr>
              <w:spacing w:after="0"/>
              <w:rPr>
                <w:sz w:val="1"/>
                <w:szCs w:val="1"/>
                <w:color w:val="auto"/>
              </w:rPr>
            </w:pPr>
          </w:p>
        </w:tc>
      </w:tr>
      <w:tr>
        <w:trPr>
          <w:trHeight w:val="30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Tumor Types</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Hematological malignancies (e.g., B-cell</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Solid tumors and hematological</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Solid tumors, including melanoma,</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leukemia,</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malignancies</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NSCLC, ovarian, cervical and</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lymphoma) Solid tumors with limited</w:t>
            </w:r>
          </w:p>
        </w:tc>
        <w:tc>
          <w:tcPr>
            <w:tcW w:w="2880" w:type="dxa"/>
            <w:vAlign w:val="bottom"/>
          </w:tcPr>
          <w:p>
            <w:pPr>
              <w:spacing w:after="0"/>
              <w:rPr>
                <w:sz w:val="18"/>
                <w:szCs w:val="18"/>
                <w:color w:val="auto"/>
              </w:rPr>
            </w:pP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sarcoma</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efficacy</w:t>
            </w:r>
          </w:p>
        </w:tc>
        <w:tc>
          <w:tcPr>
            <w:tcW w:w="2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Toxicity</w:t>
            </w: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Cytokine release syndrome (CRS),</w:t>
            </w: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Off-target effects, CRS</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Lymphodepletion and IL-2-related</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neurotoxicity</w:t>
            </w:r>
          </w:p>
        </w:tc>
        <w:tc>
          <w:tcPr>
            <w:tcW w:w="2880" w:type="dxa"/>
            <w:vAlign w:val="bottom"/>
          </w:tcPr>
          <w:p>
            <w:pPr>
              <w:spacing w:after="0"/>
              <w:rPr>
                <w:sz w:val="20"/>
                <w:szCs w:val="20"/>
                <w:color w:val="auto"/>
              </w:rPr>
            </w:pP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toxicities</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TIL cell therapy for the treatment of solid tumors</w:t>
      </w:r>
    </w:p>
    <w:p>
      <w:pPr>
        <w:spacing w:after="0" w:line="11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One of the earliest demonstrations of the antitumor potential of cell therapies came from the work of Steven Rosenberg, M.D., Ph.D. and colleagues at the National Institutes of Health in the 1980s, before the discovery of ICIs. These researchers found that TIL from melanoma patients could be expanded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in cell culture to boost their antitumor activity. TIL cell therapy offers a way to potentially avoid the limited effectiveness of CAR-T therapies in solid tumors while taking advantage of the ability of the TCR to more specifically recognize tumor cells. Because TIL are isolated from tumors, they are enriched with T cells that specifically recognize tumor cells and have demonstrated the ability to traffic to, and survive in, the tumor microenvironment. Furthermore, TIL contain polyclonal T cells that are capable of recognizing a spectrum of tumor-specific antigens that may be present in any given tumor.</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first FDA-approved TIL cell therapy, Amtagvi, received accelerated approval in 2024 to treat patients with unresectable or metastatic melanoma who have been previously treated with a PD-1 blocking antibody, and if BRAF V600 mutation positive, a BRAF inhibitor with or without a MEK inhibitor. Amtagvi was approved based on 31.5% ORR, including three complete responses. The median overall survival, or OS, from a follow-up analysis of patients in this trial was 13.9 months, with a five-year OS of 19.7%.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limitations of current TIL cell therapies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Traditional TIL cell therapies, such as Amtagvi, which use TIL that are not genetically modified, have a number of limitations that result in increased morbidity and mortality. These include:</w:t>
      </w:r>
    </w:p>
    <w:p>
      <w:pPr>
        <w:spacing w:after="0" w:line="63" w:lineRule="exact"/>
        <w:rPr>
          <w:sz w:val="20"/>
          <w:szCs w:val="20"/>
          <w:color w:val="auto"/>
        </w:rPr>
      </w:pPr>
    </w:p>
    <w:p>
      <w:pPr>
        <w:ind w:left="1080" w:right="40" w:hanging="424"/>
        <w:spacing w:after="0" w:line="254"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Manufacturing challenges. </w:t>
      </w:r>
      <w:r>
        <w:rPr>
          <w:rFonts w:ascii="Times New Roman" w:cs="Times New Roman" w:eastAsia="Times New Roman" w:hAnsi="Times New Roman"/>
          <w:sz w:val="18"/>
          <w:szCs w:val="18"/>
          <w:color w:val="auto"/>
        </w:rPr>
        <w:t>Non-engineered TIL cell therapies require that tumor tissue be obtained by surgical resection. The need for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invasive surgical procedure poses challenges such as ensuring a patient is eligible for anesthesia and surgery and ensuring availability of specialized surgeons (e.g. thoracic surgeons) for the area of surgical biopsy. These requirements result in significant tumor tissue harvest delays because it requires scheduling with a surgeon trained in the appropriate specialty. Furthermore, the number of TIL generated using these processes is not always sufficient to deliver effective therapy to patients. Of the 111 patients who underwent tumor resection in the Amtagvi registrational trial, 22 (20%) were not infused with Amtagvi for clinical or manufacturing reasons. Of the 89 patients who were infused, seven patients were excluded from the primary efficacy analysis because their infused product did not meet product specification or comparability criteria. An additional nine infused patients received Amtagvi at a dose below the lower bound of the recommended dosing range of 7.5 x 10 viable cells. Thus, 34% of patients were not included in the primary efficacy population within the recommended dosing range.</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080" w:right="80" w:hanging="424"/>
        <w:spacing w:after="0" w:line="260"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Use of IL2 for </w:t>
      </w:r>
      <w:r>
        <w:rPr>
          <w:rFonts w:ascii="Times New Roman" w:cs="Times New Roman" w:eastAsia="Times New Roman" w:hAnsi="Times New Roman"/>
          <w:sz w:val="18"/>
          <w:szCs w:val="18"/>
          <w:b w:val="1"/>
          <w:bCs w:val="1"/>
          <w:i w:val="1"/>
          <w:iCs w:val="1"/>
          <w:color w:val="auto"/>
        </w:rPr>
        <w:t>ex vivo</w:t>
      </w:r>
      <w:r>
        <w:rPr>
          <w:rFonts w:ascii="Times New Roman" w:cs="Times New Roman" w:eastAsia="Times New Roman" w:hAnsi="Times New Roman"/>
          <w:sz w:val="18"/>
          <w:szCs w:val="18"/>
          <w:b w:val="1"/>
          <w:bCs w:val="1"/>
          <w:color w:val="auto"/>
        </w:rPr>
        <w:t xml:space="preserve"> TIL expansion. </w:t>
      </w:r>
      <w:r>
        <w:rPr>
          <w:rFonts w:ascii="Times New Roman" w:cs="Times New Roman" w:eastAsia="Times New Roman" w:hAnsi="Times New Roman"/>
          <w:sz w:val="18"/>
          <w:szCs w:val="18"/>
          <w:color w:val="auto"/>
        </w:rPr>
        <w:t>IL2 is a powerful cytokine that critically affects the features and effectiveness of T cells. IL2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drives T cell expansion and leads to their ability to maximally secrete interferon gamma, or IFN</w:t>
      </w:r>
      <w:r>
        <w:rPr>
          <w:rFonts w:ascii="Arial" w:cs="Arial" w:eastAsia="Arial" w:hAnsi="Arial"/>
          <w:sz w:val="18"/>
          <w:szCs w:val="18"/>
          <w:b w:val="1"/>
          <w:bCs w:val="1"/>
          <w:color w:val="auto"/>
        </w:rPr>
        <w:t>g</w:t>
      </w:r>
      <w:r>
        <w:rPr>
          <w:rFonts w:ascii="Times New Roman" w:cs="Times New Roman" w:eastAsia="Times New Roman" w:hAnsi="Times New Roman"/>
          <w:sz w:val="18"/>
          <w:szCs w:val="18"/>
          <w:color w:val="auto"/>
        </w:rPr>
        <w:t>, in response to antigen stimulation. Hence, IL2 is used throughout the manufacturing process for non-engineered TIL, including the REP. However, IL2 stimulation of T cells during the REP can cause T cell exhaustion and may translate to reduced T cell persistence after infusion. Use of IL2 also leads to expansion of Tregs which have the potential to suppress T cell cytotoxicity. Although the use of IL2 during the REP can drive rapid expansion of TIL, the cytotoxicity of the expanded product may be compromised.</w:t>
      </w:r>
    </w:p>
    <w:p>
      <w:pPr>
        <w:spacing w:after="0" w:line="84" w:lineRule="exact"/>
        <w:rPr>
          <w:rFonts w:ascii="Times New Roman" w:cs="Times New Roman" w:eastAsia="Times New Roman" w:hAnsi="Times New Roman"/>
          <w:sz w:val="18"/>
          <w:szCs w:val="18"/>
          <w:color w:val="auto"/>
        </w:rPr>
      </w:pPr>
    </w:p>
    <w:p>
      <w:pPr>
        <w:ind w:left="1080" w:right="100" w:hanging="424"/>
        <w:spacing w:after="0" w:line="256"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Need for lymphodepletion. </w:t>
      </w:r>
      <w:r>
        <w:rPr>
          <w:rFonts w:ascii="Times New Roman" w:cs="Times New Roman" w:eastAsia="Times New Roman" w:hAnsi="Times New Roman"/>
          <w:sz w:val="18"/>
          <w:szCs w:val="18"/>
          <w:color w:val="auto"/>
        </w:rPr>
        <w:t>Treatment with non-engineered TIL cell therapies requires that the patient first undergo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lymphodepletion, which is generally administered using fludarabine and cyclophosphamide. Lymphodepletion serves a number of purposes including eliminating potentially suppressive endogenous T cells, reducing suppressive cytokines, and creating a regenerative immune niche that administered cells could colonize. It has been shown that lymphodepletion is essential for cellular immunotherapies of cancer. However, not all patients are eligible to undergo standard lymphodepletion. Because individuals with poor organ function, poor performance status or active infections are ineligible for the standard lymphodepletion procedure, these individuals are unable to receive non-engineered TIL cell therapies.</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2" w:lineRule="auto"/>
        <w:tabs>
          <w:tab w:leader="none" w:pos="10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Requirement for inpatient IL2 dosing after TIL infusion. </w:t>
      </w:r>
      <w:r>
        <w:rPr>
          <w:rFonts w:ascii="Times New Roman" w:cs="Times New Roman" w:eastAsia="Times New Roman" w:hAnsi="Times New Roman"/>
          <w:sz w:val="18"/>
          <w:szCs w:val="18"/>
          <w:color w:val="auto"/>
        </w:rPr>
        <w:t>In conventional TIL regimens, physicians administer several doses of high-dose IL2 intravenously in the inpatient setting after delivering TIL cells. For this to be effective, high doses of IL2 are required due to the lower affinity of the IL2 receptor on cytotoxic T cells. High dose IL2 has been associated with life-threatening adverse events, such as capillary leak syndrome, hypotension and tachycardia.</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Solution: OBX-115</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are advancing OBX-115, an engineered cytoTIL cell therapy for the treatment of advanced melanoma and NSCLC. OBX-115 was developed using our proprietary cytoDRiVE platform technology and designed to overcome the limitations of existing therapies. A key differentiating feature of OBX-115 is the introduction of a genetic construct that encodes a mbIL15 protein whose expression can be regulated using ACZ, an orally available FDA approved drug. The expression of IL15 by OBX-115 eliminates the need for IL2 in the treatment regimen in both the REP phase of manufacturing and inpatient treatment. In a cohort of 15 patients with advanced melanoma and confirmed radiological progression post-ICI inhibitor therapy, treatment with OBX-115 at the RP2D led to an ORR of 67% with rapid and durable tumor regression. Also notable is that robust antitumor responses were obtained using low dose lymphodepletion and, in some patients, with core needle biopsies instead of surgical resections. There was no TRM and there were no DLTs or discontinuations due to adverse events. OBX-115 has Fast Track and RMAT designations from the FDA for the treatment of patients with unresectable or metastatic melanoma that is resistant to ICI therapy. In our Phase 1 clinical trial in NSCLC, early clinical results show robust tumor shrinkage and include multiple confirmed PRs.</w:t>
      </w:r>
    </w:p>
    <w:p>
      <w:pPr>
        <w:spacing w:after="0" w:line="19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continue to enroll patients with melanoma in our Phase 2 trial and NSCLC patients in our Phase 1 trial. We plan to initiate our registration-enabling study in advanced melanoma in mid-2026 and potentially initiate a subsequent study in NSCLC after review of the Phase 1 clinical data, which is expected in the first half of 2027.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Engineering OBX-115 with mbIL15</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By utilizing our cytoDRiVE technology and incorporating mbIL15 into OBX-115, we are able to eliminate the need for IL2 in the treatment regimen. IL15 and IL2 are structurally related cytokines that share common receptor subunits. Similar to IL2, IL15 expands cytotoxic T cells and NK cells. Unlike IL2, IL15 does not preferentially expand Tregs, which are associated with an immunosuppressive tumor microenvironment. A further advantage of IL15 is that it promotes survival and maintenance of long-lived memory CD8 T cells, including subsets with stem-cell like properties. By contrast, IL2 leads to higher activation of short-lived effector T cells which are predisposed to terminal exhaustion both during manufacturing and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vivo </w:t>
      </w:r>
      <w:r>
        <w:rPr>
          <w:rFonts w:ascii="Times New Roman" w:cs="Times New Roman" w:eastAsia="Times New Roman" w:hAnsi="Times New Roman"/>
          <w:sz w:val="18"/>
          <w:szCs w:val="18"/>
          <w:color w:val="auto"/>
        </w:rPr>
        <w:t>after infusion.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100"/>
          </w:cols>
          <w:pgMar w:left="320" w:top="455" w:right="4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Whereas IL2 has been approved by the FDA for the treatment of cancer, notwithstanding its association with significant toxicities, no systemic IL15 therapy has received FDA regulatory approval to date. Clinical experience with the administration of exogenous soluble IL15 found that it led to robust T cell proliferation, but its therapeutic benefit was limited with no responses among patients with melanoma. Additionally, a number of severe toxicities were observed including hypotension, thrombocytopenia and elevated liver enzymes. These limitations have prevented the clinical development of soluble exogenous IL15 in a therapeutic context. To leverage the benefits of IL15 while avoiding these undesired effects, OBX-115 has membrane bound expression of IL15 with its levels regulated via our cytoDRiVE platform.</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OBX-115 is engineered to express a proprietary IL15 construct with two key features:</w:t>
      </w:r>
    </w:p>
    <w:p>
      <w:pPr>
        <w:spacing w:after="0" w:line="131" w:lineRule="exact"/>
        <w:rPr>
          <w:sz w:val="20"/>
          <w:szCs w:val="20"/>
          <w:color w:val="auto"/>
        </w:rPr>
      </w:pPr>
    </w:p>
    <w:p>
      <w:pPr>
        <w:ind w:left="1080" w:right="20" w:hanging="424"/>
        <w:spacing w:after="0" w:line="261" w:lineRule="auto"/>
        <w:tabs>
          <w:tab w:leader="none" w:pos="108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IL15 is anchored to the membrane through a flexible linker (“mbIL15”). The linker of mbIL15 has been engineered to avoid shedding of mbIL15 and thereby limit systemic exposure. Further, the linker length was optimized such that mbIL15 possesses the ability to both act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cis </w:t>
      </w:r>
      <w:r>
        <w:rPr>
          <w:rFonts w:ascii="Times New Roman" w:cs="Times New Roman" w:eastAsia="Times New Roman" w:hAnsi="Times New Roman"/>
          <w:sz w:val="18"/>
          <w:szCs w:val="18"/>
          <w:color w:val="auto"/>
        </w:rPr>
        <w:t>to directly activate transduced TIL cells, as shown in Figure 1 below (blue, left panel), and</w:t>
      </w:r>
      <w:r>
        <w:rPr>
          <w:rFonts w:ascii="Times New Roman" w:cs="Times New Roman" w:eastAsia="Times New Roman" w:hAnsi="Times New Roman"/>
          <w:sz w:val="18"/>
          <w:szCs w:val="18"/>
          <w:i w:val="1"/>
          <w:iCs w:val="1"/>
          <w:color w:val="auto"/>
        </w:rPr>
        <w:t xml:space="preserve"> in trans </w:t>
      </w:r>
      <w:r>
        <w:rPr>
          <w:rFonts w:ascii="Times New Roman" w:cs="Times New Roman" w:eastAsia="Times New Roman" w:hAnsi="Times New Roman"/>
          <w:sz w:val="18"/>
          <w:szCs w:val="18"/>
          <w:color w:val="auto"/>
        </w:rPr>
        <w:t>to activate other immune cells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NK cells shown in Figure 1 below (red, right panel). Figure 1. mbIL15 activation of TIL and NK cells.</w:t>
      </w:r>
    </w:p>
    <w:p>
      <w:pPr>
        <w:spacing w:after="0" w:line="175"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Figure 1. mbIL15 activation of TIL and NK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173990</wp:posOffset>
            </wp:positionV>
            <wp:extent cx="4834890" cy="33432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83489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080" w:hanging="424"/>
        <w:spacing w:after="0" w:line="255"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expression of mbIL15 is regulated by ACZ, an orally available FDA-approved drug</w:t>
      </w:r>
      <w:r>
        <w:rPr>
          <w:rFonts w:ascii="Times New Roman" w:cs="Times New Roman" w:eastAsia="Times New Roman" w:hAnsi="Times New Roman"/>
          <w:sz w:val="18"/>
          <w:szCs w:val="18"/>
          <w:color w:val="auto"/>
        </w:rPr>
        <w:t>. Our mbIL15 construct was designed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regulated by cytoDRiVE. In the absence of ACZ, known as the “basal state” in the left panel in Figure 2 below, the DRD is degraded in the cell by the proteasome, thus limiting mbIL15 expression. As shown on the right panel of Figure 2 below, cytoDRiVE regulation enables the CA2-DRD construct to be stabilized in the presence of a paired ligand, ACZ, which enables dose-dependent, reversible mbIL15 expression on the TIL cell surface. ACZ is a CA2 inhibitor that functions as a diuretic for the treatment of edema and elevated intraocular pressure and is used to treat altitude sickness. It has been used in the clinic for over fifty years. This ability to alter the expression of mbIL15 using an oral drug is designed to dynamically regulate its expression to achieve an appropriate balance between efficacy while minimizing</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120"/>
          </w:cols>
          <w:pgMar w:left="320" w:top="455" w:right="4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520"/>
        <w:spacing w:after="0" w:line="282" w:lineRule="auto"/>
        <w:rPr>
          <w:sz w:val="20"/>
          <w:szCs w:val="20"/>
          <w:color w:val="auto"/>
        </w:rPr>
      </w:pPr>
      <w:r>
        <w:rPr>
          <w:rFonts w:ascii="Times New Roman" w:cs="Times New Roman" w:eastAsia="Times New Roman" w:hAnsi="Times New Roman"/>
          <w:sz w:val="18"/>
          <w:szCs w:val="18"/>
          <w:color w:val="auto"/>
        </w:rPr>
        <w:t>potential adverse events. Should a patient’s lymphocytes expand more than desired which may be associated with certain toxicities, mbIL15 expression can be suspended by stopping ACZ administration.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2. Regulation of mbIL15 activity using ACZ.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173990</wp:posOffset>
            </wp:positionV>
            <wp:extent cx="5109210" cy="199707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0921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Proprietary Manufacturing Process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designed our manufacturing process to ensure OBX-115 would contain tumor-reactive TIL with high antitumor activity and phenotypically enriched for expansion and persistence. In addition, we have optimized our manufacturing process across the continuum of Pre-REP, activation, transduction of CA2-mbIL15 construct, REP, and cryopreservation to potentially allow for robustness, reproducibility and a high manufacturing success rate. Our manufacturing process for OBX-115 delivers consistently robust cell yield and high process consistency with a greater than 95% demonstrated success rate. By leveraging our cytoDRiVE platform and our proprietary manufacturing process, we believe OBX-115 has key attributes required to address the unmet need in the treatment of solid tumors and to meaningfully expand the targetable patient population.</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Figure 3 below summarizes the various challenges in the manufacturing process of non-engineered TIL cell therapies and illustrates the potential opportunities to expand access and improve outcomes.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3. Manufacturing process of non-engineered TIL cell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77790" cy="22199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77790"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80"/>
          </w:cols>
          <w:pgMar w:left="320" w:top="455"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manufacturing process can be divided into five stages, as summarized in Figure 4 below:</w:t>
      </w:r>
    </w:p>
    <w:p>
      <w:pPr>
        <w:spacing w:after="0" w:line="127" w:lineRule="exact"/>
        <w:rPr>
          <w:sz w:val="20"/>
          <w:szCs w:val="20"/>
          <w:color w:val="auto"/>
        </w:rPr>
      </w:pPr>
    </w:p>
    <w:p>
      <w:pPr>
        <w:ind w:left="1080" w:hanging="424"/>
        <w:spacing w:after="0" w:line="259"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Tissue acquisition. </w:t>
      </w:r>
      <w:r>
        <w:rPr>
          <w:rFonts w:ascii="Times New Roman" w:cs="Times New Roman" w:eastAsia="Times New Roman" w:hAnsi="Times New Roman"/>
          <w:sz w:val="18"/>
          <w:szCs w:val="18"/>
          <w:color w:val="auto"/>
        </w:rPr>
        <w:t>OBX-115 is a patient-specific product that requires isolation of TIL from a patient’s tumor. We have used tumor tissue,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both from surgical resections or from minimally invasive core needle biopsies to manufacture OBX-115 in our clinical trials with no differential impact on cell dose or product phenotype. An advantage of core needle biopsies is that they can typically be obtained in an interventional radiology procedure under local anesthesia, which is faster than surgical excision. Surgical procedures may delay treatment by several weeks due to the need to coordinate schedules with a surgeon, anesthesiologist and operating room.</w:t>
      </w:r>
    </w:p>
    <w:p>
      <w:pPr>
        <w:spacing w:after="0" w:line="84" w:lineRule="exact"/>
        <w:rPr>
          <w:rFonts w:ascii="Times New Roman" w:cs="Times New Roman" w:eastAsia="Times New Roman" w:hAnsi="Times New Roman"/>
          <w:sz w:val="18"/>
          <w:szCs w:val="18"/>
          <w:color w:val="auto"/>
        </w:rPr>
      </w:pPr>
    </w:p>
    <w:p>
      <w:pPr>
        <w:ind w:left="1080" w:right="20" w:hanging="424"/>
        <w:spacing w:after="0" w:line="268"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Pre-REP. </w:t>
      </w:r>
      <w:r>
        <w:rPr>
          <w:rFonts w:ascii="Times New Roman" w:cs="Times New Roman" w:eastAsia="Times New Roman" w:hAnsi="Times New Roman"/>
          <w:sz w:val="18"/>
          <w:szCs w:val="18"/>
          <w:color w:val="auto"/>
        </w:rPr>
        <w:t>In Pre-REP stage, we isolate the TIL from the tissue sample and treat them with an antibody that serves as an agonist for 4-1BB.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process optimization has been shown to increase TIL expansion, enrich for putative tumor-specific clones and enhance antitumor cytotoxicity.</w:t>
      </w:r>
    </w:p>
    <w:p>
      <w:pPr>
        <w:spacing w:after="0" w:line="76" w:lineRule="exact"/>
        <w:rPr>
          <w:rFonts w:ascii="Times New Roman" w:cs="Times New Roman" w:eastAsia="Times New Roman" w:hAnsi="Times New Roman"/>
          <w:sz w:val="18"/>
          <w:szCs w:val="18"/>
          <w:color w:val="auto"/>
        </w:rPr>
      </w:pPr>
    </w:p>
    <w:p>
      <w:pPr>
        <w:ind w:left="1080" w:right="420" w:hanging="424"/>
        <w:spacing w:after="0" w:line="28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Activation and transduction. </w:t>
      </w:r>
      <w:r>
        <w:rPr>
          <w:rFonts w:ascii="Times New Roman" w:cs="Times New Roman" w:eastAsia="Times New Roman" w:hAnsi="Times New Roman"/>
          <w:sz w:val="18"/>
          <w:szCs w:val="18"/>
          <w:color w:val="auto"/>
        </w:rPr>
        <w:t>We transduce the patient’s TIL with a genetically inactivated viral vector containing our CA2-mbIL15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 and activate them using a CD3 antibody.</w:t>
      </w:r>
    </w:p>
    <w:p>
      <w:pPr>
        <w:spacing w:after="0" w:line="60"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 </w:t>
      </w:r>
      <w:r>
        <w:rPr>
          <w:rFonts w:ascii="Times New Roman" w:cs="Times New Roman" w:eastAsia="Times New Roman" w:hAnsi="Times New Roman"/>
          <w:sz w:val="18"/>
          <w:szCs w:val="18"/>
          <w:color w:val="auto"/>
        </w:rPr>
        <w:t>The expansion stage of TIL cell therapy manufacturing process typically involves two components: IL2 and feeder cells. We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IL2 in this stage to generate OBX-115 and instead induce expression of our mbIL15 construct using ACZ. Also, whereas the feeder cells used to generate other TIL cell therapies consist of irradiated allogeneic peripheral blood mononuclear cells, or PBMCs, from healthy donors, OBX-115 is manufactured using an irradiated engineered cell line that expresses both IL21 and 4-1BB ligand, or iFeeder cells, and use of this cell line improves our ability to expand TIL to generate OBX-115 with a more favorable phenotype while reducing the cost and variability associated with using donor PBMCs. These REP process modifications drive further amplification of the CD8+ memory rich T cell phenotype.</w:t>
      </w:r>
    </w:p>
    <w:p>
      <w:pPr>
        <w:spacing w:after="0" w:line="88" w:lineRule="exact"/>
        <w:rPr>
          <w:rFonts w:ascii="Times New Roman" w:cs="Times New Roman" w:eastAsia="Times New Roman" w:hAnsi="Times New Roman"/>
          <w:sz w:val="18"/>
          <w:szCs w:val="18"/>
          <w:color w:val="auto"/>
        </w:rPr>
      </w:pPr>
    </w:p>
    <w:p>
      <w:pPr>
        <w:ind w:left="1080" w:right="620" w:hanging="424"/>
        <w:spacing w:after="0" w:line="28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Cryopreservation. </w:t>
      </w:r>
      <w:r>
        <w:rPr>
          <w:rFonts w:ascii="Times New Roman" w:cs="Times New Roman" w:eastAsia="Times New Roman" w:hAnsi="Times New Roman"/>
          <w:sz w:val="18"/>
          <w:szCs w:val="18"/>
          <w:color w:val="auto"/>
        </w:rPr>
        <w:t>Through optimization of our processes, we are able to cryopreserve OBX-115 while maintaining potency.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us with the ability to ship our finished drug product from central manufacturing facilities to treatment centers.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Figure 4. Overview of the OBX-115 </w:t>
      </w:r>
      <w:r>
        <w:rPr>
          <w:rFonts w:ascii="Times New Roman" w:cs="Times New Roman" w:eastAsia="Times New Roman" w:hAnsi="Times New Roman"/>
          <w:sz w:val="18"/>
          <w:szCs w:val="18"/>
          <w:b w:val="1"/>
          <w:bCs w:val="1"/>
          <w:i w:val="1"/>
          <w:iCs w:val="1"/>
          <w:color w:val="auto"/>
        </w:rPr>
        <w:t>ex vivo</w:t>
      </w:r>
      <w:r>
        <w:rPr>
          <w:rFonts w:ascii="Times New Roman" w:cs="Times New Roman" w:eastAsia="Times New Roman" w:hAnsi="Times New Roman"/>
          <w:sz w:val="18"/>
          <w:szCs w:val="18"/>
          <w:b w:val="1"/>
          <w:bCs w:val="1"/>
          <w:color w:val="auto"/>
        </w:rPr>
        <w:t xml:space="preserve"> manufacturing stages.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173990</wp:posOffset>
            </wp:positionV>
            <wp:extent cx="3531870" cy="18173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53187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Anti-CD3 Ab; retroviral vector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Melanoma Disease Background</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Melanoma is the fifth most common malignancy in the United States and the most lethal form of skin cancer. The National Cancer Institute estimates that there were approximately 105,000 diagnoses of melanoma and approximately 8,500 deaths from melanoma in the United States in 2025. While most patients diagnosed with localized melanoma have an excellent prognosis, advanced melanoma is associated with widespread metastasis and has a five-year survival rate of only 34.6%.</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The primary risk factor for developing melanoma is exposure to ultraviolet light, including sunlight and tanning beds. Ultraviolet light and other environmental insults can cause DNA damage, which in turn leads to an increased rate of mutations. Melanoma is one of the most highly mutated cancers. It has frequent driver mutations, such as mutations in the gene for BRAF, that directly contribute to tumorigenesis, as well as a wide array of passenger mutations, which accumulate but do not directly alter the propensity of the tumor to grow or spread. These mutations, both driver and passenger mutations, are a differentiating feature between melanoma cells and healthy cells that have led to the development of a number of therapies.</w:t>
      </w:r>
    </w:p>
    <w:p>
      <w:pPr>
        <w:spacing w:after="0" w:line="16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patients who are diagnosed early and have few cancerous lesions, surgical excision can lead to long-term cures. In patients with more advanced and metastatic disease, unfortunately, surgical treatment has more limited benefit. Two types of systemic therapies are commonly used to treat these patients: ICIs and inhibitors of the BRAF pathway. Other approved systemic therapies, including combinations that target multiple immune checkpoints, have further expanded options for select patients.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Multiple immunotherapies including inhibitors of the PD-1/PD-L1 and CTLA-4 checkpoints have been approved to treat metastatic melanoma. These groundbreaking therapies have changed the treatment landscape for metastatic melanoma and dramatically improved both response and survival rates for patients. Treatment of patients with previously untreated unresectable melanoma with a combination of nivolumab and ipilimumab had an ORR of 58% and a median OS of 72.1 months. Grade 3/4 treatment-related AEs were reported in roughly 55% of patients, including 41.5% of patients with Grade 3/4 immune-related AEs.</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Despite the immense improvement of survival upon ICI therapy, a significant subgroup of metastatic melanoma patients see no tumor response or subsequently lose initial response. Up to 60% of patients treated first-line with PD-1 monotherapy and up to 40% of those treated with PD-1 plus CTLA-4 combination do not respond to ICI treatment. 72% of patients do not respond to second-line CTLA-4 plus ICI combination therapy in the post ICI setting.</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Approximately half of cutaneous melanomas have a mutation in the BRAF gene resulting in constitutive or always-on BRAF activity, which in turn promotes cancer cell proliferation. Treatment with inhibitors of BRAF has been shown to lead to an OS rate of about 70% at one year. Combination therapy using a BRAF inhibitor and a MEK inhibitor provides additional suppression of BRAF signaling and delays the development of resistance resulting in a slight increase in OS to about 75% at one year. However, responses to BRAF and MEK inhibitors have limited durability because resistance typically develops at around twelve months post-treatment.</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Until recently, there was no FDA-approved therapy for patients with melanoma who are refractory to or have relapsed following treatments such as ICI and BRAF inhibitors. In 2024, Amtagvi, the first FDA-approved TIL cell therapy, received accelerated approval for the treatment of these patients. The ORR in a single-arm open-label trial of Amtagvi in 73 patients was 31.5%. Non-engineered TIL, including Amtagvi, have multiple safety and logistical challenges, including regimen complexity and inpatient resource utilization, that impact broader adoption.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NSCLC Disease Background</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Globally, an estimated 1.8 million people die of lung cancer each year. It is the leading cause of cancer-related death, accounting for approximately 18% of all cancer deaths. There were an estimated 227,000 new cases of lung cancer diagnosed and 125,000 deaths in the United States in 2025. NSCLC is the most common subtype of lung cancer, accounting for approximately 80 to 85% of lung cancers. The treatment paradigm for NSCLC has significantly changed over the past few years. Previously patients were primarily treated with radiation therapy or combinations of cytotoxic drugs. Recent developments have led to the emergence of targeted therapies based on alteration in the genes for epidermal growth factor receptor, or EGFR, and anaplastic lymphoma kinase gene, or ALK, and ICI for those without actionable gene mutations.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Prior to the introduction of ICI, the five-year OS rate for patients with metastatic NSCLC was approximately 5%. Current standard of care front-line treatment for patients with metastatic NSCLC and no targetable mutations consists of ICI therapy alone or in combination platinum-based chemotherapy with ICI with or without anti-angiogenic therapy; however, response rates are at between 48% to 58% based on histologic subtype. Even if achieved, responses are generally short-lived, and durable responses are relatively uncommon. Standard treatment after progression on ICI-based treatment typically entails single-agent chemotherapies, which have modest response rates (approximately 16%), and are typically not durable (median progression free survival, 2.9 months). An unmet need thus continues to exist for patients with metastatic NSCLC without actionable mutations whose disease is relapsed or refractory to ICI-based treatments. Similarly, in the case of patients with targetable mutations, the unmet need is for effective and safe therapy after the mutation targeted agents are no longer effective.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 with OBX-115</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are conducting Agni-01, an ongoing, multicenter Phase 1/2 clinical study evaluating cryopreserved OBX-115 in patients with advanced solid tumors, including melanoma and NSCLC. In melanoma, dose optimization has established our recommended Phase 2 dose with encouraging antitumor activity observed in patients, and Phase 2 enrollment is ongoing to support a potential registrational path. In NSCLC, dose escalation through dose level three, or DL3, has been completed, with continued regimen optimization underway to inform a Phase 2 study. Collectively, our results to date demonstrate clinical activity supporting continued advancement of OBX-115 in melanoma and NSCLC.</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Clinical antitumor activity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Melanoma</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OBX-115 was first tested in the clinic in a first-in-human Phase 1 trial initially with fresh non-cryopreserved (n=8) and then cryopreserved (n=9) OBX-115 product at The University of Texas M.D. Anderson Cancer Center. This study treated 17 patients with advanced melanoma who had relapsed or who were refractory to ICI therapy. After lymphodepletion, patients received a single intravenous infusion of OBX-115 followed by oral treatment(s) with ACZ to drive the expression of mbIL15 using our cytoDRiVE technology. The Phase 1 trial was designed to optimize the cell dose cap of OBX-115 as well as the dosing regimen of ACZ. The primary and secondary endpoints for this trial were safety and tolerability of OBX-115 and investigator-assessed preliminary efficacy, respectively. and both endpoints were met Despite the exploratory nature of this trial, an ORR of 40%, including two CRs, was observed in the first ten evaluable patients, providing strong evidence of the antitumor potential of OBX-115. The safety profile indicated no DLTs or Grade 4 nonhematologic treatment related adverse events and three Grade 3 nonhematologic treatment-emergent adverse events in two patients (abdominal pain, ALT elevation, syncope) and no substantive difference between fresh and cryopreserved products.</w:t>
      </w:r>
    </w:p>
    <w:p>
      <w:pPr>
        <w:spacing w:after="0" w:line="188" w:lineRule="exact"/>
        <w:rPr>
          <w:sz w:val="20"/>
          <w:szCs w:val="20"/>
          <w:color w:val="auto"/>
        </w:rPr>
      </w:pPr>
    </w:p>
    <w:p>
      <w:pPr>
        <w:ind w:left="120" w:right="40" w:firstLine="440"/>
        <w:spacing w:after="0" w:line="217" w:lineRule="auto"/>
        <w:rPr>
          <w:sz w:val="20"/>
          <w:szCs w:val="20"/>
          <w:color w:val="auto"/>
        </w:rPr>
      </w:pPr>
      <w:r>
        <w:rPr>
          <w:rFonts w:ascii="Times New Roman" w:cs="Times New Roman" w:eastAsia="Times New Roman" w:hAnsi="Times New Roman"/>
          <w:sz w:val="17"/>
          <w:szCs w:val="17"/>
          <w:color w:val="auto"/>
        </w:rPr>
        <w:t>We then initiated Agni-01, a multicenter, Company-sponsored Phase 1/2 trial of cryopreserved OBX-115 in patients with treatment relapsed or refractory advanced melanoma. We identified three parameters to further optimize in the Phase 1 portion of this trial: the maximal number of OBX-115 cells to be infused; the daily and cumulative dose of ACZ; and the dosing schedule for ACZ. As shown in Figure 5 below, in the DL1 cohort which consisted of three patients, OBX-115 dose was capped at 30 × 10</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7"/>
          <w:szCs w:val="17"/>
          <w:color w:val="auto"/>
        </w:rPr>
        <w:t xml:space="preserve"> cells and ACZ 250 mg daily for up to 14 days. In DL2, which consisted of two patients, OBX-115 dose was capped at 100 × 10</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7"/>
          <w:szCs w:val="17"/>
          <w:color w:val="auto"/>
        </w:rPr>
        <w:t xml:space="preserve"> cells and ACZ 250 mg daily for up to 14 days. DL3, which consisted of 15 patients across the Phase 1 and Phase 2 arms, targeted OBX-115 dose cap of 100 × 10</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7"/>
          <w:szCs w:val="17"/>
          <w:color w:val="auto"/>
        </w:rPr>
        <w:t xml:space="preserve"> cells and ACZ 500 mg daily for two 7-day periods (Week 1 and Week 3), separated by a</w:t>
      </w:r>
    </w:p>
    <w:p>
      <w:pPr>
        <w:spacing w:after="0" w:line="6" w:lineRule="exact"/>
        <w:rPr>
          <w:sz w:val="20"/>
          <w:szCs w:val="20"/>
          <w:color w:val="auto"/>
        </w:rPr>
      </w:pPr>
    </w:p>
    <w:p>
      <w:pPr>
        <w:ind w:left="120" w:right="100"/>
        <w:spacing w:after="0" w:line="276" w:lineRule="auto"/>
        <w:rPr>
          <w:sz w:val="20"/>
          <w:szCs w:val="20"/>
          <w:color w:val="auto"/>
        </w:rPr>
      </w:pPr>
      <w:r>
        <w:rPr>
          <w:rFonts w:ascii="Times New Roman" w:cs="Times New Roman" w:eastAsia="Times New Roman" w:hAnsi="Times New Roman"/>
          <w:sz w:val="17"/>
          <w:szCs w:val="17"/>
          <w:color w:val="auto"/>
        </w:rPr>
        <w:t>7-day break with no ACZ. Patients in DL3 received 7 days of ACZ at 6-week intervals starting approximately at week 5–6. In addition, for patients in DL1, DL2 and DL3, protocol guided treatment consisted of additional 7-day periods of ACZ at 6 week intervals starting approximately weeks 5 to 6. DL3 was found to lead to maximal TIL expansion in patients while minimizing toxicities and was chosen as the recommended Phase 2 dose, or RP2D.</w:t>
      </w:r>
    </w:p>
    <w:p>
      <w:pPr>
        <w:spacing w:after="0" w:line="1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80"/>
          </w:cols>
          <w:pgMar w:left="320" w:top="455"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5. Design of the Agni-01 Phase 1/2 trial in melanoma.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173990</wp:posOffset>
            </wp:positionV>
            <wp:extent cx="3909060" cy="20916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90906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Ten of the fifteen patients treated with DL3 / RP2D dosing achieved either a complete (n=2) or partial response (n=8), resulting in an ORR of 67%. We believe that the demonstrated frequency of antitumor responses observed to date with OBX-115 is attributable to both our mbIL15 cytoDRiVE engineering and our differentiated manufacturing processes.</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OBX-115 treatment was associated with significant antitumor activity across these 15 patients with ongoing responses in eight patients as of January 22, 2026 (~18 weeks median follow-up). Of note, robust antitumor activity was observed using OBX-115 created from surgical resections as well as from core needle biopsies independent of the anatomic site of tumor procurement or doses manufactured and infused. We believe that the ability to use core needle biopsies for patients as the source of their TIL provides the opportunity to significantly shorten the time from the decision of the clinician to treat with OBX-115 to the ability to deliver the manufactured product to patients. We believe core needle biopsies will further enhance adoption and improve patient outcomes with increased operational efficiency relative to approaches that typically rely on surgical tumor resection. Our optimized regimen enables outpatient administration of low dose lymphodepletion. All the melanoma patients treated with OBX-115 at the RP2D had four-day low dose lymphodepletion regimen consisting of cyclophosphamide 750 mg/m2/day for three days and Fludarabine 30 mg/m2/day for four days. On average, this lymphodepletion regimen represents an approximate 50% reduction in cyclophosphamide dose.</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NSCLC</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Agni-01 trial is currently evaluating the potential of various dosing regimens of OBX-115 in both melanoma and NSCLC as summarized in Figure 6 below. In our NSCLC cohort, one patient received OBX-115 at DL1, one patient at DL2 and four patients at DL3. The patients treated at DL3 could not tolerate similar ACZ dosing intensity as in melanoma DL3 patients due to inflammatory pulmonary toxicity or pneumonitis leading to ACZ withdrawal. We addressed this issue by introducing an intermediate cell dose cap of 60 billion cells. At this dose cap, the tolerability issues due to ACZ were alleviated. In addition, we have augmented the extended ACZ redosing regimen and dosed patients with ACZ for seven days every other week after week three. By contrast, in the melanoma DL3 cohort, ACZ was administered every six weeks beyond week three.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100"/>
          </w:cols>
          <w:pgMar w:left="320" w:top="455" w:right="4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6. Melanoma and NSCLC patient dosing in the Agni-01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173990</wp:posOffset>
            </wp:positionV>
            <wp:extent cx="4714875" cy="2940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14875"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have also modified the low-dose lymphodepletion regimen used with OBX-115 in NSCLC to include a single dose of gemcitabine which enables a further 66% reduction in cyclophosphamide dose as compared to the current low dose lymphodepletion with the intent of improving tolerability. Optimization of dosing and treatment regimen are still under investigation in NSCLC.</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Of the six efficacy evaluable patients across both DL3 regimens shown in Figure 7 below, there were two cases where rapid tumor shrinkage was observed by week six. In patient 43L (DL3 intermediate cell dose cap), levels of circulating tumor DNA, or ctDNA, were undetectable on day 14 and day 42. Three patients who received an intermediate cell dose of OBX-115 did not require prolonged corticosteroid dosing for inflammatory adverse events, they demonstrated lymphocyte expansion in peripheral blood and were able to receive augmented longitudinal ACZ redosing.</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020"/>
          </w:cols>
          <w:pgMar w:left="320" w:top="455" w:right="5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7. Initial antitumor activity in NSCLC patients treated with OBX-115.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27603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94935" cy="276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Safety and tolerability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Melanoma</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all trials observed to date, OBX-115 was generally well-tolerated with no TRM, DLTs or discontinuation due to AEs. In addition, no cases of immune effector-cell associated neurotoxicity syndromes, or ICANS, or capillary leak syndromes have been observed. The most frequently reported events are consistent with the reversible myelosuppression expected with lymphodepletion or electrolyte abnormalities secondary to the known diuretic effect of ACZ, all of which were managed with standard of care supportive measures. Adverse events considered specifically associated with OBX-115 were predominantly low-grade and responsive to protocol-guided ACZ interruption, dose adjustment, or with supportive treatment.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NSCLC</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ten Phase 1 NSCLC patients infused with OBX-115, there was no TRM. Expected differences from melanoma were consistent with disease pathophysiology and co-morbidities associated with lung cancer. Consistent with the underlying pulmonary comorbidities, the primary distinction was Grade ≥3 pneumonitis, occurring in three patients (30%), with all cases resolving prior to discharge. One subject in DL3 experienced Grade 3 ICANS, which resolved to baseline following protocol directed management. Grade 3 cytokine release syndrome, or CRS, was observed in four patients (40%). Additional frequent or severe adverse events were aligned with reversible lymphodepletion-related myelosuppression or laboratory changes attributable to the known diuretic effects of ACZ.</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Established AE Profile of Non-engineered TIL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Melanoma</w:t>
      </w:r>
    </w:p>
    <w:p>
      <w:pPr>
        <w:spacing w:after="0" w:line="22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Amtagvi label carries a boxed warning for multiple serious risks, including a 7.5% rate of TRM, prolonged severe cytopenia, internal organ hemorrhage, and severe infections. Amtagvi requires the use of high</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40"/>
          </w:cols>
          <w:pgMar w:left="320" w:top="455" w:right="5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dose IL2, which has been associated with risks including capillary leak syndrome and neurologic toxicities. Capillary leak syndrome occurred in 13.5% and encephalopathy in 17.3% of Amtagvi treated patients. During Amtagvi’s registrational clinical trial, grade ≥ 3 febrile neutropenia was seen in 46.8% of patients and 23.6% of patients were transferred to the intensive care unit, or ICU, post-infusion. Many patients in this trial experienced an extended hospital length-of-stay. The boxed warning restricts use of Amtagvi to use only in the inpatient setting with the availability of cardiopulmonary or intensive care specialists. These fatal treatment-related adverse effects are potentially attributed to the multicomponent regimen including standard-dose lymphodepletion and IL2.</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NSCLC</w:t>
      </w:r>
    </w:p>
    <w:p>
      <w:pPr>
        <w:spacing w:after="0" w:line="11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largest dataset on non-engineered TIL safety in NSCLC comes from the FDA’s review of 59 patients treated with the lifileucel regimen (as part of the Amtagvi BLA assessment). Grade ≥4 respiratory disorders occurred more frequently in NSCLC than in melanoma cohorts (15.3% vs. 6.9%). In addition, about 12% of NSCLC patients died from respiratory complications within 30 days of starting treatment. Two additional patients died of hemophagocytic lymphohistiocytosis. Other notable adverse events included febrile neutropenia (28.8%) and dyspnea (52.5%).</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Pharmacodynamic evidence for the role of mbIL15 in OBX-115 treatment</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pharmacodynamic features of OBX-115, including the nature of mbIL15 that limits shedding to avoid systemic exposure, and the regulatable nature of mbIL15 due to the optimized ACZ dose and schedule drives the early expansion and persistence of OBX-115 in patients after infusion, and may potentially explain the favorable AE profile.</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OBX-115 is designed to express mbIL15 using our cytoDRiVE drug-regulated expression technology, which we believe is a key aspect of our safety and tolerability profile. Levels of soluble IL15 were elevated at the time of OBX-115 administration as expected due to lymphodepletion and persisted for the subsequent several days. As shown in the left panel in Figure 8, each line in the graphic is representative of a patient with melanoma, the presence of elevated levels of IL15 in plasma at the time of the first administration of OBX-115 and ACZ is consistent with its induction as a response to lymphodepletion. There was no correlation between activation of mbIL15 expression with ACZ and levels of IL15 in plasma. One of the benefits of lymphodepletion before administration of TIL cell therapy is the reduction in immune suppressor cells which have the potential to counteract the TIL antitumor activity. Another factor that contributes to the importance of lymphodepletion to the success of immune cell therapies is a surge in cytokines, in particular IL15 that occurs in response to immune activation caused by lymphodepletion-related cell death. There was no evidence that mbIL15 expression contributed to IL15 in plasma.</w:t>
      </w:r>
    </w:p>
    <w:p>
      <w:pPr>
        <w:spacing w:after="0" w:line="292"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color w:val="auto"/>
        </w:rPr>
        <w:t>Figure 8. In patients with melanoma, treatment with OBX-115 and ACZ does not lead to an increase in IL15 levels in plasma (left panel), and OBX-115 at RP2D persisted in peripheral blood for 42 days (right panel).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129540</wp:posOffset>
            </wp:positionV>
            <wp:extent cx="6009005" cy="1568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09005"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120"/>
          </w:cols>
          <w:pgMar w:left="320" w:top="455" w:right="45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shown in the right panel in Figure 8, we observed that the persistence of OBX-115 in peripheral blood was higher using the RP2D dosing regimen in which the two initial seven day periods of ACZ were separated by a week. This dosing regimen enabled a higher overall dose of ACZ to be delivered, which was better tolerated than the continuous two-week dosing regimens in DL1 and DL2. These results demonstrate the regulated expression of mbIL15 using our cytoDRiVE technology without causing high systemic plasma IL15 levels after OBX-115 infusion and ACZ administration. Consistent with the longer persistence of OBX-115, we observed higher antitumor activity in patients with melanoma who received the RP2D dose than DL1 or DL2.</w:t>
      </w:r>
    </w:p>
    <w:p>
      <w:pPr>
        <w:spacing w:after="0" w:line="18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As shown in Figure 9 below, patients with melanoma dosed with OBX-115 and then treated with two seven-day periods of ACZ separated by a week of no treatment did not experience elevations in serum levels of IL6, a cytokine that serves as a biomarker of classical CRS caused by other immunotherapies. Therefore, the treatment of CRS occurring with OBX-115 is different than those occurring with CAR-T therapies and with T-cell engagers, and does not warrant the use of tocilizumab. Treatment may involve transient interruption in ACZ dosing and/or short course of corticosteroids as guided by the protocol.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9. In patients with melanoma, treatment with OBX-115 and ACZ does not lead to an increase in IL6 levels in plasma.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173990</wp:posOffset>
            </wp:positionV>
            <wp:extent cx="3291840" cy="14312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9184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Strategy for OBX-115</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Melanoma</w:t>
      </w:r>
    </w:p>
    <w:p>
      <w:pPr>
        <w:spacing w:after="0" w:line="119"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plan to initiate our registration-enabling study in second-line advanced melanoma in support of an accelerated approval in mid-2026, with a potential regulatory filing as early as 2028.</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Based on our RMAT designation and Iovance’s precedent with Amtagvi, as well as the data we have generated in our ongoing Phase 2 trial, we believe that a convincing argument could be made for the FDA to set us on a path toward potential accelerated approval of OBX-115 in advanced melanoma. A registration-enabling study is a clinical trial that is intended to obtain sufficient efficacy and safety data to support an NDA or BLA submission to obtain regulatory approval. Although registration-enabling clinical studies are often Phase 3 trials, the FDA has approved drugs based on Phase 2 registration-enabling clinical studies through its accelerated approval program, provided the product is eligible and meets the conditions of accelerated approval.</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plan to enroll approximately 100 patients in a registration-enabling cohort in the existing multicenter study in melanoma and expect data from this trial by year-end 2027. The registration-enabling cohort will be a single-arm open label study in patients with advanced melanoma progressing after immune checkpoint inhibitor-based therapy with blinded independent reviewer assessed ORR as the primary endpoint. Secondary endpoints include safety, duration of response (DOR), progression-free survival (PFS) and overall survival (OS).</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Given the tolerability and antitumor activity observed to date in melanoma, we believe that there is potential for OBX-115 to be used as a first-line treatment as well. We intend to evaluate this by enrolling a cohort of patients in this setting in our ongoing Phase 2 melanoma trial.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120"/>
          </w:cols>
          <w:pgMar w:left="320" w:top="455" w:right="45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NSCLC</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NSCLC, we continue to enroll patients in our Phase 1 trial, and we expect additional clinical data to become available in the first half of 2027. Our current trial in NSCLC is focused on patients who have previously been treated with ICI. The primary endpoint is the incidence of dose limiting toxicities, and investigator-assessed ORR is a secondary endpoint.</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observed treatment burden of OBX-115 compared to other TIL cell therapies may provide an opportunity to evaluate the potential of OBX-115 earlier in the course of disease.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Melanoma</w:t>
      </w:r>
    </w:p>
    <w:p>
      <w:pPr>
        <w:spacing w:after="0" w:line="11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Advanced melanoma remains a significant driver of mortality despite substantial therapeutic advances. A large fraction of patients treated with frontline ICIs develop primary or acquired resistance to ICIs, resulting in a meaningful pool of patients requiring additional lines of treatment.</w:t>
      </w:r>
    </w:p>
    <w:p>
      <w:pPr>
        <w:spacing w:after="0" w:line="162"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Based on market research that we commissioned, we estimate that approximately 10,000 patients in the United States were eligible for second-line treatment of unresectable or metastatic melanoma in 2023. Not all patients in this pool are appropriate candidates for cell therapies, and real-world attrition is driven by (i) adequate baseline fitness and health status, (ii) disease progression that allows sufficient time to complete the treatment journey, and (iii) access to a qualified caregiver, resulting in an estimated cell therapy treatable population of approximately 65% of this patient subgroup. Within this cell therapy treatable population, additional factors further narrow eligibility for TIL cell therapies, including ability to tolerate lymphodepletion, feasibility of tumor procurement via surgical resection or core needle biopsy, and clinical stability during the manufacturing and scheduling period.</w:t>
      </w:r>
    </w:p>
    <w:p>
      <w:pPr>
        <w:spacing w:after="0" w:line="17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Currently, an estimated 25% of 2L+ melanoma patients are eligible to receive Amtagvi; however given OBX-115’s potentially differentiated profile we believe we will be able to address around 50% of these same patients. Amtagvi, the only approved TIL cell therapy for patients with unresectable or metastatic melanoma previously treated with an ICI, had an ORR of 31.5%. Meanwhile, we observed a 67% ORR in advanced melanoma with OBX-115. In addition, the antitumor activity of OBX-115 has been associated with a low rate of serious adverse events including no cases of TRM or capillary leak syndrome. We believe the need to use high doses of cyclophosphamide for lymphodepletion and high dose IL2 limits the number of patients who are eligible to receive Amtagvi.</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believe there is an opportunity for OBX-115 to deliver significant clinical benefit in the large population of patients who have previously been treated with ICI. The tolerability of OBX-115, as well as the ability to create OBX-115 using core needle biopsies and to deliver an outpatient administration of low-dose lymphodepletion provide the potential to advance our medicine into earlier lines of therapy, an option that is not as readily available for current therapies with significant toxicities and treatment challenges.</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 key limitation for cell therapies has been the inability to scale both the manufacturing and the number of clinical sites where the therapy is available. In addition to our current CDMO that is supporting our ongoing clinical trials, using our expertise we collaborate with CDMOs to scale our manufacturing capacity not only for clinical trials but for our subsequent commercialization. We believe these efforts will allow us to provide improved patient and physician experience through reliable treatment delivery and broader site activation. We have learned from the launch of Amtagvi that there is a viable path to bringing TIL cell therapy to market. Iovance has already qualified 85 treatment centers across the United States to treat patients with Amtagvi. By Iovance’s estimate, 95% of addressable patients are within 200 miles of a treatment center qualified to treat patients with TIL cell therapy and there are more than 85 treatment centers as of December 31, 2025. Amtagvi has achieved rapid market access across 250 million covered lives, mostly covered by private payers with 3-week</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60"/>
        <w:spacing w:after="0" w:line="312" w:lineRule="auto"/>
        <w:rPr>
          <w:sz w:val="20"/>
          <w:szCs w:val="20"/>
          <w:color w:val="auto"/>
        </w:rPr>
      </w:pPr>
      <w:r>
        <w:rPr>
          <w:rFonts w:ascii="Times New Roman" w:cs="Times New Roman" w:eastAsia="Times New Roman" w:hAnsi="Times New Roman"/>
          <w:sz w:val="17"/>
          <w:szCs w:val="17"/>
          <w:color w:val="auto"/>
        </w:rPr>
        <w:t>financial turnaround, and recommendation by the National Comprehensive Cancer Network. The expansion of qualified centers and demonstrated commercial uptake indicate that the operational and reimbursement framework for TIL cell therapy delivery is becoming increasingly established.</w:t>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NSCLC</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There were an estimated 227,000 new cases of lung cancer diagnosed and 125,000 deaths in the United States in 2025. NSCLC is the most common subtype of lung cancer, accounting for approximately 80 to 85% of those cases. Some patients will progress to the later stages of the disease, and other patients already have locally advanced or metastatic disease at the time of diagnosis. There are approximately 90,000 patients with advanced/metastatic NSCLC per year. Current standard of care front-line treatment for patients with metastatic NSCLC and no targetable mutations consists of single-agent ICI therapy or combination platinum-based chemotherapy with ICI or anti-angiogenic therapy. Most patients receiving ICI therapy do not have durable responses. Standard treatment after progression on ICI-based treatment typically entails single-agent chemotherapies, which have modest response rates (approximately 16%), and are typically not durable (median PFS, 2.9 months). For example, in a randomized Phase 3 trial in previously treated metastatic NSCLC, docetaxel demonstrated an objective response rate of 12.8%. Even incremental improvements in overall response rate and durability of responses could be clinically meaningful, especially relative to first-line treatment responses in other settings like melanoma. There are approximately 36,000 patients who will progress into the second line setting representing a significant unmet need for more efficacious therapies that can deliver durable responses, especially for chemotherapy-free alternatives with superior tolerability. Given the substantially larger incidence, we believe the commercial opportunity in advanced NSCLC is up to 5 times larger than that of advanced melanoma. If approved, we believe we will be able to leverage our manufacturing infrastructure and commercial capabilities, initially from our melanoma program, to drive significant market adoption of OBX-115 for the treatment of NSCLC.</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cytoDRiVE Platform – a Key Component of Our Next Generation Therapies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 key element of our cytoDRiVE platform is the ability to express mbIL15 in OBX-115 and to dynamically regulate its expression in patients. cytoDRiVE is designed to leverage the tendency for intracellular misfolded and unstable proteins to be degraded by the cellular proteasome system. To build cytoDRiVE constructs, we create mutant versions of small molecule binding domains that are stable in the presence of their ligands but have a propensity to be degraded in their absence. Through the fusion of one of these binding domains, which we refer to as DRD, to a protein of interest, such as mbIL15, we impart the ability to control expression of the protein of interest by a small molecule ligand. While no immunogenicity or safety issues have been detected with CA2 and mbIL15 (DRD–protein pairing) in OBX-115 clinical or laboratory studies to date, the potential for immunogenicity or other serious side effects have not yet been studied for other future DRD-protein pairs. By carefully selecting the DRD, we can use FDA-approved, orally available drugs to control the stability of our cytoDRiVE constructs. We believe that this makes cytoDRiVE a flexible, multipurpose approach for delivering regulators of expression of proteins.</w:t>
      </w:r>
    </w:p>
    <w:p>
      <w:pPr>
        <w:spacing w:after="0" w:line="18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illustrated in Figure 10 below, in absence of ligand binding, the unstable DRD (red) is recognized by the cellular unfolded protein system and the DRD and fused protein of interest (orange) are targeted for degradation, eliminating the expression of the protein of interest. In the presence of a small molecule ligand (yellow), the DRD is stabilized, avoiding degradation and allowing the protein of interest to be expressed.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10. Ligand-dependent regulation of the cellular unfolded protein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173990</wp:posOffset>
            </wp:positionV>
            <wp:extent cx="3120390" cy="22288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12039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OBX-115, we fused a CA2 DRD to a proprietary mbIL15 construct. The CA2 DRD was engineered with mutations to reduce its stability in the absence of ligand binding. We use ACZ, an FDA approved oral CA2 inhibitor, with no known anti-neoplastic activity as a stabilizing ligand to regulate mbIL15 expression on the cell surface of OBX-115. ACZ is generally well-tolerated, penetrates the blood brain barrier and has a favorable pharmacokinetic profile. It does not interfere with T cell function and is widely available as a generic product.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Cellular Therapies: Future Oncology Applications of our cytoDRiVE Platform</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are actively exploring future applications of our cytoDRiVE platform to enhance the ability of our product candidates to treat less TIL infiltrated (colder) tumors. Two examples from our early-stage research programs illustrate the application of cytoDRiVE to enhance immune-cell antitumor activity, including co-regulated expression of Lymphotoxin-like, inducible, competes with herpesvirus glycoprotein D for HVEM, a receptor expressed by T lymphocytes, or LIGHT, and mbIL15, and spatio-temporal regulation of IL12 using T cell activation dependent elements. Further, we believe the flexibility of our platform may allow cytoDRiVE to be incorporated into a range of engineered immune cell therapies beyond TIL and potentially into other non-oncology settings where controlled protein expression is desirable. We are evaluating collaboration and partnership opportunities to continue development of these promising early-stage research programs.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Regulated expression of LIGHT and mbIL15</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LIGHT is a member of the tumor necrosis factor super family (“TNFSF”) that interacts with the lymphotoxin beta receptor (“LTbR”) and regulates the formation of lymphoid organs. In preclinical studies, LIGHT expression within a tumor has been linked to the formation of tertiary lymphoid structures and vascular normalization, both of which are associated with favorable prognosis in many tumor types. Figure 11 below shows the application of cytoDRiVE to develop cytoTIL15-LIGHT cells, where the CA2 DRD co-regulates both mbIL15 and LIGHT. In a fibrotic tumor model where non-engineered TIL are unlikely to show benefit, co-expression of mbIL15 and LIGHT upon induction with ACZ leads to better tumor control compared to mbIL15 or LIGHT alone.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60"/>
          </w:cols>
          <w:pgMar w:left="320" w:top="455" w:right="51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11. Dual regulated expression of LIGHT and mbIL15 inhibited growth in a fibrotic colon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77790" cy="18002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7779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Spatial and temporal regulation of IL12</w:t>
      </w:r>
    </w:p>
    <w:p>
      <w:pPr>
        <w:spacing w:after="0" w:line="11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IL12 is a potent cytokine known to remodel immunosuppressive tumor microenvironments and promote antitumor immunity through diverse innate and adaptive immune mechanisms. Early clinical trials in the mid-1990s showed that systemic delivery of IL12 incurred dose-limiting toxicities.</w:t>
      </w:r>
    </w:p>
    <w:p>
      <w:pPr>
        <w:spacing w:after="0" w:line="14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combined our cytoDRiVE technology with NFAT-dependent transcription to enable the ability to temporally control mb-IL12 expression following T cell recognition of tumor (spatial regulation). In these cells, the expression of a cytoDRiVE construct containing the gene for mbIL12 fused to DRD is under control of an NFAT responsive promoter, a genetic element that drives transcription only upon activation of T cells, such as when T cells recognize tumor. Only upon T cell activation is the IL12/DRD fusion protein synthesized, but is rapidly degraded if the DRD ligand is not present, providing a second level of control.</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assessed the tolerability and antitumor activity of this construct in a B16-F10 tumor model in mice as shown in Figure 12 below. Survival in this model with no treatment was between 20 and 25 days. Treatment with control T cells increased survival by a few days in both the untreated mice (gray in the figure below) or control-treated mice (black in the figure below). Treatment with NFAT (only) regulated expression of soluble IL12 (purple in the figure below) resulted in early mortality for half of treated mice due to toxicities associated with IL12. Treatment with cells engineered with our NFAT/cytoDRiVE mbIL12 led to 100% survival to the end of the study at day 35 (orange in the figure below).</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060"/>
          </w:cols>
          <w:pgMar w:left="320" w:top="455" w:right="51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Figure 12. Spatial and temporal regulation of IL12 increased survival in a B16-F10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77790" cy="25971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77790"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Applications of our CytoDRiVE Platform Outside of Oncology</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While our current focus is on the application of cytoDRiVE to enhance the antitumor activity of cell therapies, potential applications of cytoDRiVE are not limited to specific classes of proteins of interest or to particular cell types. cytoDRiVE technology has the potential to broaden the reach cell therapies and for diseases outside of oncology, such as autoimmune disorders. By enabling temporal control of protein activity or expression with activation-dependent regulatory elements, cytoDRiVE is designed to provide controlled expression of potent cytokines or other immune-modulating proteins. We believe this flexibility may allow cytoDRiVE to be incorporated into a range of engineered immune cell therapies beyond TIL and potentially into other non-oncology settings where controlled protein expression is desirable.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do not own or operate GMP manufacturing facilities for the production of OBX-115 and currently have no plans to build our own clinical or commercial GMP manufacturing capabilities. We have a proprietary manufacturing process and collaborate with leading CDMOs to manufacture OBX-115 and, if we receive regulatory approval, we intend to rely on such third parties for commercial GMP manufacture. Our manufacturing process for OBX-115 consistently delivers a robust cell yield with a greater than 95% demonstrated manufacturing success rate in meeting the current product release criteria. These release criteria often evolve based on increased manufacturing experience and based on regulatory input. This may affect the manufacturing success rate over time. We believe our manufacturing capacity strategy will support drug supply for our future clinical trials and commercial demand for OBX-115 for the treatment of advanced melanoma, if approved. We do not have long-term supply agreements, and we purchase our required drug product on a development manufacturing services agreement or purchase order basis. We expect to continue to rely on third-party manufacturers for the commercial supply of any of our product candidates for which we obtain marketing approval. We have personnel with significant technical, manufacturing, analytical, quality, regulatory, including cGMP, and project management experience to oversee our third-party manufacturers and to manage manufacturing and quality data and information for regulatory compliance purposes.</w:t>
      </w:r>
    </w:p>
    <w:p>
      <w:pPr>
        <w:spacing w:after="0" w:line="192"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Our product candidates for clinical trial use must be manufactured in compliance with cGMP regulations. The cGMP regulations include requirements relating to personnel, buildings and facilities, equipment, control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100"/>
          </w:cols>
          <w:pgMar w:left="320" w:top="455" w:right="4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components and drug product containers and closures, production and process controls, packaging and labeling controls, holding and distribution, laboratory controls, records and reports, and returned or salvaged products.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We have exclusive commercial rights to our product candidates globally. Given our stage of development, we have not yet established a commercial organization or sales and distribution capabilities. A key challenge for cell therapies, such as OBX-115, is the ability to scale both the manufacturing and the number of clinical sites where the therapy is available. We have transferred our expertise and knowledge to CDMOs, which manufacture OBX-115 for our clinical trials and will also do so for commercialization, if approved by FDA.</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plan to independently commercialize our products, if approved, in the United States and other regions where we determine it makes commercial sense to do so. At the appropriate time, we will build the required commercial infrastructure including recruiting a sales force and a medical affairs team. As product candidates advance through our pipeline, our plans may 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biotechnology industry is intensely competitive and subject to rapid and significant technological change. Our competitors include multinational pharmaceutical companies, specialized biotechnology companies, universities, and other research institutions. Ultimately, the diseases our product candidate and any future product candidates target, and for which we may receive marketing authorization, will determine our competition. Our product candidate, if approved, will have to compete with existing therapies and new therapies that may become available in the future. Many of our competitors have substantially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Smaller and earlier-stage companies may also prove to be significant competitors, particularly through collaborative arrangements with large, established companies.</w:t>
      </w:r>
    </w:p>
    <w:p>
      <w:pPr>
        <w:spacing w:after="0" w:line="19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believe the key competitive factors affecting the success of our product candidate, OBX-115, if approved, are likely to include efficacy, safety, manufacturing, treatment logistics, patient eligibility, physician adoption, and the availability of reimbursement.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Patients with melanoma are treated using a range of therapeutic approaches, including surgery, radiation therapy, chemotherapy, targeted therapies, ICIs, biologic therapies such as monoclonal antibodies, and emerging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immunotherapies, including cell-based therapies. Accordingly, we believe OBX-115, if approved, would face competition from pharmaceutical, biotechnology and other companies developing therapies for cancer, including for patients with melanoma or NSCLC whose disease has progressed following prior treatment with checkpoint inhibitors and chemotherapy. There are a large number of companies developing or marketing treatments for cancer, including many major pharmaceutical and biotechnology companies. We may compete with other cell therapy or immunotherapy companies such as Iovance Biotherapeutics Inc. (Amtagvi), AbelZeta Inc., Biosyngen Pte Ltd, GRIT Biotechnology Co., Ltd., Shanghai Juncell Therapeutics Co., Ltd., Immatics N.V., Immunocore Holdings plc, Intima Bioscience, Inc., KSQ Therapeutics, Inc., Marker Therapeutics, Inc., TILT Biotherapeutics Ltd, and others. For additional information on the market opportunity in melanoma in particular given Amtagvi’s approval, see the section titled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Obsidian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Market Opportunity—Melanoma</w:t>
      </w:r>
      <w:r>
        <w:rPr>
          <w:rFonts w:ascii="Times New Roman" w:cs="Times New Roman" w:eastAsia="Times New Roman" w:hAnsi="Times New Roman"/>
          <w:sz w:val="18"/>
          <w:szCs w:val="18"/>
          <w:color w:val="auto"/>
        </w:rPr>
        <w:t>” beginning on page 236 of this information statement/prospectus. In addition, numerous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compounds are in clinical development for cancer treatment. Any of these compounds may prove to be safer, more effective, more convenient, more broadly applicable or more commercially successful than our product candidates.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strive to protect and strengthen our proprietary platforms and technologies, product candidates, inventions, improvements, and other intellectual property that are commercially relevant to the success of our business by, among other things, acquiring, maintaining, and defending patent rights, whether developed internally or licensed from third parties, and preserving the confidentiality of our trade secrets and know-how. We also rely on trade secrets, know-how and continuing technological innovation to develop and maintain our proprietary and intellectual property position. Additional regulatory protection may also be available via data exclusivity, market exclusivity, and patent term extensions on a jurisdiction-by-jurisdiction basis. Our commercial success may depend, in part, on our ability to protect and strengthen the intellectual property rights relevant to our proprietary platforms and technologies, and to operate without infringing on any valid and enforceable third-party intellectual property rights.</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patent position of most biopharmaceutical companies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Because of this, some of our current and future patent applications may not result in patents being issued. Additionally, the laws of foreign countries may not protect our rights to the same degree as the laws of the United States, or vice versa.</w:t>
      </w:r>
    </w:p>
    <w:p>
      <w:pPr>
        <w:spacing w:after="0" w:line="18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As of March 1, 2026 our owned and in-licensed patent portfolio from the Board of Regents of the University of Texas System consists of 7 granted US patents, 20 pending US patent applications, 28 foreign granted patents and 91 pending foreign patent applications. As of March 1, 2026, we have 26 registered trademarks and 4 pending trademark applications. Additionally, we have had no outstanding litigation related to our intellectual property nor any threat to initiate claims against us. Our owned patents, patent applications and licensed intellectual property from the Board of Regents of the University of Texas System on behalf of M.D. Anderson cover various aspects of our programs and technology, including our cytoDRiVE platform and OBX-115 as further described herein. Owned patents and patent applications include composition of matter and methods of making and using various aspects of the cytoDRiVE platform and OBX-115. We have issued patents in the United States, Japan, Singapore, Korea, Mexico, Australia, Europe, Canada, and China and pending applications in those and other jurisdictions such as Israel, and India. The intellectual property licensed from M.D. Anderson includes OBX-115, specifically around the manufacturing process and know-how. Under the M.D. Anderson License Agreement, ownership of improvements is determined based on inventorship. In particular, the licensed intellectual property represents one component of our broader development program. Specifically, we currently rely in part on the in-license from M.D. Anderson for the development and commercialization of OBX-115, but we are not materially dependent on the license from M.D. Anderson for our continued development and commercialization efforts for OBX-115. We do not believe the termination of the M.D. Anderson License Agreement would materially delay our currently planned development timelines for OBX-115. In addition, we believe we would otherwise mitigate any immaterial impact of such a termination. For additional information about the M.D. Anderson License Agreement, please see the sections entitled “</w:t>
      </w:r>
      <w:r>
        <w:rPr>
          <w:rFonts w:ascii="Times New Roman" w:cs="Times New Roman" w:eastAsia="Times New Roman" w:hAnsi="Times New Roman"/>
          <w:sz w:val="18"/>
          <w:szCs w:val="18"/>
          <w:i w:val="1"/>
          <w:iCs w:val="1"/>
          <w:color w:val="auto"/>
        </w:rPr>
        <w:t>Information</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i w:val="1"/>
          <w:iCs w:val="1"/>
          <w:color w:val="auto"/>
        </w:rPr>
        <w:t>Regarding Obsidian—Rest of the World Government Regulation—M.D. Anderson License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Management’s Discussion and Analysis of Financial Condition and Results of Operations of Obsidian—License and Collaboration Agreements—Collaboration and License Agreement with University of Texas M.D. Anderson Cancer Center</w:t>
      </w:r>
      <w:r>
        <w:rPr>
          <w:rFonts w:ascii="Times New Roman" w:cs="Times New Roman" w:eastAsia="Times New Roman" w:hAnsi="Times New Roman"/>
          <w:sz w:val="18"/>
          <w:szCs w:val="18"/>
          <w:color w:val="auto"/>
        </w:rPr>
        <w:t>” and Notes 9 and 10 to the Consolidated Financial Statements of Obsidian, beginning on pages 264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275, respectively.</w:t>
      </w:r>
    </w:p>
    <w:p>
      <w:pPr>
        <w:spacing w:after="0" w:line="18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future, there may be the need to engage in litigation to enforce patents issued or licensed to us, to protect our trade secrets or know-how or to defend against claims of infringement of the rights of others. Litigation is costly and could divert our attention and resources from other business functions and responsibilities. Furthermore, even if we were to prevail and our patents were found to be valid and infringed, a court could refuse to grant injunctive relief against the infringer and instead grant us monetary damages and/or ongoing royalties. Such compensation could be insufficient to adequately offset the damages to our business caused by the infringer’s competition in the market. Furthermore, adverse determinations in litigation could subject us to significant liabilities to third parties, could require us to seek licenses and/or pay significant royalties to such third parties and could also prevent us from manufacturing, selling or using our product, platform, or technologies, any of which could severely harm our business.</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Although we rely on intellectual property rights as well as contractual protections to establish and protect our proprietary rights, we believe that factors such as the technological and creative skills of our personnel, the discovery of new solutions, features and functionality, and ongoing enhancements to our platform are also essential to establishing and maintaining our competitive and technological advantage.</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control the access to and use of our proprietary platforms, technologies, and other confidential information through the use of internal and external controls, including contractual protections with employees, contractors and partners. Our employees, consultants and other third parties are required to enter into confidentiality and proprietary rights agreements with us and we control and monitor access to our proprietary technology, documentation, and other confidential information. We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as needed, we enter into confidentiality agreements with our partners.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 and Product Approval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manufacturing, quality control, safety, effectiveness, approval, labeling, packaging, storage, record-keeping, promotion, advertising, distribution, post-approval monitoring and reporting, marketing and export and import of biopharmaceutical products such as those we are developing.</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Our product candidates must be approved by the FDA before they may be legally marketed in the United States and by the appropriate foreign regulatory authority before they may be legally marketed in foreign countries. Generally, our activities in other countries will be subject to regulation that is similar in nature and scope as that imposed in the United States, although there can be important differences. Additionally, some significant aspects of regulation in the European Union are addressed in a centralized way, but country-specific regulation remains essential in many respects. The process for obtaining regulatory approvals and the subsequent compliance with federal, state, local and foreign statutes and regulations require the expenditure of substantial time and financial resources.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Product Development Process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 the United States, the FDA regulates biological products, or biologics, under the Federal Food, Drug and Cosmetic Act, or FDCA, the Public Health Service Act, or PHSA, and their implementing regulations. The process required by the FDA before a biological product may be marketed in the United States generally involves the following:</w:t>
      </w:r>
    </w:p>
    <w:p>
      <w:pPr>
        <w:spacing w:after="0" w:line="81" w:lineRule="exact"/>
        <w:rPr>
          <w:sz w:val="20"/>
          <w:szCs w:val="20"/>
          <w:color w:val="auto"/>
        </w:rPr>
      </w:pPr>
    </w:p>
    <w:p>
      <w:pPr>
        <w:ind w:left="1080" w:right="74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good laboratory practices, requirements, or GLPs, and applicable requirements for the humane use of laboratory animals or other applicable regulations;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or ethics committee before a clinical trial commences;</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as well as international standards for good clinical practice, or GCP, and any additional requirements for the protection of human research patients and their health information, to establish the safety, purity and potency of the proposed biological product for its intended use;</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biologics license application, or BLA, seeking marketing approval with such application providing substantial evidence of safety, purity, and potency from results of nonclinical testing and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biological product is produced to assess compliance with current good manufacturing practice regulations, or cGMPs, to assure that the facilities, methods and controls are adequate to preserve the biological product’s identity, strength, quality and purity;</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study and clinical trial sites that generated the data in support of the BLA to confirm compliance with GCPs and data integrity, among other things;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Before testing any biological product candidate, including our product candidates,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clinical trial sponsor must submit the results of the preclinical tests, together with manufacturing information, analytical data, any available clinical data or literature and a proposed clinical protocol, to the FDA as part of the IND. Some nonclinical testing may continue even after the IND is submitted and clinical trials are initiated. An IND is an exemption that allows a biological product candidate to be shipped in interstate commerce for use in an investigational clinical trial and a request for FDA authorization to administer a biological product candidate to humans. An IND must become effective before human clinical trials may begin. The IND automatically becomes effective 30 days after receipt by the FDA, unless the FDA raises safety concerns or questions regarding the proposed clinical trials and places the trial on a clinical hold within that 30-day time period. In such a case, the IND sponsor and the FDA must resolve any outstanding concerns before the clinical trial can begin. The FDA may also impose clinical holds on a biological product candidate’s IND at any time before or during clinical trials due to safety concerns or non-compliance. If the FDA imposes a clinical hold, trials may not recommence without FDA authorization and then only under terms authorized by the FDA.</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100"/>
          </w:cols>
          <w:pgMar w:left="320" w:top="455" w:right="4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submission of an IND to the FDA before initiation of a clinical trial in the United States, certain human clinical trials involving recombinant or synthetic nucleic acid molecules are subject to oversight at the local level as set forth in the National Institutes of Health Guidelines for Research Involving Recombinant or Synthetic Nucleic Acid Molecules, or NIH Guidelines. Under the NIH Guidelines, recombinant and synthetic nucleic acids are defined as: (i) molecules that are constructed by joining nucleic acid molecules and that can replicate in a living cell (i.e., recombinant nucleic acids); (ii) nucleic acid molecules that are chemically or by other means synthesized or amplified, including those that are chemically or otherwise modified but can base pair with naturally occurring nucleic acid molecules (i.e., synthetic nucleic acids); or (iii) molecules that result from the replication of those described in (i) or (ii). Specifically, under the NIH Guidelines, supervision of human gene transfer trials includes evaluation and assessment by an Institutional Biosafety Committee, or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companies and other institutions not otherwise subject to the NIH Guidelines may voluntarily follow them.</w:t>
      </w:r>
    </w:p>
    <w:p>
      <w:pPr>
        <w:spacing w:after="0" w:line="190"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the biological product candidate to subjects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subjects provide informed consent. Further, each clinical trial must be reviewed and approved by an independent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w:t>
      </w:r>
    </w:p>
    <w:p>
      <w:pPr>
        <w:spacing w:after="0" w:line="19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Information about certain clinical trials must be submitted within specific timeframes to the National Institutes of Health, or NIH, for public dissemination on their </w:t>
      </w:r>
      <w:r>
        <w:rPr>
          <w:rFonts w:ascii="Times New Roman" w:cs="Times New Roman" w:eastAsia="Times New Roman" w:hAnsi="Times New Roman"/>
          <w:sz w:val="18"/>
          <w:szCs w:val="18"/>
          <w:i w:val="1"/>
          <w:iCs w:val="1"/>
          <w:color w:val="auto"/>
        </w:rPr>
        <w:t>www.clinicaltrials.gov</w:t>
      </w:r>
      <w:r>
        <w:rPr>
          <w:rFonts w:ascii="Times New Roman" w:cs="Times New Roman" w:eastAsia="Times New Roman" w:hAnsi="Times New Roman"/>
          <w:sz w:val="18"/>
          <w:szCs w:val="18"/>
          <w:color w:val="auto"/>
        </w:rPr>
        <w:t xml:space="preserve"> website. Information related to the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some time. Failure to timely register a covered clinical study or to submit study results as provided for in the law can give rise to civil monetary penalties and also prevent the non-compliant party from receiving future grant funds from the federal government. Manufacturers or distributors of biological product candidates being developed for the diagnosis, monitoring, or treatment of one or more serious diseases or conditions must also have a publicly available policy on evaluating and responding to expanded access requests.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80" w:hanging="424"/>
        <w:spacing w:after="0" w:line="282" w:lineRule="auto"/>
        <w:tabs>
          <w:tab w:leader="none" w:pos="108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biological product candidate is initially introduced into healthy human subjects or patients with the target disease or condition and tested for safety. These studies are designed to test the safety,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60"/>
        <w:spacing w:after="0" w:line="282" w:lineRule="auto"/>
        <w:rPr>
          <w:sz w:val="20"/>
          <w:szCs w:val="20"/>
          <w:color w:val="auto"/>
        </w:rPr>
      </w:pPr>
      <w:r>
        <w:rPr>
          <w:rFonts w:ascii="Times New Roman" w:cs="Times New Roman" w:eastAsia="Times New Roman" w:hAnsi="Times New Roman"/>
          <w:sz w:val="18"/>
          <w:szCs w:val="18"/>
          <w:color w:val="auto"/>
        </w:rPr>
        <w:t>dosage tolerance, absorption, metabolism, and distribution of the biological product candidate in humans, the side effects associated with increasing doses, and, if possible, to gain early evidence on effectiveness.</w:t>
      </w:r>
    </w:p>
    <w:p>
      <w:pPr>
        <w:spacing w:after="0" w:line="67" w:lineRule="exact"/>
        <w:rPr>
          <w:sz w:val="20"/>
          <w:szCs w:val="20"/>
          <w:color w:val="auto"/>
        </w:rPr>
      </w:pPr>
    </w:p>
    <w:p>
      <w:pPr>
        <w:ind w:left="1080" w:right="6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biological product candidate is evaluated in a limited patient population with a specified disease or condition to identify possible adverse effects and safety risks, to preliminarily evaluate the efficacy of the product for the specific targeted diseases or condition and to determine dosage tolerance, optimal dosage and dosing schedule. Multiple Phase 2 clinical trials may be conducted to obtain information prior to beginning larger and more expensive Phase 3 clinical trials.</w:t>
      </w:r>
    </w:p>
    <w:p>
      <w:pPr>
        <w:spacing w:after="0" w:line="85" w:lineRule="exact"/>
        <w:rPr>
          <w:rFonts w:ascii="Times New Roman" w:cs="Times New Roman" w:eastAsia="Times New Roman" w:hAnsi="Times New Roman"/>
          <w:sz w:val="18"/>
          <w:szCs w:val="18"/>
          <w:color w:val="auto"/>
        </w:rPr>
      </w:pPr>
    </w:p>
    <w:p>
      <w:pPr>
        <w:jc w:val="both"/>
        <w:ind w:left="1080" w:right="140" w:hanging="424"/>
        <w:spacing w:after="0" w:line="261" w:lineRule="auto"/>
        <w:tabs>
          <w:tab w:leader="none" w:pos="10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undertaken to further evaluate dosage, clinical efficacy, potency, and safety in an expanded patient population, generally at geographically dispersed clinical trial sites, and to generate enough data to statistically evaluate the efficacy and safety of the biological product candidate for approval. These clinical trials are intended to establish the overall risk to benefit ratio of the product and provide an adequate basis for product approval.</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76"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During all phases of clinical development, regulatory authorities require extensive monitoring and auditing of all clinical activities, clinical data, and clinical trial investigators. Annual progress reports detailing the results of the clinical trials and other developments related to the IND must be submitted to the FDA. Written IND safety reports must be promptly submitted to the FDA, and the trial’s investigators for serious and unexpected adverse events, findings from other studies suggesting a significant risk to humans exposed to the same or similar product, findings from, animal or in vitro testing suggesting a significant risk to humans, and any clinically important increased incidence of a serious suspected adverse reaction over that listed in the clinical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7 calendar days after the sponsor’s initial receipt of the information.</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addition, during the development of a new biological product, sponsors are given opportunities to meet with the FDA at certain points, including prior to submission of an IND, at the end of Phase 2, and before a BLA is submitted. Meetings at other times may be requested. These meetings can provide an opportunity for the sponsor to share information about the data gathered to date, for the FDA to provide advice, and for the sponsor and the FDA to reach alignment on the next phase of development. Sponsors typically use the meetings at the end of the Phase 2 trial to discuss Phase 2 clinical results and present plans for the pivotal Phase 3 clinical trials that they believe will support approval of the product candidate.</w:t>
      </w:r>
    </w:p>
    <w:p>
      <w:pPr>
        <w:spacing w:after="0" w:line="183"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Concurrently with clinical trials, companies usually complete additional studies and must also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PHSA emphasizes the importance of manufacturing control for products whose attributes cannot be precisely defined. The manufacturing process must be capable of consistently producing quality batches of the biological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Review and Approval Processes</w:t>
      </w:r>
    </w:p>
    <w:p>
      <w:pPr>
        <w:spacing w:after="0" w:line="121" w:lineRule="exact"/>
        <w:rPr>
          <w:sz w:val="20"/>
          <w:szCs w:val="20"/>
          <w:color w:val="auto"/>
        </w:rPr>
      </w:pPr>
    </w:p>
    <w:p>
      <w:pPr>
        <w:ind w:left="120" w:right="840" w:firstLine="440"/>
        <w:spacing w:after="0" w:line="282" w:lineRule="auto"/>
        <w:rPr>
          <w:sz w:val="20"/>
          <w:szCs w:val="20"/>
          <w:color w:val="auto"/>
        </w:rPr>
      </w:pPr>
      <w:r>
        <w:rPr>
          <w:rFonts w:ascii="Times New Roman" w:cs="Times New Roman" w:eastAsia="Times New Roman" w:hAnsi="Times New Roman"/>
          <w:sz w:val="18"/>
          <w:szCs w:val="18"/>
          <w:color w:val="auto"/>
        </w:rPr>
        <w:t>After the completion of clinical trials, all required testing of a biological product candidate in accordance with all applicable regulatory requirements, the results of product development, nonclinical studies, and clinical trials are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submitted to the FDA as part of a BLA requesting approval to market the biological product candidate for one or more indications. FDA approval of a BLA must be obtained before commercial marketing of the biological product begins. The BLA must include results of all relevant data available from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the use of the product candidate, or from a number of alternative sources, including studies initiated by independent investigators.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or PDUFA, each BLA must be accompanied by a significant user fee. The FDA adjusts the PDUFA user fees on an annual basis. PDUFA also imposes an annual program fee for approved and marketed biological products.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a submitted BLA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If the submission is accepted for filing and substantive review, the FDA’s goal is to review standard applications within ten months after the filing date, or, if the application qualifies for priority review, six months after the filing date. In both standard and priority reviews, the review process may also be extended, such as by the sponsor’s submission of a major amendment, which extends the goal date by three months.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FDA reviews the BLA to determine, among other things, whether the proposed product is safe, pure and potent for the proposed indication, and the facility in which it is manufactured, processed, packed or held meets standards designed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Before approving a BLA, the FDA will generally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that the clinical trials were conducted in compliance with IND requirements and GCP requirements. To assure cGMP and GCP compliance, an applicant must incur significant expenditure of time, money and effort in the areas of training, record keeping, production, and quality control.</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BLA does not satisfy its regulatory criteria for approval and deny approval. If the FDA decides not to approve the BLA in its present form, the FDA will issue a complete response letter that describes all of the specific deficiencies in the BLA identified by the FDA. Should the FDA determine that the data supporting the application are inadequate to support approval, the FDA may issue the complete response letter without first conducting required inspections, testing submitted product lots, or reviewing proposed labeling.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application. Even if additional data and information are submitted following receipt of a complete response letter, the FDA may decide that the BLA does not satisfy the criteria for approval. In September 2025, the FDA began publishing complete response letters soon after issuing them to the respective sponsors, breaking with long standing agency tradition of publishing complete response letters with approval documentation after the product is approved.</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When the FDA determines the sponsor’s BLA and the biological product candidate meet the standards for approval, it will issue an approval, or licensure, letter. If a product receives regulatory approval, the approval may be limited to specific diseases and dosages or the indications for use may otherwise be limited, which could restrict the commercial value of the product. For example, the FDA may approve the BLA with a Risk Evaluation and Mitigation Strategy, or REMS, to ensure the benefits of the product outweigh its risks. A REMS is a safety strategy to manage a known or potential serious risk associated with a biological product and to enable patients to have continued access by managing their safe use, and could include medication guides, physician communication plans, or elements to assure safe use, such as restricted distribution methods, patient registries and other risk minimization tools. Further, the FDA may require that certain contraindications, warnings or precautions be included in the product labeling. In addition, the FDA may require post marketing clinical trials, sometimes referred to as Phase 4 clinical trials, designed to further assess a biological product’s safety and effectiveness, and testing and surveillance programs to monitor the safety of approved products that have been commercialized, and may further limit marketing of the product based on the results of these post-marketing studies.</w:t>
      </w:r>
    </w:p>
    <w:p>
      <w:pPr>
        <w:spacing w:after="0" w:line="19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 BLA or supplement to a BLA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product for an indication for which orphan designation has been granted. However, if only one indication for a product has orphan designation, a pediatric assessment may still be required for any applications to market that same product for the non-orphan indication(s).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Orphan Drug Designation and Exclusivity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biological product candidate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the disease or condition for which it has such designation, the product is entitled to orphan product exclusivity, which means that the FDA may not approve any other applications, including a full BLA, to market the same biologic for the same approved use or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user fee.</w:t>
      </w:r>
    </w:p>
    <w:p>
      <w:pPr>
        <w:spacing w:after="0" w:line="187"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A designated orphan drug may not receive orphan drug exclusivity if it is approved for a use that is broader than the indication for which it received orphan designation. In addition, exclusive marketing rights in the United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Expedited Development and Review Programs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FDA has a fast track designation program that is intended to expedite or facilitate the process for reviewing new products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As part of the fast track program, the FDA may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8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the biological product candidate is designed to treat a serious or life-threatening disease or condition, and if approved, would provide a significant improvement in safety or effectiveness compared to available alternatives for such disease or condition. The FDA will attempt to direct additional resources to the evaluation of an application for a new product designated for priority review in an effort to facilitate the review. For original BLAs, priority review designation means the FDA’s goal is to take action on the marketing application within six months of the 60-day filing date (as compared to ten months under standard review).</w:t>
      </w:r>
    </w:p>
    <w:p>
      <w:pPr>
        <w:spacing w:after="0" w:line="18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Additionally, a product may be eligible for accelerated approval.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or biological product receiving accelerated approval perform adequate and well-controlled post-marketing clinical studies to verify and describe the anticipated effect on irreversible morbidity or mortality or other clinical benefit. Under the Food and Drug Omnibus Reform Act of 2022, the FDA may require, as appropriate, that such trials be underway prior to approval or within a specific time period after the date of approval for a product granted accelerated approval. In addition, for products being considered for accelerated approval, the FDA generally requires, unless otherwise informed by the FDA, that all advertising and promotional materials intended for dissemination or publication within 120 days of marketing approval be submitted to the FDA for review during the pre-approval review period.</w:t>
      </w:r>
    </w:p>
    <w:p>
      <w:pPr>
        <w:spacing w:after="0" w:line="19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In addition, following a request from the sponsor, the FDA may grant breakthrough therapy designation to a biological product candidate for its indication under study. Breakthrough therapy designation is intended to expedite the development and review of products that are intended to treat serious or life-threatening conditions and that preliminary clinical evidence demonstrates that the biological product candidate, alone or in combination with other drugs and biologics, shows substantial improvement over currently available therapy on one or more clinically significant endpoints, such as substantial treatment effects observed early in clinical development. The FDA must take certain actions, such as holding timely meetings and providing advice, intended to expedite the development and review of an application for approval of a breakthrough therapy. Breakthrough therapy designation comes with all of the benefits of fast track designation, which means that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sponsor may file sections of the BLA for review on a rolling basis if certain conditions are satisfied, including an agreement with FDA on the proposed schedule for submission of portions of the application and the payment of applicable user fees before the FDA may initiate a review. The breakthrough therapy designation is a distinct status from both accelerated approval and priority review, though the same biological product candidate may be eligible for these other expedited pathways if relevant criteria are met.</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FDA may also designate a product candidate as a regenerative medicine advanced therapy, or RMAT. The RMAT designation is intended to facilitate an efficient development program for, and expedited review of, any product candidate that meets the following criteria: (i) the product candidate qualifies as a RMAT, which is defined as a cell therapy, therapeutic tissue engineering product, human cell and tissue product, or any combination product using such therapies or products, with limited exceptions; (ii) the product candidate is intended to treat, modify, reverse, or cure a serious or life-threatening disease or condition; and (iii) preliminary clinical evidence indicates that the product candidate has the potential to address unmet medical needs for such a disease or condition. RMAT designation provides potential benefits that include more frequent meetings with FDA to discuss the development plan for the product candidate, and eligibility for rolling review and priority review of BLAs. Cell therapy candidates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as appropriate. RMAT-designated cell therapy candidates that receive accelerated approval may, as appropriate, fulfill their post-approval requirements through the completion of clinical studies, patient registries, or through submission of other sources of real world evidence (such as electronic health records), through the collection of larger confirmatory data sets, or via post-approval monitoring of all patients treated with such therapy prior to approval of the therapy.</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2025, the FDA created a new voucher program called the Commissioner’s National Priority Voucher, or CNPV, with the goal of radically expediting therapeutic product review and approval processes. The agency may award a CNPV to a company or a specific biological product candidate that demonstrates alignment with certain national health priorities. The FDA aims to take action on a marketing application for which a CNPV is used within one to two months after the filing date.</w:t>
      </w:r>
    </w:p>
    <w:p>
      <w:pPr>
        <w:spacing w:after="0" w:line="180"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None of these programs changes the standards for approval but they may expedite the development or approval process. Even if a biological product candidate qualifies for one or more of these programs, the FDA may later decide that the product no longer meets the conditions for qualification or decide that the time period for FDA review or approval will not be shortened.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biological product candidate as a product for a rare pediatric disease does not guarantee that a marketing application for such biological product candidate will meet the eligibility criteria for a rare pediatric disease priority review voucher, or PRV, at the time the application is approved. The FDA may determine that a marketing application for any such product candidates, if approved, does not meet the eligibility criteria for a PRV. Vouchers for rare pediatric disease drugs are awarded for qualifying applications when the drug receives approval. Under current law, after September 30, 2029, the FDA may not award any rare pediatric disease priority review vouchers, although the FDA’s authority to do so could be extended by Congress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Post-Approval Requirements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Biological products are subject to pervasive and continuing regulation by the FDA after approval, including, among other things, requirements relating to record-keeping, reporting of adverse experiences, periodic reporting, providing the FDA with updated safety and efficacy information, product sampling and distribution, and advertising and promotion of the product.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060"/>
          </w:cols>
          <w:pgMar w:left="320" w:top="455" w:right="51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quality control and manufacturing procedures must continue to conform to applicable manufacturing requirements to ensure the long-term stability of the product and its continued safety, efficacy, purity, and potency. cGMP regulations require among other things, quality control and quality assurance as well as the corresponding maintenance of records and documentation and the obligation to investigate and correct any deviations from cGMPs. Manufacturers and other entities involved in the manufacture and distribution of approved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among other things, recall or withdrawal of the product from the market. In addition, changes to the manufacturing process are strictly regulated, and depending on the significance of the change, may require prior FDA approval before being implemented. Other types of changes to the approved product, such as adding new indications and claims, are also subject to further FDA review and approval.</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must submit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 Defects in manufacturing commercial products can result in product recalls.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FDA may withdraw approval of a BLA if compliance with regulatory requirements and standards is not maintained or if problems occur after the product reaches the market. Manufacturers and other parties involved in the supply chain for prescription biological products must also comply with product tracking and tracing requirements and for notifying the FDA of counterfeit, diverted, stolen and intentionally adulterated products or products that are otherwise unfit for distribution in the United States.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Later discovery of previously unknown problems with a product, including adverse events of unanticipated severity or frequency, or with manufacturing processes, or failure to comply with regulatory requirements, may result in revisions to the approved label to add new safety information; imposition of post-market studies or clinical studies to assess new safety risks; or imposition of distribution restrictions or other restrictions under a REMS. Other potential consequences include, among other things:</w:t>
      </w:r>
    </w:p>
    <w:p>
      <w:pPr>
        <w:spacing w:after="0" w:line="85" w:lineRule="exact"/>
        <w:rPr>
          <w:sz w:val="20"/>
          <w:szCs w:val="20"/>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clinical studies;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120"/>
          </w:cols>
          <w:pgMar w:left="320" w:top="455" w:right="45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82" w:lineRule="auto"/>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safety alerts, Dear Healthcare Provider letters, press releases and other communications containing warnings or other safety information about the product;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that are in accordance with the provisions of the approved label. The FDA and other authorities actively enforce the laws and regulations prohibiting the promotion of products for uses or inpatient populations that are not described in the product’s approved labeling (known as “off-label use”).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and/or imposed permanent injunctions under which specified promotional conduct is changed or curtailed. However, companies may share truthful and not misleading information that is otherwise consistent with a product’s FDA-approved labeling.</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Marketing Exclusivity</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amended the PHSA to authorize the FDA to approve similar versions of innovative biologics, commonly known as biosimilars.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9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Pediatric exclusivity is another type of regulatory market exclusivity in the United States. Pediatric exclusivity, if granted, adds six months to existing exclusivity periods for biological products. This six-month exclusivity may be granted based on the voluntary completion of a pediatric trial in accordance with an FDA-issued “Written Request” for such a trial.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U.S. Healthcare Laws and Compliance Requirements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the United States, our current and future operations are subject to regulation by various federal, state and local authorities in addition to the FDA, including but not limited to, the Centers for Medicare &amp; Medicaid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100"/>
          </w:cols>
          <w:pgMar w:left="320" w:top="455" w:right="47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Services, or CMS, other divisions of the U.S. Department of Health and Human Services, or HHS, (e.g., the Office of Inspector General, Office for Civil Rights and the Health Resources and Service Administration), the U.S. Department of Justice, or DOJ, and individual U.S. Attorney offices within the DOJ, and state and local government agencies. For example, our business practices, including our clinical research program and any future sales, marketing and scientific/educational grant programs may be required to comply with the anti-fraud and abuse provisions of the Social Security Act, the false claims laws, transparency requirements, and similar state laws, each as amended, as applicable.</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(including any kickback, bribe, or rebate), directly or indirectly, overtly or covertly, in cash or in kind, to induce or in return for purchasing, leasing, ordering or arranging for the purchase, lease or order of any item or service for which payment may be made, in whole or in part, under a federal healthcare program, such as the Medicare and Medicaid programs. The term remuneration has been interpreted broadly to include anything of value. A person or entity does not need to have actual knowledge of the statute or specific intent to violate it in order to have committed a violation. The AKS is an intent-based statute; however, it has been interpreted to cover any arrangement in which a single purpose of the remuneration is to pay for referrals or to induce future referrals. The federal Anti-Kickback Statute has been interpreted to apply to arrangements between pharmaceutical manufacturers on one hand and prescribers, purchasers, and formulary managers on the other.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w:t>
      </w:r>
    </w:p>
    <w:p>
      <w:pPr>
        <w:spacing w:after="0" w:line="197"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federal civil and criminal false claims laws, including the False Claims Act, or FCA, which can be enforced through civil “qui tam” or “whistleblower” actions, and civil monetary penalty laws, which impose criminal and civil penalties against individuals or entities for, among other things, knowingly presenting, or causing to be presented, claims for payment or approval from Medicare, Medicaid or other federal health-care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w:t>
      </w:r>
    </w:p>
    <w:p>
      <w:pPr>
        <w:spacing w:after="0" w:line="18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(HITECH), imposes requirements on certain covered healthcare providers, health plans and healthcare clearinghouses as well as their respective business associates that perform services for them that involve the use,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140"/>
          </w:cols>
          <w:pgMar w:left="320" w:top="455" w:right="4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8"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Additionally, the federal Physician Payments Sunshine Act (the “Sunshine Act”), and its implementing regulations, require that certain manufacturers of drugs, devices, biological and medical supplies for which payment is available under Medicare, Medicaid or the Children’s Health Insurance Program (with certain exceptions) report information related to certain payments or other transfers of value made or distributed to physicians (defined to include doctors, dentists, optometrists, podiatrists and chiropractors), certain non-physician practitioners (such as physician assistants and nurse practitioners), and teaching hospitals, or to entities or individuals at the request of, or designated on behalf of, the physicians and teaching hospitals and to report annually to CMS certain ownership and investment interests held by physicians and their immediate family members. Failure to report accurately could result in penalties. In addition, many states also govern the reporting of payments or other transfers of value, many which differ from each other in significant ways, are often not pre-empted, and may have a more prohibitive effect than the Sunshine Act, thus further complicating compliance efforts.</w:t>
      </w:r>
    </w:p>
    <w:p>
      <w:pPr>
        <w:spacing w:after="0" w:line="18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may also become subject to federal government price reporting laws, which require us to calculate and report complex pricing metrics in an accurate and timely manner to government programs under federal consumer protection and unfair competition laws, which broadly regulate marketplace activities and activities that potentially harm consumers.</w:t>
      </w:r>
    </w:p>
    <w:p>
      <w:pPr>
        <w:spacing w:after="0" w:line="176"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Many states and foreign jurisdictions have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and state and local laws requiring the registration of pharmaceutical sales representatives.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There are significant compliance costs associated with ensuring business arrangements with third parties comply with applicable healthcare laws and regulations. If our operations are found to be in violation of any of the federal and state healthcare laws described above or any other current or future governmental regulations that apply to us, we may be subject to significant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requirements and/or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100"/>
          </w:cols>
          <w:pgMar w:left="320" w:top="455" w:right="4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Coverage, Pricing and Reimbursement</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These third-party payors are increasingly reducing reimbursements for medical products, drugs and services.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Factors payors consider in determining reimbursement are based on whether the product is:</w:t>
      </w:r>
    </w:p>
    <w:p>
      <w:pPr>
        <w:spacing w:after="0" w:line="131" w:lineRule="exact"/>
        <w:rPr>
          <w:sz w:val="20"/>
          <w:szCs w:val="20"/>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No uniform policy for coverage and reimbursement for products exists among third-party payors in the U.S. Therefore, coverage and reimbursement for products can differ significantly from payor to payor. As a result, the coverage determination process is often a time-consuming and costly process that will require us to provide scientific and clinical support for the use of our biological product candidates to each payor separately, with no assurance that coverage and adequate reimbursement will be applied consistently or obtained in the first instance. Furthermore, rules and regulations regarding reimbursement change frequently, in some cases on short notice, and we believe that changes in these rules and regulations are likely.</w:t>
      </w:r>
    </w:p>
    <w:p>
      <w:pPr>
        <w:spacing w:after="0" w:line="16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significant legislative and regulatory changes and proposed changes regarding the healthcare system that could prevent or delay marketing approval of biological product candidates, restrict or regulate post-approval activities, and affect the ability to profitably sell biological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7" w:lineRule="exact"/>
        <w:rPr>
          <w:sz w:val="20"/>
          <w:szCs w:val="20"/>
          <w:color w:val="auto"/>
        </w:rPr>
      </w:pPr>
    </w:p>
    <w:p>
      <w:pPr>
        <w:ind w:left="120" w:right="700" w:firstLine="440"/>
        <w:spacing w:after="0" w:line="289" w:lineRule="auto"/>
        <w:rPr>
          <w:sz w:val="20"/>
          <w:szCs w:val="20"/>
          <w:color w:val="auto"/>
        </w:rPr>
      </w:pPr>
      <w:r>
        <w:rPr>
          <w:rFonts w:ascii="Times New Roman" w:cs="Times New Roman" w:eastAsia="Times New Roman" w:hAnsi="Times New Roman"/>
          <w:sz w:val="17"/>
          <w:szCs w:val="17"/>
          <w:color w:val="auto"/>
        </w:rPr>
        <w:t>For example, Patient Protection and Affordable Care Act, as amended by the Health Care and Education Reconciliation Act of 2010, or collectively the ACA, has substantially changed healthcare financing and delivery by both governmental and private insurers. Among the ACA provisions of importance to the pharmaceutical and biotechnology industries, in addition to those otherwise described above, are the following:</w:t>
      </w:r>
    </w:p>
    <w:p>
      <w:pPr>
        <w:spacing w:after="0" w:line="63" w:lineRule="exact"/>
        <w:rPr>
          <w:sz w:val="20"/>
          <w:szCs w:val="20"/>
          <w:color w:val="auto"/>
        </w:rPr>
      </w:pPr>
    </w:p>
    <w:p>
      <w:pPr>
        <w:ind w:left="1080" w:right="380" w:hanging="424"/>
        <w:spacing w:after="0" w:line="282" w:lineRule="auto"/>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minimum level of Medicaid rebates payable by manufacturers of brand name drugs from 15.1% to 23.1% of the average manufacturer price;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collection of rebates for drugs paid by Medicaid managed care organizations;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220" w:hanging="424"/>
        <w:spacing w:after="0" w:line="261"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 (a requirement later replaced under the Inflation Reduction Act of 2022 (the “IRA”) by the Medicare Part D manufacturer discount program); and</w:t>
      </w:r>
    </w:p>
    <w:p>
      <w:pPr>
        <w:spacing w:after="0" w:line="85"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non-deductible annual fee on pharmaceutical manufacturers or importers who sell “branded prescription drugs” to specified federal government programs.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Both the Trump administration and Congress have indicated that they will continue to seek new legislative and executive measures to control drug costs. In addition, other legislative and regulatory changes have been proposed and adopted in the United States since the ACA was enacted:</w:t>
      </w:r>
    </w:p>
    <w:p>
      <w:pPr>
        <w:spacing w:after="0" w:line="93" w:lineRule="exact"/>
        <w:rPr>
          <w:sz w:val="20"/>
          <w:szCs w:val="20"/>
          <w:color w:val="auto"/>
        </w:rPr>
      </w:pPr>
    </w:p>
    <w:p>
      <w:pPr>
        <w:ind w:left="1080" w:right="28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Budget Control Act of 2011, among other things, included aggregate reductions of Medicare payments to providers of 2% per fiscal year that remain in effect through 2031.</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American Taxpayer Relief Act of 2012, among other things, further reduced Medicare payments to several types of providers and increased the statute of limitations period for the government to recover overpayments to providers from three to five years.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61"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American Rescue Plan Act of 2021 eliminates the statutory Medicaid drug rebate cap, previously set at 100% of a drug’s average manufacturer price, for single source and innovator multiple source drugs, beginning January 1, 2024. Due to the Statutory Pay-As-You-Go Act of 2010, estimated budget deficit increases resulting from the American Rescue Plan Act of 2021, and subsequent legislation, Medicare payments to providers were further reduced starting in 2025 absent further legislation.</w:t>
      </w:r>
    </w:p>
    <w:p>
      <w:pPr>
        <w:spacing w:after="0" w:line="85"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IRA also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(regardless of the number of orphan designations) provided that the drug is only approved for rare disease indications. The implementation of the IRA is currently subject to ongoing litigation challenging the constitutionality of the IRA’s Medicare drug price negotiation program. The effect of IRA on our business and the healthcare industry in general is not yet known.</w:t>
      </w:r>
    </w:p>
    <w:p>
      <w:pPr>
        <w:spacing w:after="0" w:line="97" w:lineRule="exact"/>
        <w:rPr>
          <w:rFonts w:ascii="Times New Roman" w:cs="Times New Roman" w:eastAsia="Times New Roman" w:hAnsi="Times New Roman"/>
          <w:sz w:val="18"/>
          <w:szCs w:val="18"/>
          <w:color w:val="auto"/>
        </w:rPr>
      </w:pPr>
    </w:p>
    <w:p>
      <w:pPr>
        <w:jc w:val="both"/>
        <w:ind w:left="1080" w:right="140" w:hanging="424"/>
        <w:spacing w:after="0" w:line="266"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 Big Beautiful Bill Act, which was enacted in July 2025, imposes significant reductions in the funding of the Medicaid program. Such reductions are expected to apply significant funding pressure on state Medicaid budgets, decrease the number of persons enrolled in Medicaid, and reduce the services covered by Medicaid.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58"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President Trump signed into law several pharmacy benefit manager, or PBM, regulatory reforms as part of a federal budget package, including but not limited to requirements for PBMs to pass back 100% of rebates and fees to commercial health plan sponsors; to provide extensive informational disclosures related to patients’ coverage and benefits; and to accept only bona fide service fees from drug companies when providing services under Medicare Part D. Additionally, the Department of Labor (“DOL”) also issued a proposed rule in January 2026 that would mandate specific</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PBM fee disclosures to self-insured plan fiduciaries under the Employment Retirement Income Security Act. If finalized as proposed, the DOL rule would also allow plan fiduciaries to audit those PBM disclosures to confirm accuracy. Significant efforts to change the PBM industry as it currently exists may affect the entire pharmaceutical supply chain and the business of other stakeholders, including biological product developers like us.</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Recent executive and regulatory actions include President Trump’s 2025 executive orders directing HHS to pursue most-favored-nation, or MFN, pricing targets for prescription drugs and to evaluate reforms under the Inflation Reduction Act, including potential elimination of the so-called “pill penalty” that subjects small molecule drugs to Medicare price negotiation four years earlier than biologics. Additional regulatory actions taken include a voluntary MFN-based framework for Medicaid manufacturers and two proposed CMS rules that would introduce MFN pricing principles into Medicare Part B and Part D reimbursement, respectively, with implementation currently anticipated to begin as early as 2026, though legal challenges could delay or modify these proposals. The scope, timing, and ultimate impact of these and any further actions remain uncertain, and if implemented, such measures could adversely affect the pricing, reimbursement, and commercial viability of our biological product candidate, if approved.</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Individual states have also been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We expect additional state, federal and foreign healthcare reform measures to be adopted in the future, any of which could limit the amounts that federal, state and foreign governments will pay for health products, which could result in reduced demand for our products, if approved or additional pricing pressure.</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Foreign Corrupt Practices Act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Data Privacy and Security Laws</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the GDPR imposes strict requirements for processing the personal data of individuals within the EEA, including requirements relating to processing health-related and other sensitive data, establishing a legal basis for processing such as obtaining consent of the individuals to whom the personal data relates, providing information to individuals regarding data processing activities, implementing safeguards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protect the security and confidentiality of personal data, providing notification of data breaches, imposing limitations on retention of personal data; maintaining a record of data processing, complying with the principal of accountability and the obligation to demonstrate compliance through policies, procedures, training and audit and taking certain measures when engaging third-party processors. The GDPR also imposes strict rules on the transfer of personal data to countries outside the EEA to countries that the EU does not consider to have in place adequate data protection legislation, including the United States.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Regulation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federal and foreign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Government Regulation</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To market any product outside of the United States, we would need to comply with numerous and varying regulatory requirements of other countries governing, among other things, clinical trials, marketing authorization, commercial sales and distribution of our products.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Whether or not we obtain FDA approval of a product, we must obtain the requisite approvals from regulatory authorities in foreign countries prior to the commencement of clinical trials or marketing of the product in those countries. Approval by one regulatory authority does not ensure approval by regulatory authorities in other jurisdictions. The approval process varies from country to country, can involve additional testing beyond that required by FDA, and may be longer or shorter than that required for FDA approval. The requirements governing the conduct of clinical trials, product licensing, pricing, promotion, and reimbursement vary greatly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Non-Clinical Studies and Clinical Trials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European Union, or EU are subject to significant regulatory controls.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Non-clinical studies must be conducted in compliance with the principles of good laboratory practice, as set forth in EU Directive 2004/10/EC. These GLP standards reflect the Organization for Economic Co-operation and Development requirements.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Conference on Harmonization, or ICH, guidelines on GCPs,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countries, the sponsor is liable to provide ‘no fault’ compensation to any study subject injured in the clinical trial.</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or CTR, which was adopted in April 2014 and repeals the EU Clinical Trials Directive, became applicable on January 31, 2022. Unlike directives, the CTR is directly applicable in all EU member states without the need for EU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183" w:lineRule="exact"/>
        <w:rPr>
          <w:sz w:val="20"/>
          <w:szCs w:val="20"/>
          <w:color w:val="auto"/>
        </w:rPr>
      </w:pPr>
    </w:p>
    <w:p>
      <w:pPr>
        <w:ind w:left="120" w:right="140" w:firstLine="440"/>
        <w:spacing w:after="0" w:line="273" w:lineRule="auto"/>
        <w:rPr>
          <w:sz w:val="20"/>
          <w:szCs w:val="20"/>
          <w:color w:val="auto"/>
        </w:rPr>
      </w:pPr>
      <w:r>
        <w:rPr>
          <w:rFonts w:ascii="Times New Roman" w:cs="Times New Roman" w:eastAsia="Times New Roman" w:hAnsi="Times New Roman"/>
          <w:sz w:val="17"/>
          <w:szCs w:val="17"/>
          <w:color w:val="auto"/>
        </w:rPr>
        <w:t>The CTR introduced a centralized process for the submission and review of clinical trial authorization applications, which allows sponsors to make a single submission to both the competent authority and an ethics committee in each EU member state in which the clinical trial is to be conducted, leading to a single decision per EU member state. The application must include, among other things, a copy of the trial protocol and an investigational medicinal product dossier containing information about the manufacture and quality of the medicinal product under investigation. The assessment procedure of the application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the centralized EU portal. Once the application is approved, clinical study development may proceed.</w:t>
      </w:r>
    </w:p>
    <w:p>
      <w:pPr>
        <w:spacing w:after="0" w:line="17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Medicinal products used in clinical trials must be manufactured in accordance with Good Manufacturing Practice, or cGMP. Other national and EU-wide regulatory requirements may also apply.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Marketing Authorization</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the EU, medicinal products can only be commercialized after obtaining a marketing authorization, or MA. To obtain regulatory approval of a product candidate under EU regulatory systems, we must submit a marketing authorization application, or MAA. The process for doing this depends, among other things, on the nature of the medicinal product.</w:t>
      </w:r>
    </w:p>
    <w:p>
      <w:pPr>
        <w:spacing w:after="0" w:line="81" w:lineRule="exact"/>
        <w:rPr>
          <w:sz w:val="20"/>
          <w:szCs w:val="20"/>
          <w:color w:val="auto"/>
        </w:rPr>
      </w:pPr>
    </w:p>
    <w:p>
      <w:pPr>
        <w:ind w:left="1080" w:right="40" w:hanging="424"/>
        <w:spacing w:after="0" w:line="25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through the centralized procedure following an opinion of the Committee for Medicinal Products for Human Use, or CHMP, of the European Medicines Agency, or EMA, and are valid throughout the EU. The centralized procedure is compulsory for certain types of medicinal products such as (i) medicinal products derived from biotechnological processes, (ii) designated orphan medicinal products, (iii) advanced therapy medicinal products, or ATMPs (i.e. gene therapy, somatic cell therapy and tissue engineered products) and (iv) medicinal products containing a new active substance indicated for the treatment of certain diseases, such as HIV/AIDS, cancer, diabetes, neurodegenerative diseases or autoimmune diseases and</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060"/>
          </w:cols>
          <w:pgMar w:left="320" w:top="455" w:right="51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140"/>
        <w:spacing w:after="0" w:line="266" w:lineRule="auto"/>
        <w:rPr>
          <w:sz w:val="20"/>
          <w:szCs w:val="20"/>
          <w:color w:val="auto"/>
        </w:rPr>
      </w:pPr>
      <w:r>
        <w:rPr>
          <w:rFonts w:ascii="Times New Roman" w:cs="Times New Roman" w:eastAsia="Times New Roman" w:hAnsi="Times New Roman"/>
          <w:sz w:val="18"/>
          <w:szCs w:val="18"/>
          <w:color w:val="auto"/>
        </w:rPr>
        <w:t>other immune dysfunctions, and viral diseases. The centralized procedure is optional for products containing a new active substance not yet authorized in the EU, or that represent a significant therapeutic, scientific or technical innovation, or whose authorization would be in the interest of public health in the EU.</w:t>
      </w:r>
    </w:p>
    <w:p>
      <w:pPr>
        <w:spacing w:after="0" w:line="81" w:lineRule="exact"/>
        <w:rPr>
          <w:sz w:val="20"/>
          <w:szCs w:val="20"/>
          <w:color w:val="auto"/>
        </w:rPr>
      </w:pPr>
    </w:p>
    <w:p>
      <w:pPr>
        <w:ind w:left="1080" w:hanging="424"/>
        <w:spacing w:after="0" w:line="255"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individual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EU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an MAA by the EMA is 210 days, excluding clock stops. In exceptional cases, the CHMP might perform an accelerated review of a MAA in no more than 150 days, excluding clock stops, where a medicinal product is of major interest from a public health perspective. Clock stops may extend the timeframe of evaluation of an MAA considerably beyond 210 days. Where the CHMP gives a positive opinion, the EMA provides the opinion together with supporting documentation to the European Commission, who makes the final decision to grant an MA, which is issued within 67 days of receipt of the EMA’s recommendation.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an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standard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if it is determined that the risk-benefit ratio is no longer favorable.</w:t>
      </w:r>
    </w:p>
    <w:p>
      <w:pPr>
        <w:spacing w:after="0" w:line="19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European Commission introduced legislative proposals in April 2023 that, if implemented, will replace the current regulatory framework in the EU for all medicines (including those for rare diseases and for children).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European Commission has provided the legislative proposals to the European Parliament and the European Council for their review and approval. In April 2024, the European Parliament adopted its position on the legislative proposals and, in June 2025, the European Council adopted its position. As of December 2025, the European Council, European Parliament and European Commission were engaged in trilogue negotiations aimed at reaching a consensus on a final version of the legislation. Once negotiations are complete, the European Parliament and the Council of the EU will vote on whether to approve the Directive and Regulation. If adopted and implemented, these revisions will significantly change several aspects of drug development and approval in the European Union.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 of the World Government Regulation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For other countries outside of Europe, such as some countries in Eastern Europe, Latin America or Asia, the requirements governing the conduct of clinical trials, product licensing, pricing and reimbursement vary from country to country. In all cases, again, the clinical trials must be conducted in accordance with GCP requirements and the applicable regulatory requirements and the ethical principles that have their origin in the Declaration of Helsinki.</w:t>
      </w:r>
    </w:p>
    <w:p>
      <w:pPr>
        <w:spacing w:after="0" w:line="180"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M.D. Anderson License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October 2021, we entered into the M.D. Anderson License Agreement with the Board of Regents of The University of Texas System, on behalf of M.D. Anderson. The entry into the M.D. Anderson License Agreement followed our exercise of rights granted to us under the parties’ prior Collaborative Research &amp; Option Agreement dated November 16, 2020 (the “Collaboration Agreement”), under which M.D. Anderson granted us an option to obtain a license to specified technologies. Under the M.D. Anderson License Agreement, M.D. Anderson granted to us (a) an exclusive, worldwide, sublicensable license under certain intellectual property arising under the Collaboration Agreement and certain patent rights, (b) a non-exclusive, worldwide, sublicensable license under certain other intellectual property and (c) a non-exclusive, worldwide, sublicensable license under additional intellectual property to practice certain intellectual property arising under the Collaboration Agreement, in each case (a) – (c), to make, have made, use, sell, offer for sale, import, develop, and commercialize certain products developed during the Collaboration Agreement (the “Developed Products”) and licensed products for use in human therapeutics, diagnostics, and prophylactics.</w:t>
      </w:r>
    </w:p>
    <w:p>
      <w:pPr>
        <w:spacing w:after="0" w:line="188" w:lineRule="exact"/>
        <w:rPr>
          <w:sz w:val="20"/>
          <w:szCs w:val="20"/>
          <w:color w:val="auto"/>
        </w:rPr>
      </w:pPr>
    </w:p>
    <w:p>
      <w:pPr>
        <w:ind w:left="120" w:right="880" w:firstLine="440"/>
        <w:spacing w:after="0" w:line="312" w:lineRule="auto"/>
        <w:rPr>
          <w:sz w:val="20"/>
          <w:szCs w:val="20"/>
          <w:color w:val="auto"/>
        </w:rPr>
      </w:pPr>
      <w:r>
        <w:rPr>
          <w:rFonts w:ascii="Times New Roman" w:cs="Times New Roman" w:eastAsia="Times New Roman" w:hAnsi="Times New Roman"/>
          <w:sz w:val="17"/>
          <w:szCs w:val="17"/>
          <w:color w:val="auto"/>
        </w:rPr>
        <w:t>Under the M.D. Anderson License Agreement, we are obligated to use commercially reasonable efforts to develop and seek marketing authorization for Developed Products and licensed products, and to commercialize such Developed Products and licensed products.</w:t>
      </w:r>
    </w:p>
    <w:p>
      <w:pPr>
        <w:spacing w:after="0" w:line="14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Under the M.D. Anderson License Agreement, we are obligated to pay to M.D. Anderson (a) a royalty on net sales of Developed Products and licensed products at a low single digit percentage, (b) milestone payments of up to $75.0 million upon the achievement of certain specified clinical and regulatory milestones and up to $90.0 million upon the achievement of certain specified sales milestone events, which milestones may be payable with respect to multiple products and indications and (c) a share of certain consideration received by us from sublicensees under any sublicense agreements with third parties.</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we have made approximately $11.1 million in aggregate payments to M.D. Anderson in connection with the Collaboration Agreement and the M.D. Anderson License Agreement, including with respect to the payment of option exercise fees, milestone payments and certain reimbursable patent expenses and research fees which were incurred by M.D. Anderson prior to entering into the M.D. Anderson License Agreement.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120"/>
          </w:cols>
          <w:pgMar w:left="320" w:top="455" w:right="45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The term of the M.D. Anderson License Agreement continues until the last to occur of: (a) the expiration of the last valid claim within certain licensed patent rights or (b) a specified period following the first commercial sale of a licensed product or Developed Product in any country.</w:t>
      </w:r>
    </w:p>
    <w:p>
      <w:pPr>
        <w:spacing w:after="0" w:line="140" w:lineRule="exact"/>
        <w:rPr>
          <w:sz w:val="20"/>
          <w:szCs w:val="20"/>
          <w:color w:val="auto"/>
        </w:rPr>
      </w:pPr>
    </w:p>
    <w:p>
      <w:pPr>
        <w:ind w:left="120" w:right="460" w:firstLine="440"/>
        <w:spacing w:after="0" w:line="276" w:lineRule="auto"/>
        <w:rPr>
          <w:sz w:val="20"/>
          <w:szCs w:val="20"/>
          <w:color w:val="auto"/>
        </w:rPr>
      </w:pPr>
      <w:r>
        <w:rPr>
          <w:rFonts w:ascii="Times New Roman" w:cs="Times New Roman" w:eastAsia="Times New Roman" w:hAnsi="Times New Roman"/>
          <w:sz w:val="17"/>
          <w:szCs w:val="17"/>
          <w:color w:val="auto"/>
        </w:rPr>
        <w:t>We have the right to terminate the M.D. Anderson License Agreement for convenience upon certain prior written notice or by giving written notice to M.D. Anderson upon a material breach that is not remediated within a specified period of time. M.D. Anderson may terminate the</w:t>
      </w:r>
    </w:p>
    <w:p>
      <w:pPr>
        <w:spacing w:after="0" w:line="1"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M.D. Anderson License Agreement due to our insolvency or bankruptcy or by giving written notice to us upon a material breach that is not remediated within a specified period of time. The M.D. Anderson License Agreement may be terminated by the Board of Regents upon notice for an uncured challenge of the Board of Regents’ patents and by mutual agreement of us and the Board of Regents.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As of March 31, 2026, we had 71 full-time employees; 26 of whom have M.D. or Ph.D. degrees. We also engage consultants and advisors with specialized expertise in clinical development, regulatory affairs, and other technical areas as needed to support our operations. Within our workforce, 53 employees are engaged in research and development and 17 are engaged in business development, finance, information technology, and general management and administration. Our human capital resources objectives include identifying, recruiting, engaging, incentivizing, developing, and retaining our existing and new employees. None of our employees are represented by labor unions or covered by collective bargaining agreements. We consider our relationship with our employees to be good.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Our corporate headquarters is located in Cambridge, Massachusetts, where we lease and occupy 17,807 square feet of office and laboratory space. The current term of our Cambridge lease expires on January 31, 2027. In addition, our technical development facility is located in Bedford, Massachusetts, where we lease and occupy 9,896 square feet of office and laboratory space pursuant to a lease agreement that expires on December 31, 2028 with an option to extend the lease term for an additional five year period. 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266</w:t>
      </w:r>
    </w:p>
    <w:p>
      <w:pPr>
        <w:sectPr>
          <w:pgSz w:w="11900" w:h="16838" w:orient="portrait"/>
          <w:cols w:equalWidth="0" w:num="1">
            <w:col w:w="11120"/>
          </w:cols>
          <w:pgMar w:left="320" w:top="455" w:right="45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 AND RESULTS OF OPERATIONS OF OBSIDIAN</w:t>
      </w:r>
    </w:p>
    <w:p>
      <w:pPr>
        <w:spacing w:after="0" w:line="20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“our” and the “Company” refer to Obsidian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You should read the following discussion and analysis of our financial condition and results of operations in conjunction with our audited consolidated financial statements for the years ended December 31, 2025 and 2024, unaudited condensed consolidated financial statements for the three months ended March 31, 2026 and 2025, and the related notes and other financial information included elsewhere in this information statement/prospectus. This discussion and analysis and other parts of this information statement/prospectus contain forward-looking statements based upon our current plans and expectations that involve risks, uncertainties and assumptions, such as statements regarding our plans, strategies, objectives, expectations, intentions and beliefs. Our actual results and the timing of events could differ materially from those anticipated in these forward-looking statements as a result of various factors, including those set forth under “Risk Factors” and elsewhere in this information statement/prospectus. You should carefully read the “Risk Factors” section of this information statement/prospectus to gain an understanding of the important factors that could cause actual results to differ materially from our forward-looking statements. Please also see “Cautionary Statement Regarding Forward-Looking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firstLine="440"/>
        <w:spacing w:after="0" w:line="239" w:lineRule="auto"/>
        <w:rPr>
          <w:sz w:val="20"/>
          <w:szCs w:val="20"/>
          <w:color w:val="auto"/>
        </w:rPr>
      </w:pPr>
      <w:r>
        <w:rPr>
          <w:rFonts w:ascii="Times New Roman" w:cs="Times New Roman" w:eastAsia="Times New Roman" w:hAnsi="Times New Roman"/>
          <w:sz w:val="18"/>
          <w:szCs w:val="18"/>
          <w:color w:val="auto"/>
        </w:rPr>
        <w:t>We are a clinical-stage biopharmaceutical company harnessing novel protein-regulation technology to develop engineered tumor infiltrating lymphocytes, or TIL, cell therapies for the treatment of patients with solid tumors. Our proprietary cytoDRiVE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is highly versatile and allows us to leverage drug responsive domains to control protein function, with our initial focus on TIL cell therapies developed from this platform, or cytoTILs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Our lead product candidate, OBX-115, is a novel, genetically engineered, autologous TIL cell therapy currently in a Phase 2 clinical trial for the treatment of advanced melanoma and a Phase 1 clinical trial for the treatment of non-small cell lung cancer, or NSCLC. Our proprietary cytoDRiVE platform has enabled OBX-115 to have the potential to drive superior tumor-killing activity with a significantly more tolerable safety profile. In contrast to other TIL approaches, OBX-115 is designed with regulatable membrane-bound IL15, or mbIL15, which drives TIL persistence, eliminates the need to dose toxic interleukin-2 and enables outpatient administration of low-dose lymphodepletion. Furthermore, OBX-115 can be manufactured using tumor tissue procurement from an outpatient, minimally invasive core needle biopsy. Across a cohort of fifteen patients with treatment-resistant or refractory melanoma in our Phase 1/2 clinical trial, OBX-115 administration at the recommended Phase 2 dose demonstrated a 67% confirmed objective response rate, or ORR, and significant tumor burden reduction, including two confirmed complete responses. This response rate, to our knowledge, is the highest current ORR shown in this setting across modalities. We believe that, if approved, the more favorable product profile will support rapid market adoption of OBX-115 relative to currently available TIL cell therapies. OBX-115 has been granted Fast Track and Regenerative Medicine Advanced Therapy designations from the U.S. Food and Drug Administration, or FDA, for the treatment of patients with unresectable or metastatic melanoma that is resistant to immune checkpoint inhibitor, or ICI, therapy. In our Phase 1 clinical trial in NSCLC, early clinical results show robust tumor shrinkage and include multiple confirmed partial responses, or PRs. We expect to announce additional data in the first half of 2027. We believe our product candidates are distinct from current cell therapies and have the potential to significantly impact the treatment of solid tumors and clinical outcomes of patients with cancer.</w:t>
      </w:r>
    </w:p>
    <w:p>
      <w:pPr>
        <w:spacing w:after="0" w:line="21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Our historical revenue has been derived solely from certain collaboration and license agreements, all of which have since expired or concluded. As a result, we currently do not have any active revenue-generating arrangements, and we do not expect revenue in the near term unless and until we enter into new collaboration agreements or successfully commercialize one of our product candidates.</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and negative cash flows from operations, reflecting our primary focus on advancing our research and development programs, building our platform, and supporting early-stage clinical and preclinical activities. We expect operating losses and negative cash flows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267</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spacing w:after="0" w:line="261" w:lineRule="auto"/>
        <w:rPr>
          <w:sz w:val="20"/>
          <w:szCs w:val="20"/>
          <w:color w:val="auto"/>
        </w:rPr>
      </w:pPr>
      <w:r>
        <w:rPr>
          <w:rFonts w:ascii="Times New Roman" w:cs="Times New Roman" w:eastAsia="Times New Roman" w:hAnsi="Times New Roman"/>
          <w:sz w:val="18"/>
          <w:szCs w:val="18"/>
          <w:color w:val="auto"/>
        </w:rPr>
        <w:t>continue for the foreseeable future as we further develop our product candidates, expand our organization, and incur additional costs associated with becoming and operating as a public company. Our net losses were $19.6 million and $25.0 million for three months ended March 31, 2026 and 2025, respectively, and $100.6 million and $83.1 million for the years ended December 31, 2025 and 2024, respectively. As of March 31, 2026, we had an accumulated deficit of $315.6 million.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our expenses and operating losses will increase substantially as we:</w:t>
      </w:r>
    </w:p>
    <w:p>
      <w:pPr>
        <w:spacing w:after="0" w:line="131" w:lineRule="exact"/>
        <w:rPr>
          <w:sz w:val="20"/>
          <w:szCs w:val="20"/>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preclinical studies and ongoing and planned clinical trials of OBX-115;</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utilize third parties to manufacture OBX-115 and any future product candidates and related raw materials or, should we decide to do so, build and maintain a commercial-scale current Good Manufacturing Practices, or cGMP, manufacturing facility;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early research and development activities;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additional research programs and program candidates to expand our pipeline;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and development, clinical, commercial, and operational personnel;</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 and provide reimbursement of third-party expenses related to our patent portfolio;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OBX-115 and any of our future product candidates for which we successfully complete clinical trials;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ultimately establish a sales, marketing and distribution infrastructure to commercialize any therapies for which we may obtain marketing approval; and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being a public company, including audit, legal, regulatory, and tax-related services associated with maintaining compliance with an exchange listing and Securities and Exchange Commission, or SEC, requirements, director and officer insurance premiums and investor relations costs.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we have clinical development, regulatory, and commercial milestone payment obligations under our licensing arrangement with the University of Texas M.D. Anderson Cancer Center, or M.D. Anderson, as described below. Our net losses may fluctuate significantly from quarter-to-quarter and year-to-year, depending on the timing of our preclinical studies and our ongoing and planned clinical trials and our expenditures on other research and development activities.</w:t>
      </w:r>
    </w:p>
    <w:p>
      <w:pPr>
        <w:spacing w:after="0" w:line="180" w:lineRule="exact"/>
        <w:rPr>
          <w:sz w:val="20"/>
          <w:szCs w:val="20"/>
          <w:color w:val="auto"/>
        </w:rPr>
      </w:pPr>
    </w:p>
    <w:p>
      <w:pPr>
        <w:ind w:left="120" w:right="300" w:firstLine="440"/>
        <w:spacing w:after="0" w:line="256" w:lineRule="auto"/>
        <w:rPr>
          <w:sz w:val="20"/>
          <w:szCs w:val="20"/>
          <w:color w:val="auto"/>
        </w:rPr>
      </w:pPr>
      <w:r>
        <w:rPr>
          <w:rFonts w:ascii="Times New Roman" w:cs="Times New Roman" w:eastAsia="Times New Roman" w:hAnsi="Times New Roman"/>
          <w:sz w:val="18"/>
          <w:szCs w:val="18"/>
          <w:color w:val="auto"/>
        </w:rPr>
        <w:t>We do not expect to generate any revenue from product sales unless and until we successfully complete development and obtain regulatory approval for one or more of OBX-115 or any future product candidates, which will not be for at least the next several years, if ever. If we obtain regulatory approval for any of OBX-115 or future product candidates, we expect to incur significant commercialization expenses related to product sales, marketing, manufacturing and distribution. Accordingly, until such time as we can generate significant revenue from sales of OBX-115 or any future product candidates, if ever, we expect to finance our cash needs through equity offerings, debt financings or other capital sources, including potential collaborations, licenses and other similar arrangements.</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April 14, 2026, the Company entered into a definitive merger agreement with Galera Therapeutics, Inc. (“Galera”), pursuant to which both companies are expected to become wholly owned subsidiaries of a newly formed holding company. In connection with the proposed merger, the Company and Galera announced commitments for a private placement financing with expected gross proceeds of approximately $350.0 million, which is expected to close immediately prior to completion of the merger.</w:t>
      </w:r>
    </w:p>
    <w:p>
      <w:pPr>
        <w:spacing w:after="0" w:line="18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completion of the merger and the related private placement financing is subject to a number of conditions outside the Company’s control, including regulatory approvals, effectiveness of the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268</w:t>
      </w:r>
    </w:p>
    <w:p>
      <w:pPr>
        <w:sectPr>
          <w:pgSz w:w="11900" w:h="16838" w:orient="portrait"/>
          <w:cols w:equalWidth="0" w:num="1">
            <w:col w:w="11100"/>
          </w:cols>
          <w:pgMar w:left="320" w:top="455" w:right="4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registration statement, approval by Galera stockholders, and satisfaction of other customary closing conditions. As of the date these financial statements are issued, those approvals have not been obtained and the transactions have not been consummated.</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Although management believes that the merger and private placement financing, if completed, would provide sufficient liquidity to fund the combined company’s operations beyond the one-year look-forward period, management cannot conclude that the completion of these transactions is probable as of the financial statement issuance date, as their successful execution depends on approvals and actions by third parties that are outside of management’s control.</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Accordingly, management has concluded that substantial doubt exists about the Company’s ability to continue as a going concern within one year after the date that these financial statements are issued. The financial statements do not include any adjustments that might result from the outcome of this uncertainty. See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and marketable securities of $58.8 million. Based upon our current operating plans, we believe that the estimated net proceeds from this offering, together with our existing cash and cash equivalents and short-term investments in marketable securities, will be sufficient to fund our operations into the second half of 2028.</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To date, we have not recognized any revenues from product sales. We do not expect to generate any revenue from the sale of products in the foreseeable future. If our development efforts for OBX-115 or any future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bonuses, benefits, and stock-based compensation charges for those individuals in research and development functions, other internal and external costs associated with our research and development activities, our discovery and research efforts, and the preclinical and clinical development of OBX-115 and any future product candidates. Our research and development expenses include:</w:t>
      </w:r>
    </w:p>
    <w:p>
      <w:pPr>
        <w:spacing w:after="0" w:line="85" w:lineRule="exact"/>
        <w:rPr>
          <w:sz w:val="20"/>
          <w:szCs w:val="20"/>
          <w:color w:val="auto"/>
        </w:rPr>
      </w:pPr>
    </w:p>
    <w:p>
      <w:pPr>
        <w:ind w:left="1080" w:right="54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costs, including salaries, bonuses, benefits, and stock-based compensation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including expenses incurred under arrangements with third parties, such as sponsored research agreements, contract research organizations, contract development and manufacturing organizations, consultants and our scientific advisors;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developing and validating our manufacturing process for use in our preclinical studies and ongoing and future clinical trials;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obtain licenses to intellectual property and related future payments should certain development and regulatory milestones be achieved;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laboratory supplies, research materials and reagents;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costs, depreciation, and other expenses, which include direct and allocated expenses.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269</w:t>
      </w:r>
    </w:p>
    <w:p>
      <w:pPr>
        <w:sectPr>
          <w:pgSz w:w="11900" w:h="16838" w:orient="portrait"/>
          <w:cols w:equalWidth="0" w:num="1">
            <w:col w:w="11100"/>
          </w:cols>
          <w:pgMar w:left="320" w:top="455" w:right="4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Advance payments that we make for goods or services to be received in the future for use in research and development activities are recorded as prepaid expenses. Such amounts are recognized as expenses as the goods are delivered or the related services are performed, or until it is no longer expected that such goods will be delivered, or such services will be rendered. Most of our research and development expenses have been related to identifying and developing our product candidates. We have not reported program costs because we have not historically tracked or recorded our research and development expenses on a program-by-program basis. In the future, external research and development costs for any individual product candidate will be tracked commencing upon product candidate nomination. We do not allocate employee costs, costs associated with our discovery efforts, laboratory supplies, and facilities expenses, including depreciation or other indirect costs, to specific product development programs because these costs are deployed across multiple programs and our technology platform and, as such, are not separately classified.</w:t>
      </w:r>
    </w:p>
    <w:p>
      <w:pPr>
        <w:spacing w:after="0" w:line="188"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We plan to substantially increase our research and development expenses for the foreseeable future as we continue to conduct our ongoing research and development activities, advance our preclinical research programs toward clinical development, and conduct our current and planned clinical trials.</w:t>
      </w:r>
    </w:p>
    <w:p>
      <w:pPr>
        <w:spacing w:after="0" w:line="176"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timelines and costs with research and development activities are uncertain and can vary significantly for OBX-115 and any future product candidate and development program due to the inherently unpredictable nature of preclinical and clinical development. We anticipate we will make determinations as to which programs to pursue and how much funding to direct to each program on an ongoing basis in response to preclinical and clinical results, regulatory developments, and ongoing assessments as to each program’s commercial potential.</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Our future development costs may vary significantly based on various factors such as timely and successful completion of preclinical studies and ongoing and future clinical trials, positive results from our current and future clinical trials, receipt of marketing approvals from applicable regulatory authorities, establishment and maintenance of arrangements with third parties, intellectual property updates, the amount and timing of any milestone payment due under any existing or future license or collaboration agreement or asset acquisition, and continued acceptable safety, tolerability and efficacy profile of OBX-115 and any future product candidates that we may develop following approval.</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OBX-115 or any future product candidate could mean a significant change in the costs and timing associated with the development of that product candidate. For example, if the FDA, the EMA or another regulatory authority were to require us to conduct clinical trials beyond those that we anticipate would be required for the completion of clinical development of a product candidate, or if we experience significant delays in our clinical trials due to slower than expected patient enrollment or other reasons, we would be required to expend significant additional financial resources and time on the completion of clinical development.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including salaries, bonuses, benefits, and stock-based compensation charges for those individuals in executive, legal, finance, human resources, facility operations, and other administrative functions. Other significant costs include legal fees relating to intellectual property and corporate matters, professional fees for auditing, accounting, tax and consulting services, office and information technology costs, insurance costs, and facilities, depreciation and other general and administrative expenses, which include direct or allocated expenses for rent and maintenance of facilities and utilities.</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foreseeable future to support our increased research and development activities. These increases will likely include increased costs related to the hiring of additional personnel and fees paid to outside consultants, among other expenses. We also anticipate increased expenses related to audit, accounting, legal, regulatory, and tax-related services associated with maintaining compliance with the Nasdaq Stock Exchange, or Nasdaq, and SEC requirements, director and officer insurance premiums, and investor relations costs associated with operating as a public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270</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net consists primarily of interest income earned on our cash, cash equivalents and marketable securities.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have historically not incurred significant income taxes. We continue to maintain a full valuation allowance against all of our deferred tax assets based on management’s evaluation of all available evidence, including our history of incurring significant losses from operations. As a result, we do not expect to incur material income taxes for the foreseeable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60" w:type="dxa"/>
            <w:vAlign w:val="bottom"/>
            <w:tcBorders>
              <w:top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$ 15,732</w:t>
            </w:r>
          </w:p>
        </w:tc>
        <w:tc>
          <w:tcPr>
            <w:tcW w:w="2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$ 21,126</w:t>
            </w:r>
          </w:p>
        </w:tc>
        <w:tc>
          <w:tcPr>
            <w:tcW w:w="26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4,548</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(19,633)</w:t>
            </w:r>
          </w:p>
        </w:tc>
        <w:tc>
          <w:tcPr>
            <w:tcW w:w="11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(24,986)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costs for each of the periods presented (in thousands):</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2"/>
                <w:szCs w:val="12"/>
                <w:color w:val="auto"/>
              </w:rPr>
            </w:pPr>
          </w:p>
        </w:tc>
        <w:tc>
          <w:tcPr>
            <w:tcW w:w="56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and manufacturing activities</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7,644</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$12,009</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$(4,365)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related expenses (including stock-based compensation)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Drug discovery and platform</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4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15,732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21,126</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were $15.7 million for the three months ended March 31, 2026, compared to $21.1 million for the three months ended March 31, 2025. The decrease of $5.4 million was primarily due to a $4.4 million decrease in clinical and manufacturing activities related to the multi-center Phase 1/2 Agni-01 clinical trial reflecting lower levels of activity in 2026 as the study winds down as well as a $1.0 million decrease in costs related to compensation and related expenses (including stock-based compensation), driven by decreased headcount,. These decreases were primarily related to organizational actions taken to streamline operations and align the Company’s cost structure with current business needs.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271</w:t>
      </w:r>
    </w:p>
    <w:p>
      <w:pPr>
        <w:sectPr>
          <w:pgSz w:w="11900" w:h="16838" w:orient="portrait"/>
          <w:cols w:equalWidth="0" w:num="1">
            <w:col w:w="11100"/>
          </w:cols>
          <w:pgMar w:left="320" w:top="455" w:right="4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$4.6 million for the three months ended March 31, 2026, compared to $5.5 million for the three months ended March 31, 2025. The decrease of $0.9 million was primarily due to a decrease in compensation and related activities. These decreases were primarily related to organizational actions taken to streamline operations and align the Company’s cost structure with current business needs.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income, net was $0.7 million for the three months ended March 31, 2026, compared to $1.6 million for the three months ended March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 The decrease of $1.0 million was due to decreased interest income based on a lower marketable securities balance in 2026 compared to 2025.</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6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86,113</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$ 73,187</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12,926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w:t>
            </w:r>
          </w:p>
        </w:tc>
        <w:tc>
          <w:tcPr>
            <w:tcW w:w="120" w:type="dxa"/>
            <w:vAlign w:val="bottom"/>
            <w:shd w:val="clear" w:color="auto" w:fill="CCEEFF"/>
          </w:tcPr>
          <w:p>
            <w:pPr>
              <w:spacing w:after="0"/>
              <w:rPr>
                <w:sz w:val="18"/>
                <w:szCs w:val="18"/>
                <w:color w:val="auto"/>
              </w:rPr>
            </w:pPr>
          </w:p>
        </w:tc>
      </w:tr>
      <w:tr>
        <w:trPr>
          <w:trHeight w:val="23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(3,086)</w:t>
            </w: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80" w:type="dxa"/>
            <w:vAlign w:val="bottom"/>
            <w:gridSpan w:val="2"/>
            <w:shd w:val="clear" w:color="auto" w:fill="CCEEFF"/>
          </w:tcPr>
          <w:p>
            <w:pPr>
              <w:ind w:left="1780"/>
              <w:spacing w:after="0"/>
              <w:rPr>
                <w:sz w:val="20"/>
                <w:szCs w:val="20"/>
                <w:color w:val="auto"/>
              </w:rPr>
            </w:pPr>
            <w:r>
              <w:rPr>
                <w:rFonts w:ascii="Times New Roman" w:cs="Times New Roman" w:eastAsia="Times New Roman" w:hAnsi="Times New Roman"/>
                <w:sz w:val="20"/>
                <w:szCs w:val="20"/>
                <w:u w:val="single" w:color="auto"/>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w w:val="96"/>
              </w:rPr>
              <w:t>(100,607)</w:t>
            </w: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(83,109)</w:t>
            </w:r>
          </w:p>
        </w:tc>
        <w:tc>
          <w:tcPr>
            <w:tcW w:w="11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(17,498)</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costs for each of the periods presented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6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and manufacturing activities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52,065</w:t>
            </w:r>
          </w:p>
        </w:tc>
        <w:tc>
          <w:tcPr>
            <w:tcW w:w="5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$ 15,234</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and related expenses (including 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(1,914)</w:t>
            </w:r>
          </w:p>
        </w:tc>
      </w:tr>
      <w:tr>
        <w:trPr>
          <w:trHeight w:val="216"/>
        </w:trPr>
        <w:tc>
          <w:tcPr>
            <w:tcW w:w="6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Drug discovery and platform</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8,037</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(576)</w:t>
            </w:r>
          </w:p>
        </w:tc>
      </w:tr>
      <w:tr>
        <w:trPr>
          <w:trHeight w:val="23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0" w:type="dxa"/>
            <w:vAlign w:val="bottom"/>
            <w:tcBorders>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86,113</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73,187</w:t>
            </w:r>
          </w:p>
        </w:tc>
        <w:tc>
          <w:tcPr>
            <w:tcW w:w="4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12,926</w:t>
            </w:r>
          </w:p>
        </w:tc>
        <w:tc>
          <w:tcPr>
            <w:tcW w:w="120" w:type="dxa"/>
            <w:vAlign w:val="bottom"/>
          </w:tcPr>
          <w:p>
            <w:pPr>
              <w:spacing w:after="0"/>
              <w:rPr>
                <w:sz w:val="20"/>
                <w:szCs w:val="20"/>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Research and development expenses were $86.1 million for the year ended December 31, 2025, compared to $73.2 million for the year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2024. The increase of $12.9 million was primarily due to a $15.2 million increase in clinical and manufacturing activities as well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$0.2 million increase in drug discovery and platform related to the multi-center Phase 1/2 Agni-01 clinical trial. These increases were partially offset by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decrease in costs related to compensation and related expenses (including stock-based compensation), and occupancy and all other costs of</w:t>
      </w:r>
    </w:p>
    <w:p>
      <w:pPr>
        <w:spacing w:after="0" w:line="9" w:lineRule="exact"/>
        <w:rPr>
          <w:sz w:val="20"/>
          <w:szCs w:val="20"/>
          <w:color w:val="auto"/>
        </w:rPr>
      </w:pPr>
    </w:p>
    <w:p>
      <w:pPr>
        <w:ind w:left="120" w:right="20"/>
        <w:spacing w:after="0" w:line="260" w:lineRule="auto"/>
        <w:rPr>
          <w:sz w:val="20"/>
          <w:szCs w:val="20"/>
          <w:color w:val="auto"/>
        </w:rPr>
      </w:pPr>
      <w:r>
        <w:rPr>
          <w:rFonts w:ascii="Times New Roman" w:cs="Times New Roman" w:eastAsia="Times New Roman" w:hAnsi="Times New Roman"/>
          <w:sz w:val="18"/>
          <w:szCs w:val="18"/>
          <w:color w:val="auto"/>
        </w:rPr>
        <w:t>$1.9 million and $0.6 million, respectively. These decreases were primarily related to organizational actions taken to streamline operations and align the Company’s cost structure with current business needs.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272</w:t>
      </w:r>
    </w:p>
    <w:p>
      <w:pPr>
        <w:sectPr>
          <w:pgSz w:w="11900" w:h="16838" w:orient="portrait"/>
          <w:cols w:equalWidth="0" w:num="1">
            <w:col w:w="11080"/>
          </w:cols>
          <w:pgMar w:left="320" w:top="455" w:right="4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$19.6 million for the year ended December 31, 2025, compared to $18.1 million for the year ended December 31, 2024. The increase of $1.5 million was primarily due to an increase in compensation and related activities and an increase in consulting and professional services costs related to additional investments made to support our growth and prepare to operate as a public company.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1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Other income, net was $5.1 million for the year ended December 31, 2025, compared to $8.1 million for the year ended December 31, 2024. The decrease of $3.0 million was due to decreased interest income based on a lower marketable securities balance in 2025 compared to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have incurred significant operating losses and negative cash flows from operations. Our historical revenue has been derived solely from certain collaboration and license agreements, all of which have since expired or concluded. We expect to incur significant expenses and operating losses for the foreseeable future as we advance the clinical development of our pipeline. Further, upon the completion of the merger and the related private placement financing, we expect to incur additional costs associated with operating as a public company. From our inception through March 31, 2026, we have received aggregate gross proceeds of $336.5 million from the issuance of convertible preferred stock, Simple Agreements for Future Equity and convertible notes in private placements and $122.5 million in upfront and milestone payments under our prior collaboration agreements.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March 31, 2026, we had cash equivalents and short-term investments in marketable securities of $58.8 million. Based upon our current operating plans, we believe that the estimated net proceeds from the concurrent financing, together with our existing cash equivalents and marketable securities, will be sufficient to fund our operations into the second half of 2028. Without additional funding, we will not have sufficient funds to meet our obligations within the next twelve months after the date that our financial statements included in this information statement/prospectus are issued. However, our forecast for the period of time through which our financial resources will be adequate to support our operations is a forward-looking statement that involves risks and uncertainties, and actual results could vary materially. Additionally, the process of conducting preclinical studies and testing product candidates in clinical trials is costly, and the timing of progress and expenses in these studies and trials is uncertain. We will need to raise substantial additional capital in the future.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 but not limited to:</w:t>
      </w:r>
    </w:p>
    <w:p>
      <w:pPr>
        <w:spacing w:after="0" w:line="131" w:lineRule="exact"/>
        <w:rPr>
          <w:sz w:val="20"/>
          <w:szCs w:val="20"/>
          <w:color w:val="auto"/>
        </w:rPr>
      </w:pPr>
    </w:p>
    <w:p>
      <w:pPr>
        <w:ind w:left="1080" w:right="24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number, scope, progress, expansions, results, costs, and timing of, discovery, preclinical studies and clinical trials of OBX-115 and any future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for OBX-115 and any future product candidates and commercial manufacturing;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OBX-115 and any future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establishing and maintaining licenses and other similar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additional collaborations, partnerships or licenses on favorable terms, if at all;</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future collaboration agreements, if 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273</w:t>
      </w:r>
    </w:p>
    <w:p>
      <w:pPr>
        <w:sectPr>
          <w:pgSz w:w="11900" w:h="16838" w:orient="portrait"/>
          <w:cols w:equalWidth="0" w:num="1">
            <w:col w:w="11100"/>
          </w:cols>
          <w:pgMar w:left="320" w:top="455" w:right="47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costs of obtaining, maintaining, and enforcing our patents and other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hire additional personnel to satisfy our obligations as a public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hiring additional personnel and consultants as our preclinical and potential future clinical activities increase;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establishing or securing sales and marketing capabilities if OBX-115 and any future product candidate is approved;</w:t>
      </w:r>
    </w:p>
    <w:p>
      <w:pPr>
        <w:spacing w:after="0" w:line="142" w:lineRule="exact"/>
        <w:rPr>
          <w:rFonts w:ascii="Times New Roman" w:cs="Times New Roman" w:eastAsia="Times New Roman" w:hAnsi="Times New Roman"/>
          <w:sz w:val="17"/>
          <w:szCs w:val="17"/>
          <w:color w:val="auto"/>
        </w:rPr>
      </w:pPr>
    </w:p>
    <w:p>
      <w:pPr>
        <w:ind w:left="1080" w:right="220" w:hanging="424"/>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 market acceptance, coverage and adequate reimbursement from third-party payors and adequate market share and revenue for any approved products;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any products or technologies that we may in-license or acquire.</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to support our cost structure, we expect to finance our cash needs through equity offerings, debt financings, or other capital sources, potentially including collaborations, licenses, and other similar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OBX-115 or any future product candidates or grant licenses on terms that may not be favorable to us and/or may reduce the value of our common stock. Our failure to raise capital or enter into such other arrangements when needed could have a negative impact on our financial condition and on our ability to pursue our business plans and strategies. If we are unable to raise additional funds through equity or debt financings when needed, we may be required to delay, limit, reduce or terminate our product development or future commercialization efforts or grant rights to develop and market OBX-115 and any future product candidates even if we would otherwise prefer to develop and market such product candidates ourselves.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the three months ended March 31, 2026 and 2025 (in thousands):</w:t>
      </w:r>
    </w:p>
    <w:p>
      <w:pPr>
        <w:spacing w:after="0" w:line="24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5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$(22,013)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$(24,368)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9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8,000</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13,502</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9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28"/>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10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$(13,966)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$(10,860)</w:t>
            </w:r>
          </w:p>
        </w:tc>
        <w:tc>
          <w:tcPr>
            <w:tcW w:w="100" w:type="dxa"/>
            <w:vAlign w:val="bottom"/>
          </w:tcPr>
          <w:p>
            <w:pPr>
              <w:spacing w:after="0"/>
              <w:rPr>
                <w:sz w:val="19"/>
                <w:szCs w:val="19"/>
                <w:color w:val="auto"/>
              </w:rPr>
            </w:pPr>
          </w:p>
        </w:tc>
      </w:tr>
      <w:tr>
        <w:trPr>
          <w:trHeight w:val="360"/>
        </w:trPr>
        <w:tc>
          <w:tcPr>
            <w:tcW w:w="540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274</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net cash used in operating activities of $22.0 million was comprised of the net loss of $19.6 million and $1.5 million of non-cash items and a $3.9 million change in operating assets and liabilities.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net cash used in operating activities of $24.4 million was comprised of the net loss of $25.0 million, $1.6 million of non-cash items and $1.0 million change in operating assets and liabilities.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net cash provided by investing activities of $8.0 million was comprised of the maturities of marketable securities. For the three months ended March 31, 2025, net cash used in investing activities of $13.5 million was primarily comprised of $36.0 million of maturities of marketable securities, partially offset by $22.4 million of marketable securities purchases.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cash provided by financing activities did not have a meaningful impact on our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a summary of the net cash flow activity for the years ended December 31, 2025 and 2024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223"/>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99"/>
              </w:rPr>
              <w:t>$</w:t>
            </w:r>
          </w:p>
        </w:tc>
        <w:tc>
          <w:tcPr>
            <w:tcW w:w="6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87"/>
              </w:rPr>
              <w:t>(90,393)</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color w:val="auto"/>
                <w:w w:val="87"/>
              </w:rPr>
              <w:t>(75,002)</w:t>
            </w:r>
          </w:p>
        </w:tc>
        <w:tc>
          <w:tcPr>
            <w:tcW w:w="120" w:type="dxa"/>
            <w:vAlign w:val="bottom"/>
            <w:shd w:val="clear" w:color="auto" w:fill="CCEEFF"/>
          </w:tcPr>
          <w:p>
            <w:pPr>
              <w:spacing w:after="0"/>
              <w:rPr>
                <w:sz w:val="19"/>
                <w:szCs w:val="19"/>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81,017</w:t>
            </w: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(53,874)</w:t>
            </w: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162,515</w:t>
            </w:r>
          </w:p>
        </w:tc>
      </w:tr>
      <w:tr>
        <w:trPr>
          <w:trHeight w:val="228"/>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(33,639)</w:t>
            </w:r>
          </w:p>
        </w:tc>
        <w:tc>
          <w:tcPr>
            <w:tcW w:w="120" w:type="dxa"/>
            <w:vAlign w:val="bottom"/>
          </w:tcPr>
          <w:p>
            <w:pPr>
              <w:spacing w:after="0"/>
              <w:rPr>
                <w:sz w:val="19"/>
                <w:szCs w:val="19"/>
                <w:color w:val="auto"/>
              </w:rPr>
            </w:pPr>
          </w:p>
        </w:tc>
      </w:tr>
    </w:tbl>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year ended December 31, 2025, net cash used in operating activities of $90.4 million was comprised of the net loss of $100.6 million,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$7.7 million increase of non-cash items and $2.6 million increase of changes in operating assets and liabilities. For the year ended December 31, 2024,</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 of $75.0 million was comprised of the net loss of $83.1 million, $6.4 million increase of non-cash items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 million increase of changes in operating assets and liabilities.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net cash provided by investing activities of $81.0 million was primarily comprised of $162.0 million from the maturities of marketable securities offset by $80.9 million of purchases of marketable securities. For the year ended December 31, 2024, net cash used in investing activities of $53.9 million was primarily comprised of $131.1 million of purchases of marketable securities, partially offset by $78.0 million from the maturities of marketable securities.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275</w:t>
      </w:r>
    </w:p>
    <w:p>
      <w:pPr>
        <w:sectPr>
          <w:pgSz w:w="11900" w:h="16838" w:orient="portrait"/>
          <w:cols w:equalWidth="0" w:num="1">
            <w:col w:w="11080"/>
          </w:cols>
          <w:pgMar w:left="320" w:top="455" w:right="4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cash provided by financing activities did not have a meaningful impact on our operations. For the year ended December 31, 2024, net cash provided by financing activities of $162.5 million was primarily comprised of $160.5 million of proceeds from the Series C financing.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third parties for preclinical research studies, upcoming clinical trials and testing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the service providers, up to the date of cancellation and in the case of certain arrangements may include noncancelable fees.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aggregate amount of future operating lease obligations over the term of our leases was $4.5 million as of December 31, 2025, of which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$3.0 million is expected to be paid within one year. For additional information on our leases and timing of future payments, see Note 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our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consolidated financial statements included in this information statement/prospectus.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and Collaboration Agreements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Below is a summary of the key terms for certain of our license and collaboration agreements. For a more detailed description of these agreements, see the section titled “</w:t>
      </w:r>
      <w:r>
        <w:rPr>
          <w:rFonts w:ascii="Times New Roman" w:cs="Times New Roman" w:eastAsia="Times New Roman" w:hAnsi="Times New Roman"/>
          <w:sz w:val="18"/>
          <w:szCs w:val="18"/>
          <w:i w:val="1"/>
          <w:iCs w:val="1"/>
          <w:color w:val="auto"/>
        </w:rPr>
        <w:t>Information Regarding Obsidian—M.D. Anderson License Agreement</w:t>
      </w:r>
      <w:r>
        <w:rPr>
          <w:rFonts w:ascii="Times New Roman" w:cs="Times New Roman" w:eastAsia="Times New Roman" w:hAnsi="Times New Roman"/>
          <w:sz w:val="18"/>
          <w:szCs w:val="18"/>
          <w:color w:val="auto"/>
        </w:rPr>
        <w:t>” beginning on page 262 of this information statement/prospectus.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University of Texas M.D. Anderson Cancer Center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November 2020, we entered into the Collaboration Agreement with the Board of Regents of The University of Texas System, on behalf of M.D. Anderson, designed to expedite the research and development of novel engineered tumor infiltrating lymphocytes, or TIL, for the treatment of solid tumors. Pursuant to the Collaboration Agreement, as amended, we agreed to fund research activities of up to $8.3 million over approximately two years and received the option to obtain a license to certain intellectual property arising from the collaboration. The collaboration focused on developing TIL containing regulated mbIL15 with the potential to enhance anti-tumor efficacy and reduce tumor burden in patients suffering from different types of solid tumors. The collaboration’s purpose was to accelerate the development of cytoTIL, including process and analytical development and clinical readiness activities. The Collaboration Agreement expired in 2023 and, prior to such expiration, we exercised our option to license certain intellectual property arising from the collaboration, and subsequently entered into the M.D. Anderson License Agreement, in October 2021.</w:t>
      </w:r>
    </w:p>
    <w:p>
      <w:pPr>
        <w:spacing w:after="0" w:line="192"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Under the M.D. Anderson License Agreement, we are obligated to pay to M.D. Anderson (a) a royalty on net sales of Developed Products and licensed products at a low single digit percentage, (b) milestone payments of up to (i) $75.0 million upon the achievement of certain specified clinical and regulatory milestones and (ii) $90.0 million upon the achievement of certain specified sales milestones, which milestones may be payable with respect to multiple products and indications and (c) a share of certain consideration received by us from sublicensees under any sublicense agreements with third parties.</w:t>
      </w:r>
    </w:p>
    <w:p>
      <w:pPr>
        <w:spacing w:after="0" w:line="183"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As of December 31, 2025, we have made approximately $11.1 in aggregate payments to M.D. Anderson in connection with the Collaboration Agreement and the M.D. Anderson License Agreement, including with respect to the payment of option exercise fees, milestone payments and certain reimbursable patent and research expenses which were incurred by M.D. Anderson prior to entering into the M.D. Anderson License Agreement.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276</w:t>
      </w:r>
    </w:p>
    <w:p>
      <w:pPr>
        <w:sectPr>
          <w:pgSz w:w="11900" w:h="16838" w:orient="portrait"/>
          <w:cols w:equalWidth="0" w:num="1">
            <w:col w:w="11140"/>
          </w:cols>
          <w:pgMar w:left="320" w:top="455" w:right="4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M.D. Anderson License Agreement may be terminated by the Board of Regents upon notice for an uncured challenge of the Board of Regents’ patents and by mutual agreement of us and the Board of Regents.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changes to the Company’s leases and license and collaboration agreements during the three months ended March 31, 2026.</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are prepared in accordance with generally accepted accounting principles in the United States, or GAAP. The preparation of our consolidated financial statements requires us to make estimates and assumptions that affect the reported amounts of assets, liabilities, costs, and expenses and the disclosure of contingent assets and liabilities in our consolidated financial statements and accompanying notes. We base our estimates and assumptions on historical experience and other factors that we believe to be reasonable under the circumstances.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9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2, “Summary of Significant Accounting Policies” to our consolidated financial statements appearing elsewhere in this information statement/prospectus, we believe that the following accounting policies are the most critical for fully understanding and evaluating our financial condition and results of operations.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and Accruals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record research and development expenses to operations as incurred. Research and development expenses represent costs incurred by us for the discovery and development of our product candidates and the development of our technology and include employee salaries, benefits and stock-based compensation, third-party research and development expenses, including contract manufacturing and research services, consulting expenses, laboratory supplies, and certain allocated expenses, as well as amounts incurred under license agreements.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record accrued liabilities for estimated costs of research and development activities conducted by third-party service providers, which include the conduct of preclinical studies, clinical trials and contract manufacturing activities. We estimate preclinical study and clinical trial and other research and development expenses based on the services performed, pursuant to contracts with research institutions and third-party service providers that conduct and manage preclinical studies and clinical trials and research services on our behalf. We record the costs of research and development activities based upon the estimated services provided but not yet invoiced and include these costs in accrued expenses and other current liabilities in our consolidated balance sheets and in research and development expense in our consolidated statements of operations and comprehensive loss. We make significant judgments and estimates in determining the accrued balance in each reporting period. As actual costs become known, we adjust our accrued estimates. Although we do not expect our estimates to be materially different from amounts actually incurred, our understanding of the status and timing of services performed may vary from our actual results and could result in us reporting amounts that are too high or too low in any particular period. Our accrued expenses are dependent, in part, upon the receipt of timely and accurate reporting from external third-party service providers. Contingent milestone payments, if any, are expensed when the milestone results are probable and estimable, which is generally upon the achievement of the milestone.</w:t>
      </w:r>
    </w:p>
    <w:p>
      <w:pPr>
        <w:spacing w:after="0" w:line="190"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Our expenses related to clinical trials are based on estimates of patient enrollment and related expenses at clinical investigator sites as well as estimates for the services provided and efforts expended pursuant to contracts with multiple research institutions and CROs that may be used to conduct and manage clinical trials on our behalf. We generally accrue expenses related to clinical trials based on contracted amounts applied to the level of</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277</w:t>
      </w:r>
    </w:p>
    <w:p>
      <w:pPr>
        <w:sectPr>
          <w:pgSz w:w="11900" w:h="16838" w:orient="portrait"/>
          <w:cols w:equalWidth="0" w:num="1">
            <w:col w:w="11120"/>
          </w:cols>
          <w:pgMar w:left="320" w:top="455" w:right="45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patient enrollment and activity. If timelines or contracts are modified based upon changes in the clinical trial protocol or scope of work to be performed, we modify our estimates of accrued expenses accordingly on a prospective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measure stock-based awards granted to employees, nonemployees and directors based on the fair value on the date of the grant recognized using the Black-Scholes option-pricing model, which requires inputs based on certain subjective assumptions, including the expected fair value of our common stock, the expected stock price volatility, the expected term of the option, the risk-free interest rate for a period that approximates the expected term of the option, and our expected dividend yield. We recognized compensation expense for those awards over the requisite service period, which is generally the vesting period of the respective award. Forfeitures are accounted for as they occur. Generally, we issue stock-based awards in the form of stock options with only service-based vesting conditions and records the expense for these awards using the straight-line method. We have also issued stock-based awards in the form of stock options with both performance and service-based vesting conditions. We record the expense for stock-based awards with both performance and service-based vesting using an accelerated attribution method, once the performance conditions are considered probable of being achieved, using management’s best estimates.</w:t>
      </w:r>
    </w:p>
    <w:p>
      <w:pPr>
        <w:spacing w:after="0" w:line="186"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color w:val="auto"/>
        </w:rPr>
        <w:t>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consolidated financial statements appearing elsewhere in this information statement/prospectus for the detail on certain subjective assumptions relating to fair value measurement of stock-based awards granted.</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Valuation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there has been no public market for our common stock, the estimated fair value of our common stock has been determined by the Obsidian Board after considering valuation reports provided by an independent third-party valuation firm and exercising reasonable judgment and considering numerous objective and subjective factors to determine the best estimate of the fair value of our common stock at each stock option grant date. These third-party valuations were performed in accordance with the guidance outlined in the American Institute of Certified Public Accountants’ Accounting and Valuation Guide, Valuation of Privately-Held-Company Equity Securities Issued as Compensation.</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recent third-party valuations of common stock, in accordance with the Practice Aid, were prepared using the hybrid method, which we determined was the most appropriate method for determining the fair value of our common unit based on our stage of development and other relevant factors. The option-pricing method, or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probability-weighted expected return method, or PWERM, is a scenario-based methodology that estimates the fair value of common stock based upon an analysis of future values for us, assuming various outcomes. The hybrid method is a combination of the PWERM and the OPM. In the hybrid method, various exit scenarios are analyzed and the equity value in one or more of the scenarios is calculated using an OPM with the term equal to the estimated time to liquidity.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278</w:t>
      </w:r>
    </w:p>
    <w:p>
      <w:pPr>
        <w:sectPr>
          <w:pgSz w:w="11900" w:h="16838" w:orient="portrait"/>
          <w:cols w:equalWidth="0" w:num="1">
            <w:col w:w="11060"/>
          </w:cols>
          <w:pgMar w:left="320" w:top="455" w:right="5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Given the absence of a public trading market, the Obsidian Board, with input from management considered numerous objective and subjective factors to determine the fair value of our common stock. The factors included, but were not limited to:</w:t>
      </w:r>
    </w:p>
    <w:p>
      <w:pPr>
        <w:spacing w:after="0" w:line="67" w:lineRule="exact"/>
        <w:rPr>
          <w:sz w:val="20"/>
          <w:szCs w:val="20"/>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prices at which we sold preferred stock and preferences of the preferred stock relative to our common stock at the time of each grant;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research and development efforts, including the status of clinical development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equity as a private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and the material risks related to our business and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enterprise milestones, including entering into collaboration agreements;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preferred stock and holders of our common stock, such as a sale of our company, given prevailing market conditions.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Once a public trading market for our common stock has been established in connection with the completion of the mergers, it will no longer be necessary for the Obsidian Board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our audited consolidated financial statements and unaudited condensed financial statements included elsewhere in this information statement/prospectus.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Market risk represents the risk of loss that may impact our financial position because of adverse changes in financial market prices and rates. Our market risk exposure is primarily a result of exposure resulting from potential changes in interest rates, exchange rates or inflation. We do not hold financial instruments for trading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2026, we had $58.8 million, in cash, cash equivalents and marketable securities, which consisted of cash, money market funds, and U.S. treasury bills.</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we had $80.5 million and $168.3 million, respectively, in cash, cash equivalents and marketable securities, which consisted of cash, money market funds, and U.S. treasury bills.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maintained in accounts with multiple financial institutions in the United States. We may maintain cash and cash equivalent balances in excess of Federal Deposit Insurance Corporation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279</w:t>
      </w:r>
    </w:p>
    <w:p>
      <w:pPr>
        <w:sectPr>
          <w:pgSz w:w="11900" w:h="16838" w:orient="portrait"/>
          <w:cols w:equalWidth="0" w:num="1">
            <w:col w:w="11080"/>
          </w:cols>
          <w:pgMar w:left="320" w:top="455" w:right="4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(FDIC) limits. We do not believe that we are subject to unusual credit risk beyond the normal credit risk associated with commercial banking relationships. Our primary exposure to market risk is interest rate sensitivity, which is affected by changes in the general level of U.S. interest rates.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All of our employees and our operations are currently located in the United States and our expenses are generally denominated in U.S. dollars. However, we do utilize certain vendors outside of the United States in connection with our research and development activities. As such, our expenses are denominated in both U.S. dollars and foreign currencies. Therefore, our operations are and will continue to be subject to fluctuations in foreign currency exchange rates. To date, foreign currency transaction gains and losses have not been material to our consolidated financial statements, and we have not had a formal hedging program with respect to foreign currency. We do not believe that a hypothetical 10% increase or decrease in exchange rates during any of the periods presented would have had a material effect on our consolidated financial statements included elsewhere in this prospectus.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Inflation generally affects us by increasing our labor and research and development expenses. We do not believe that inflation had a material effect on our business, financial condition, or results of operations during the years ended December 31, 2025 and December 31,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280</w:t>
      </w:r>
    </w:p>
    <w:p>
      <w:pPr>
        <w:sectPr>
          <w:pgSz w:w="11900" w:h="16838" w:orient="portrait"/>
          <w:cols w:equalWidth="0" w:num="1">
            <w:col w:w="11120"/>
          </w:cols>
          <w:pgMar w:left="320" w:top="455" w:right="45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 OF OBSIDIAN</w:t>
      </w:r>
    </w:p>
    <w:p>
      <w:pPr>
        <w:spacing w:after="0" w:line="22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sets forth the name, age and position of the individuals who serve as officers of Obsidian as of the date of this information statement/prospectus. The following also includes certain information regarding the individual experience, qualifications, attributes and skills of each individual as well as brief statements of those aspects of their backgrounds that led to conclusion that they are qualified to serve as director of Parent upon the closing of the mergers. </w:t>
      </w:r>
      <w:r>
        <w:rPr>
          <w:rFonts w:ascii="Times New Roman" w:cs="Times New Roman" w:eastAsia="Times New Roman" w:hAnsi="Times New Roman"/>
          <w:sz w:val="18"/>
          <w:szCs w:val="18"/>
          <w:i w:val="1"/>
          <w:iCs w:val="1"/>
          <w:color w:val="auto"/>
        </w:rPr>
        <w:t>Unless the context otherwise requires, references in this section to “we,” “us,” “our” and the “Company” refer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Obsidian.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Obsidian’s executive officers and directors as of May 19, 2026.</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Age</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0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Madan Jagasia, M.D., M.S.</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56</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Chief Executive Officer and Director</w:t>
            </w: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Julie Feder</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56</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Parameswaran Hari, M.D., M.S.</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58</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Development Officer</w:t>
            </w: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Dana Alexander, M.B.A.</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51</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Technical Officer</w:t>
            </w: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tc>
        <w:tc>
          <w:tcPr>
            <w:tcW w:w="20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Maria Fardis, Ph.D., M.B.A.</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58</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Chairperson of the Board</w:t>
            </w:r>
          </w:p>
        </w:tc>
      </w:tr>
      <w:tr>
        <w:trPr>
          <w:trHeight w:val="41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Peter Barrett, Ph.D.</w:t>
            </w:r>
            <w:r>
              <w:rPr>
                <w:rFonts w:ascii="Times New Roman" w:cs="Times New Roman" w:eastAsia="Times New Roman" w:hAnsi="Times New Roman"/>
                <w:sz w:val="26"/>
                <w:szCs w:val="26"/>
                <w:color w:val="auto"/>
                <w:vertAlign w:val="superscript"/>
              </w:rPr>
              <w:t>(1)</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73</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Heidi Hagen, M.B.A.</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57</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Matthew Norkunas, M.D., M.B.A.</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48</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Robert Ross, M.D.</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52</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Cariad Chester</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34</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32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Raymond Camahort, Ph.D.</w:t>
            </w:r>
          </w:p>
        </w:tc>
        <w:tc>
          <w:tcPr>
            <w:tcW w:w="20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48</w:t>
            </w:r>
          </w:p>
        </w:tc>
        <w:tc>
          <w:tcPr>
            <w:tcW w:w="2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01" w:lineRule="exact"/>
        <w:rPr>
          <w:sz w:val="20"/>
          <w:szCs w:val="20"/>
          <w:color w:val="auto"/>
        </w:rPr>
      </w:pPr>
    </w:p>
    <w:p>
      <w:pPr>
        <w:ind w:left="540" w:right="940" w:hanging="424"/>
        <w:spacing w:after="0" w:line="284" w:lineRule="auto"/>
        <w:tabs>
          <w:tab w:leader="none" w:pos="5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Barrett is a partner at Atlas Venture and a member of Obsidian’s Board. See the section “</w:t>
      </w:r>
      <w:r>
        <w:rPr>
          <w:rFonts w:ascii="Times New Roman" w:cs="Times New Roman" w:eastAsia="Times New Roman" w:hAnsi="Times New Roman"/>
          <w:sz w:val="18"/>
          <w:szCs w:val="18"/>
          <w:i w:val="1"/>
          <w:iCs w:val="1"/>
          <w:color w:val="auto"/>
        </w:rPr>
        <w:t>Certain Relationships and Related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beginning on page 302 of this information statement/prospectus.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7"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Madan Jagasia, M.D., M.S.</w:t>
      </w:r>
      <w:r>
        <w:rPr>
          <w:rFonts w:ascii="Times New Roman" w:cs="Times New Roman" w:eastAsia="Times New Roman" w:hAnsi="Times New Roman"/>
          <w:sz w:val="17"/>
          <w:szCs w:val="17"/>
          <w:color w:val="auto"/>
        </w:rPr>
        <w:t>, has served as Obsidian’s Chief Executive Officer and a member of the Obsidian Board since January 2023.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August 2020 to January 2023, Dr. Jagasia served in various roles at Iovance Biotherapeutics, Inc. (Nasdaq: IOVA), or Iovance, a biopharmaceutical company, and most recently as Executive Vice President, Medical Affairs. Previously, Dr. Jagasia worked at Vanderbilt University Medical Center since 2001 in various roles and most recently as Chief Medical Officer and Executive Medical Director of the Vanderbilt-Ingram Cancer Center, or VICC, where he co-led the Translational Research and Interventional Oncology Research Program at VICC. Dr. Jagasia holds a M.B.B.S. from the GS Medical College &amp; KEM Hospital and an M.S. and a Master of Management in Health Care Management from Vanderbilt University. We believe Dr. Jagasia is qualified to serve on the Parent Board because of his scientific and professional background and based on his current role as Chief Executive Officer.</w:t>
      </w:r>
    </w:p>
    <w:p>
      <w:pPr>
        <w:spacing w:after="0" w:line="171"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Julie Feder </w:t>
      </w:r>
      <w:r>
        <w:rPr>
          <w:rFonts w:ascii="Times New Roman" w:cs="Times New Roman" w:eastAsia="Times New Roman" w:hAnsi="Times New Roman"/>
          <w:sz w:val="18"/>
          <w:szCs w:val="18"/>
          <w:color w:val="auto"/>
        </w:rPr>
        <w:t>has served as Obsidian’s Chief Financial Officer since January 2026. Previously, from August 2018 to October 2024, she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of Aura Biosciences, Inc. (Nasdaq: AURA), a</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281</w:t>
      </w:r>
    </w:p>
    <w:p>
      <w:pPr>
        <w:sectPr>
          <w:pgSz w:w="11900" w:h="16838" w:orient="portrait"/>
          <w:cols w:equalWidth="0" w:num="1">
            <w:col w:w="11080"/>
          </w:cols>
          <w:pgMar w:left="320" w:top="455" w:right="4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biopharmaceutical company. Previously, Ms. Feder served as Chief Financial Officer at Verastem, Inc. (Nasdaq: VSTM), a biopharmaceutical company, from July 2017 to June 2018. Prior to joining Verastem, Ms. Feder served as the Chief Financial Officer at the Clinton Health Access Initiative, Inc. from September 2011 to July 2017. Ms. Feder began her career at Deloitte &amp; Touche LLP, where she was senior manager of Audit, Consulting and Enterprise Risk Services. Ms. Feder holds a B.S. in Accounting from Yeshiva University’s Sy Syms School of Business.</w:t>
      </w:r>
    </w:p>
    <w:p>
      <w:pPr>
        <w:spacing w:after="0" w:line="176"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Parameswaran Hari, M.D., M.S.</w:t>
      </w:r>
      <w:r>
        <w:rPr>
          <w:rFonts w:ascii="Times New Roman" w:cs="Times New Roman" w:eastAsia="Times New Roman" w:hAnsi="Times New Roman"/>
          <w:sz w:val="18"/>
          <w:szCs w:val="18"/>
          <w:color w:val="auto"/>
        </w:rPr>
        <w:t>, has served as Obsidian’s Chief Development Officer since January 2023. Previously, Dr. Hari served as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Vice President, Clinical Science at Iovance from November 2021 to January 2023. Prior to Iovance, Dr. Hari was the Chief of Hematology and Oncology at the Medical College of Wisconsin from March 2017 to November 2021. Dr. Hari also served the American Society of Transplantation and Cellular Therapy as its Secretary. Dr. Hari holds a M.B.B.S. from Kerala University, an M.D. from Central University of Pondicherry, and an M.S. from the Medical College of Wisconsin.</w:t>
      </w:r>
    </w:p>
    <w:p>
      <w:pPr>
        <w:spacing w:after="0" w:line="179"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Dana Alexander, M.B.A.</w:t>
      </w:r>
      <w:r>
        <w:rPr>
          <w:rFonts w:ascii="Times New Roman" w:cs="Times New Roman" w:eastAsia="Times New Roman" w:hAnsi="Times New Roman"/>
          <w:sz w:val="18"/>
          <w:szCs w:val="18"/>
          <w:color w:val="auto"/>
        </w:rPr>
        <w:t>, has served as Obsidian’s Chief Technical Officer since April 2024. Previously, Mr. Alexander served as Senior Vice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President of Technical Operations at AlloVir, Inc. (formerly Nasdaq: ALVR), a late-stage T cell therapy company, from September 2020 to April 2024. Prior to that, Mr. Alexander served as Vice President of Operations including Head of Business Operations, from January 2020 to September 2020 and Site General Manager, from January 2018 to January 2020 at Brammer Bio, now part of Thermo Fisher Scientific Inc. (NYSE: TMO). He also previously served as Chief Operations Officer at Anika Therapeutics, Inc. (Nasdaq: ANIK), a joint preservation company, and Senior Director of Manufacturing Operations at Genzyme, now part of Sanofi SA (Nasdaq: SNY), a global pharmaceutical company. Mr. Alexander holds a B.S. in Chemical Engineering from Northeastern University and an M.B.A. from Boston University.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Maria Fardis, Ph.D., M.B.A</w:t>
      </w:r>
      <w:r>
        <w:rPr>
          <w:rFonts w:ascii="Times New Roman" w:cs="Times New Roman" w:eastAsia="Times New Roman" w:hAnsi="Times New Roman"/>
          <w:sz w:val="18"/>
          <w:szCs w:val="18"/>
          <w:color w:val="auto"/>
        </w:rPr>
        <w:t>., is chairperson of the Obsidian Board and has served as a member of the Obsidian Board since October 2021.</w:t>
      </w:r>
    </w:p>
    <w:p>
      <w:pPr>
        <w:spacing w:after="0" w:line="3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Dr. Fardis has served as the Chief Executive Officer of AirNexus Therapeutics, a biotechnology company, since January 2026, and as a Venture Partner at Frazier Life Sciences Management, L.P., or Frazier, a healthcare investment firm, since September 2021. Dr. Fardis served as the Chief Executive Officer of Lassen Therapeutics, a biotechnology company, from April 2021 to January 2026. Dr. Fardis previously served as President and Chief Executive Officer of Iovance and as a member of its board of directors from June 2016 through June 2021. Dr. Fardis previously served as the Chief Operating Officer of Acerta Pharma B.V., a biopharmaceutical company, from January 2015 to March 2016. From April 2011 to December 2014, she worked at Pharmacyclics, Inc. (formerly Nasdaq: PCYC; acquired by AbbVie Inc.) in various roles and most recently served as Chief of Oncology Operations and Alliances. Prior to that, from 2001 to 2011, Dr. Fardis held increasingly senior positions in medicinal chemistry and project and portfolio management at Gilead Sciences, Inc. (Nasdaq: GILD). Dr. Fardis has served on the board of directors of CRISPR Therapeutics AG (Nasdaq: CRSP), a biopharmaceutical company, since June 2022. Dr. Fardis holds a B.S. in chemistry from the University of Illinois, Urbana-Champaign, a Ph.D. in Organic Chemistry from the University of California, Berkeley, and an M.B.A. from Golden Gate University. We believe Dr. Fardis is qualified to serve on the Parent Board because of her experience as an executive in the life sciences industry, extensive experience in drug development, and strong scientific background.</w:t>
      </w:r>
    </w:p>
    <w:p>
      <w:pPr>
        <w:spacing w:after="0" w:line="188"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Peter Barrett, Ph.D.</w:t>
      </w:r>
      <w:r>
        <w:rPr>
          <w:rFonts w:ascii="Times New Roman" w:cs="Times New Roman" w:eastAsia="Times New Roman" w:hAnsi="Times New Roman"/>
          <w:sz w:val="18"/>
          <w:szCs w:val="18"/>
          <w:color w:val="auto"/>
        </w:rPr>
        <w:t>, has served as a member of the Obsidian Board since September 2015. Since 2002, Dr. Barrett has worked at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early-stage life sciences venture capital fund, and is a partner in the life sciences group, where he has been involved in the creation of several therapeutic and drug discovery platform companies. Previously, he was a co-founder, Executive Vice President and Chief Business Officer of Celera Genomics. Dr. Barrett has served as the Chairman of Synlogic, Inc. (Nasdaq: SYBX), a biotechnology company, since 2017 and on the board of directors of Revvity, Inc. (NYSE: RVTY), a life sciences and diagnostics company, since 2012. Dr. Barrett is also on the Advisory Council of the Blavatnik Fellowship program. Dr. Barrett previously served on the board of Larimar Therapeutics, Inc. (Nasdaq: LRMR), a</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282</w:t>
      </w:r>
    </w:p>
    <w:p>
      <w:pPr>
        <w:sectPr>
          <w:pgSz w:w="11900" w:h="16838" w:orient="portrait"/>
          <w:cols w:equalWidth="0" w:num="1">
            <w:col w:w="11100"/>
          </w:cols>
          <w:pgMar w:left="320" w:top="455" w:right="4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biotechnology company, until 2023, and previously served on the board of Cadent Therapeutics (acquired by Novartis AG), Vitae Pharmaceuticals, Inc. (formerly Nasdaq: VTAE; acquired by Allergan PLC), Stromedix, Inc. (acquired by Biogen Idec), NovaMed Pharmaceuticals, Inc. (acquired by SciClone Pharmaceuticals, Inc.), Alnylam Pharmaceuticals, Inc. (Nasdaq: ALNY), Harbour Antibodies BV (acquired by Harbour BioMed), Momenta Pharmaceuticals, Inc. (Nasdaq: MNTA), Sirion Therapeutics, Inc. (acquired by Alcon Inc. and Bausch + Lomb Corporation), and Archemix (acquired by Baxter International Inc.). In addition, Dr. Barrett is a board member of Nucleate, a student run non-profit organization representing the global community of bio-innovators. Dr. Barrett holds a B.S. in chemistry from Lowell Technological Institute (now known as the University of Massachusetts, Lowell) and a Ph.D. in analytical chemistry from Northeastern University. We believe Dr. Barrett is qualified to serve on the Parent Board because of his extensive experience in the life sciences industry.</w:t>
      </w:r>
    </w:p>
    <w:p>
      <w:pPr>
        <w:spacing w:after="0" w:line="188"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Heidi Hagen, M.B.A.</w:t>
      </w:r>
      <w:r>
        <w:rPr>
          <w:rFonts w:ascii="Times New Roman" w:cs="Times New Roman" w:eastAsia="Times New Roman" w:hAnsi="Times New Roman"/>
          <w:sz w:val="18"/>
          <w:szCs w:val="18"/>
          <w:color w:val="auto"/>
        </w:rPr>
        <w:t>, has served as a member of Obsidian’s Board since November 2021. Ms. Hagen has over 30 years of experience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Industry primarily as an operations executive. Ms. Hagen has served as a member of the board of directors of Vericel Corporation (Nasdaq: VCEL; formerly known as Aastrom Biosciences, Inc.), a biopharmaceutical company, since August 2013. Ms. Hagen also serves as a member of the board of directors of Dimension Bio, Applied StemCell, Inc., and A-Alpha Bio, Inc. She previously served as the Chief Technical Officer of Sonoma Biotherapeutics, Inc., a biotechnology company, from November 2021 to June 2023. Prior to that, Ms. Hagen served as the Interim Chief Executive Officer and member of the board of directors of Ziopharm Oncology, Inc. (formerly Nasdaq: ZIOP; now Alaunos Therapeutics, Inc.), a biopharmaceutical company, from 2019 to 2021. Ms. Hagen also co-founded Vineti, Inc., a software platform company for cell and gene therapy supply chain management, where she served as Advisor and Chief Strategy Officer from 2015 to 2021. Prior to those experiences, Ms. Hagen was Senior Vice President of Operations at Dendreon (2002 to 2012) where she oversaw the commercialization of the first active cellular therapy, Provenge. And, she held various operational and project management roles at Immunex Corporation from 1993 to 2002. Ms. Hagen holds a B.S. in cell biology, an M.S. in bioengineering, and an M.B.A. from the University of Washington. We believe Ms. Hagen is qualified to serve on the Parent Board because of her significant leadership experience in the biopharmaceutical industry.</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Matthew Norkunas, M.D., M.B.A.</w:t>
      </w:r>
      <w:r>
        <w:rPr>
          <w:rFonts w:ascii="Times New Roman" w:cs="Times New Roman" w:eastAsia="Times New Roman" w:hAnsi="Times New Roman"/>
          <w:sz w:val="18"/>
          <w:szCs w:val="18"/>
          <w:color w:val="auto"/>
        </w:rPr>
        <w:t>, has served as a member of the Obsidian Board since April 2023. Since January 2025, Dr. Norkunas has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Chief Financial Officer and President of Tubulis, Inc., a biotechnology company. From July 2020 to January 2025, Dr. Norkunas served as the Chief Financial Officer of Generation Bio Co. (formerly Nasdaq: GBIO; acquired by XOMA Royalty Corporation), a genetics medicine company. Previously, Dr. Norkunas served as the Chief Financial Officer and Head of Corporate and Business Development at SomaLogic, Inc. (acquired by Illumina, Inc.), a protein biomarker discovery and clinical diagnostics company, from February 2016 to June 2020. From July 2012 to January 2016, Dr. Norkunas served as a senior equity analyst at Marsico Capital Management, LLC, an investment company, where he served as the firm’s primary health care investment specialist. Dr. Norkunas began his career as a practicing anesthesiologist. Dr. Norkunas holds a B.A. from St. Mary’s College of Maryland, an M.D. from University of Maryland School of Medicine, and an M.B.A. from Columbia Business School. We believe Dr. Norkunas is qualified to serve on the Parent Board because of his significant financial experience of biotechnology companies and clinical background.</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Robert Ross, M.D.</w:t>
      </w:r>
      <w:r>
        <w:rPr>
          <w:rFonts w:ascii="Times New Roman" w:cs="Times New Roman" w:eastAsia="Times New Roman" w:hAnsi="Times New Roman"/>
          <w:sz w:val="18"/>
          <w:szCs w:val="18"/>
          <w:color w:val="auto"/>
        </w:rPr>
        <w:t>, has served as a member of the Obsidian Board since September 2020. Since November 2023, Dr. Ross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Clasp Therapeutics, Inc., a pharmaceutical company. Prior to that, Dr. Ross served as the Chief Executive Officer and a member of board of directors of Surface Oncology, Inc. (formerly Nasdaq: SURF; acquired by Coherus BioSciences, Inc.), an immuno-oncology company, from April 2021 until July 2023 and had previously served as the Chief Medical Officer from October 2016 to March 2021. Dr. Ross served as Head of Oncology at bluebird bio, Inc. (formerly Nasdaq: BLUE; now Genetix Biotherapeutics, Inc.) from October 2015 to October 2016, Senior Vice President of Clinical Development and Pharmacovigilance from January 2015 to October 2016, and Vice President of Clinical Development from October 2012 to January 2015. Prior to that, he worked at Infinity Pharmaceuticals, Inc. from October 2007 to October 2012. Dr. Ross was a Fellow in Medical Oncology and a faculty member at the Dana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283</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Farber Cancer Institute from July 2003 to August 2007, and then maintained a clinical practice at Dana Farber Cancer Institute from August 2007 to October 2015. Dr. Ross has served on the board of directors of Xilio Therapeutics, Inc. (Nasdaq: XLO), a biotechnology company, since June 2022. Dr. Ross holds a B.S. in Biological Sciences and a B.A. in Philosophy from Stanford University, an M.S. in Medical Science as part of the Clinical Investigator Training Program from Harvard Medical School, and an M.D. from Columbia University College of Physicians and Surgeons. He completed his residency training in Internal Medicine at the University of California, San Francisco. We believe that Dr. Ross is qualified to serve on the Parent Board because of his extensive executive experience in the life science industry and clinical background.</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Cariad Chester </w:t>
      </w:r>
      <w:r>
        <w:rPr>
          <w:rFonts w:ascii="Times New Roman" w:cs="Times New Roman" w:eastAsia="Times New Roman" w:hAnsi="Times New Roman"/>
          <w:sz w:val="18"/>
          <w:szCs w:val="18"/>
          <w:color w:val="auto"/>
        </w:rPr>
        <w:t>has served as a member of the Obsidian Board since September 2021. Since February 2021, Mr. Chester has served as a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is currently serving as Managing Partner at The Column Group Crossover, a science-driven investment firm, or TCGX. Prior to TCGX, from January 2015 to December 2021, Mr. Chester served as Managing Director of Aquilo Capital Management, LLC, an investment firm, where he led investments in biotechnology companies developing human therapeutics. Mr. Chester previously served as a member of the board of directors of Tourmaline Bio, Inc. (formerly Nasdaq: TRML; acquired by Novartis AG) from May 2023 until November 2023. Mr. Chester holds a B.A. from Swarthmore College in Neuroscience and Comparative Religious Studies. Mr. Chester has notified the board of directors that he will resign from the board of directors of Obsidian immediately prior to the closing of the mergers. Mr. Chester’s resignation is not due to any disagreement with Obsidian or any matters relating to our operations, policies or practices.</w:t>
      </w:r>
    </w:p>
    <w:p>
      <w:pPr>
        <w:spacing w:after="0" w:line="185"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Raymond Camahort, Ph.D.</w:t>
      </w:r>
      <w:r>
        <w:rPr>
          <w:rFonts w:ascii="Times New Roman" w:cs="Times New Roman" w:eastAsia="Times New Roman" w:hAnsi="Times New Roman"/>
          <w:sz w:val="18"/>
          <w:szCs w:val="18"/>
          <w:color w:val="auto"/>
        </w:rPr>
        <w:t>, has served as a member of the Obsidian Board since March 2024. Dr. Camahort has been employed at Novo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Ventures (US), Inc., an investment firm, since 2015, where he served as an associate from 2015 to 2019, a principal from January 2020 to January 2022, and a partner since January 2022. Dr. Camahort has previously served on the board of directors of Arcellx, Inc. (Nasdaq: ACLX), a biotechnology company, from November 2021 to February 2022. Dr. Camahort has also served as Chairman of Ray Therapeutics, Inc. since May 2023 and as a member of the board directors of OnCusp Therapeutics since January 2024, of iECURE, Inc. since November 2022, and of Newleos Therapeutics, Inc. since February 2025. Dr. Camahort previously served on the board of directors of Inspirna, Inc. (formerly known as Rgenix, Inc.) from September 2017 through April 2025, Clasp Therapeutics from November 2023 through September 2024, Riva Therapeutics from August 2022 through May 2023, and Arcellx, Inc. from March 2019 through February 2022. Dr. Camahort completed a National Institute of Health post-doctoral training fellowship at Harvard University from July 2009 to September 2013 while concurrently holding a business development position at Partners Research Ventures &amp; Licensing (now Partners HealthCare Innovation) from February 2013 to August 2013. Dr. Camahort holds a B.S. in biological sciences from the University of California Santa Barbara and a Ph.D. from the University of Kansas in biochemistry and molecular biology. Dr. Camahort has notified the board of directors that he will resign from the board of directors of Obsidian immediately prior to the closing of the mergers. Dr. Camahort’s resignation is not due to any disagreement with Obsidian or any matters relating to our operations, policies or practices.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284</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OF OBSIDIAN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and accompanying footnotes set forth certain information with respect to the beneficial ownership of Obsidian common stock as of May 19, 2026 for:</w:t>
      </w:r>
    </w:p>
    <w:p>
      <w:pPr>
        <w:spacing w:after="0" w:line="67" w:lineRule="exact"/>
        <w:rPr>
          <w:sz w:val="20"/>
          <w:szCs w:val="20"/>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Obsidian’s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Obsidian’s named executive officers;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Obsidian’s directors and executive officers as a group;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beneficially owned more than 5% of Obsidian’s outstanding shares of common stock.</w:t>
      </w:r>
    </w:p>
    <w:p>
      <w:pPr>
        <w:spacing w:after="0" w:line="225"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Obsidian has determined beneficial ownership in accordance with the rules of the Securities and Exchange Commission, and the information is not necessarily indicative of beneficial ownership for any other purpose. Except as indicated by the footnotes below, Obsidian believes, based on information furnished to it, that the persons and entities named in the table below have sole voting and sole investment power with respect to all shares of common stock that they beneficially owned, subject to applicable community property laws.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prior to the completion of the Merger is based on 230,163,361 shares of Obsidian common stock outstanding as of May 19, 2026 after giving effect to the conversion of all outstanding shares of Obsidian’s Preferred Stock (including warrants convertible into 22,124 shares of Obsidian common stock) into an aggregate of 207,975,026 shares of Obsidian common stock.</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computing the number of shares of common stock beneficially owned by a person and the percentage ownership of that person, Obsidian deemed to be outstanding all shares of common stock subject to options held by that person or entity that are currently exercisable or that will become exercisable within 60 days of May 19, 2026. Obsidian did not deem these shares outstanding, however, for the purpose of computing the percentage ownership of any other person. Unless otherwise indicated, the address of each beneficial owner listed in the table below is c/o Obsidian, 1030 Massachusetts Ave., Cambridge, MA 02138.</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20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3"/>
        </w:trPr>
        <w:tc>
          <w:tcPr>
            <w:tcW w:w="3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560" w:type="dxa"/>
            <w:vAlign w:val="bottom"/>
          </w:tcPr>
          <w:p>
            <w:pPr>
              <w:spacing w:after="0"/>
              <w:rPr>
                <w:sz w:val="15"/>
                <w:szCs w:val="15"/>
                <w:color w:val="auto"/>
              </w:rPr>
            </w:pPr>
          </w:p>
        </w:tc>
        <w:tc>
          <w:tcPr>
            <w:tcW w:w="20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Prior to the Merger</w:t>
            </w: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2560" w:type="dxa"/>
            <w:vAlign w:val="bottom"/>
          </w:tcPr>
          <w:p>
            <w:pPr>
              <w:spacing w:after="0"/>
              <w:rPr>
                <w:sz w:val="12"/>
                <w:szCs w:val="12"/>
                <w:color w:val="auto"/>
              </w:rPr>
            </w:pPr>
          </w:p>
        </w:tc>
        <w:tc>
          <w:tcPr>
            <w:tcW w:w="1340" w:type="dxa"/>
            <w:vAlign w:val="bottom"/>
            <w:tcBorders>
              <w:top w:val="single" w:sz="8" w:color="auto"/>
            </w:tcBorders>
            <w:gridSpan w:val="2"/>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25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Atlas Venture (1)</w:t>
            </w:r>
          </w:p>
        </w:tc>
        <w:tc>
          <w:tcPr>
            <w:tcW w:w="3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31,054,416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RA Capital (2)</w:t>
            </w:r>
          </w:p>
        </w:tc>
        <w:tc>
          <w:tcPr>
            <w:tcW w:w="3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20,478,994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Deep Track Biotechnology Master Fund, Ltd. (3)</w:t>
            </w:r>
          </w:p>
        </w:tc>
        <w:tc>
          <w:tcPr>
            <w:tcW w:w="3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17,948,730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TCG Crossover Fund I, L.P. (4)</w:t>
            </w:r>
          </w:p>
        </w:tc>
        <w:tc>
          <w:tcPr>
            <w:tcW w:w="3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15,879,523</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6.90%</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Celgene Corporation (5)</w:t>
            </w:r>
          </w:p>
        </w:tc>
        <w:tc>
          <w:tcPr>
            <w:tcW w:w="3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11,740,020</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90"/>
        </w:trPr>
        <w:tc>
          <w:tcPr>
            <w:tcW w:w="3800" w:type="dxa"/>
            <w:vAlign w:val="bottom"/>
          </w:tcPr>
          <w:p>
            <w:pPr>
              <w:spacing w:after="0"/>
              <w:rPr>
                <w:sz w:val="7"/>
                <w:szCs w:val="7"/>
                <w:color w:val="auto"/>
              </w:rPr>
            </w:pPr>
          </w:p>
        </w:tc>
        <w:tc>
          <w:tcPr>
            <w:tcW w:w="2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2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Madan Jagasia, M.D., M.S. (6)</w:t>
            </w:r>
          </w:p>
        </w:tc>
        <w:tc>
          <w:tcPr>
            <w:tcW w:w="3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8,605,236</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Parameswaran Hari, M.D., M.S. (7)</w:t>
            </w:r>
          </w:p>
        </w:tc>
        <w:tc>
          <w:tcPr>
            <w:tcW w:w="3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2,312,932</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Dana Alexander, M.B.A. (8)</w:t>
            </w:r>
          </w:p>
        </w:tc>
        <w:tc>
          <w:tcPr>
            <w:tcW w:w="3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1,337,425</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Fardis, Ph.D., M.B.A. (9)</w:t>
            </w:r>
          </w:p>
        </w:tc>
        <w:tc>
          <w:tcPr>
            <w:tcW w:w="3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973,750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Heidi Hagen, M.B.A. (10)</w:t>
            </w:r>
          </w:p>
        </w:tc>
        <w:tc>
          <w:tcPr>
            <w:tcW w:w="3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348,750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Norkunas, M.D., M.B.A. (11)</w:t>
            </w:r>
          </w:p>
        </w:tc>
        <w:tc>
          <w:tcPr>
            <w:tcW w:w="3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187,500</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Robert Ross, M.D. (12)</w:t>
            </w:r>
          </w:p>
        </w:tc>
        <w:tc>
          <w:tcPr>
            <w:tcW w:w="3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436,250</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Barrett, Ph.D. (13)</w:t>
            </w:r>
          </w:p>
        </w:tc>
        <w:tc>
          <w:tcPr>
            <w:tcW w:w="390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31,054,416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Cariad Chester (14)</w:t>
            </w:r>
          </w:p>
        </w:tc>
        <w:tc>
          <w:tcPr>
            <w:tcW w:w="390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15,879,523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346"/>
        </w:trPr>
        <w:tc>
          <w:tcPr>
            <w:tcW w:w="3800" w:type="dxa"/>
            <w:vAlign w:val="bottom"/>
          </w:tcPr>
          <w:p>
            <w:pPr>
              <w:spacing w:after="0"/>
              <w:rPr>
                <w:sz w:val="24"/>
                <w:szCs w:val="24"/>
                <w:color w:val="auto"/>
              </w:rPr>
            </w:pPr>
          </w:p>
        </w:tc>
        <w:tc>
          <w:tcPr>
            <w:tcW w:w="256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285</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4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3"/>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660" w:type="dxa"/>
            <w:vAlign w:val="bottom"/>
          </w:tcPr>
          <w:p>
            <w:pPr>
              <w:spacing w:after="0"/>
              <w:rPr>
                <w:sz w:val="15"/>
                <w:szCs w:val="15"/>
                <w:color w:val="auto"/>
              </w:rPr>
            </w:pPr>
          </w:p>
        </w:tc>
        <w:tc>
          <w:tcPr>
            <w:tcW w:w="244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Prior to the Merger</w:t>
            </w: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64"/>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Camahort, Ph.D. (15)</w:t>
            </w:r>
          </w:p>
        </w:tc>
        <w:tc>
          <w:tcPr>
            <w:tcW w:w="6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10,537,963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(11 persons) (16)</w:t>
            </w:r>
          </w:p>
        </w:tc>
        <w:tc>
          <w:tcPr>
            <w:tcW w:w="2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71,673,745</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hanging="424"/>
        <w:spacing w:after="0" w:line="265" w:lineRule="auto"/>
        <w:tabs>
          <w:tab w:leader="none" w:pos="54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1,771,322 shares of Obsidian common stock issuable upon conversion of Series A-1 preferred stock held by Atlas Venture Opportunity Fund I, L.P., or Atlas I, (ii) 5,960,264 shares of Obsidian common stock issuable upon conversion of Series B preferred stock held by Atlas I, (iii) 4,215,815 shares of Obsidian common stock issuable upon conversion of Series C preferred stock held by Atlas Venture Opportunity Fund II, L.P., or Atlas II, (iv) 4,500,000 shares of Obsidian common stock held by Atlas Venture Fund X, L.P., or Atlas X, (v) 1,771,332 shares of Obsidian common stock issuable upon conversion of Series A-1 preferred stock held by Atlas X and (vi) 12,836,323 shares of Obsidian common stock issuable upon conversion of Series A-2 preferred stock held by Atlas X. The general partner of Atlas I is Atlas Venture Associates Opportunity I, L.P., or AVAO I, and the general partner of AVAO I is Atlas Venture Associates Opportunity I, LLC, or AVAO I LLC. The general partner of Atlas II is Atlas Venture Associates Opportunity II, L.P., or AVAO II, and the general partner of AVAO II is Atlas Venture Associates Opportunity II, LLC, or AVAO II LLC. The general partner of Atlas X is Atlas Venture Associates X, L.P., or AVA X, and the general partner of AVA X is Atlas Venture Associates X, LLC, or AVA X LLC. Kevin Bitterman, Ph.D., is a member of AVAO I LLC and AVAO II LLC. Michael Gladstone is a member of AVAO II LLC. Bruce Booth, D.Phil., David Grayzel, M.D., Jean-Francois Formela, M.D. and Jason Rhodes are members of AVA X LLC, AVAO I LLC and AVAO II LLC. Dr. Peter Barrett is a member of AVA X LLC. By virtue of these relationships, each of AVA X, AVA X LLC, AVAO I, AVAO I LLC, AVAO II, AVAO II LLC may be deemed to beneficially own the shares held by Atlas I or Atlas II or Atlas X.</w:t>
      </w:r>
    </w:p>
    <w:p>
      <w:pPr>
        <w:spacing w:after="0" w:line="2" w:lineRule="exact"/>
        <w:rPr>
          <w:rFonts w:ascii="Times New Roman" w:cs="Times New Roman" w:eastAsia="Times New Roman" w:hAnsi="Times New Roman"/>
          <w:sz w:val="17"/>
          <w:szCs w:val="17"/>
          <w:color w:val="auto"/>
        </w:rPr>
      </w:pPr>
    </w:p>
    <w:p>
      <w:pPr>
        <w:ind w:left="540" w:right="1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Dr. Bitterman, Dr. Booth, Dr. Grayzel, Dr. Formela and Mr. Rhodes may be deemed to beneficially own the shares held by Atlas I and Atlas II. Mr. Gladstone may be deemed to beneficially own the shares held by Atlas II. Dr. Barrett, Dr. Booth, Dr. Grayzel, Dr. Formela and Mr. Rhodes may be deemed to beneficially own the shares held by Atlas X. The address of Atlas I, Atlas II, Atlas X, AVAO I, AVAO I LLC, AVAO II, AVAO II LLC, AVA X and AVA X LLC is 300 Technology Square, 8th Floor, Cambridge, MA 02139.</w:t>
      </w:r>
    </w:p>
    <w:p>
      <w:pPr>
        <w:spacing w:after="0" w:line="1" w:lineRule="exact"/>
        <w:rPr>
          <w:rFonts w:ascii="Times New Roman" w:cs="Times New Roman" w:eastAsia="Times New Roman" w:hAnsi="Times New Roman"/>
          <w:sz w:val="17"/>
          <w:szCs w:val="17"/>
          <w:color w:val="auto"/>
        </w:rPr>
      </w:pPr>
    </w:p>
    <w:p>
      <w:pPr>
        <w:ind w:left="540" w:right="100" w:hanging="424"/>
        <w:spacing w:after="0" w:line="250"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3,777,483 shares of Obsidian common stock issuable upon conversion of Series B preferred stock held by RA Capital Nexus Fund II, L.P., (ii) 2,766,215 shares of Obsidian common stock issuable upon conversion of Series C preferred stock held by RA Capital Nexus Fund II, L.P., (iii) 7,850,794 shares of Obsidian common stock issuable upon conversion of Series B preferred stock held by RA Capital Healthcare Fund, L.P., and 6,454,502 shares of Obsidian common stock issuable upon conversion of Series C preferred stock held by RA Capital Healthcare Fund, L.P. RA Capital Management, L.P., is the investment manager for RA Capital Nexus Fund II, L.P., and RA Capital Healthcare Fund, L.P. Peter Kolchinsky, Ph.D. and Rajeev Shah are the managing members of RA Capital Management GP, LLC. Each of Dr. Kolchisky and Mr. Shah disclaims beneficial ownership of the securities held by RA Capital Nexus Fund II, L.P., and RA Capital Healthcare Fund, L.P., except to the extent of any pecuniary interest therein, if any. The address of RA Capital Nexus Fund II, L.P., and RA Capital Healthcare Fund, L.P., is 200 Berkeley Street, 18th Floor, Boston MA 02116.</w:t>
      </w:r>
    </w:p>
    <w:p>
      <w:pPr>
        <w:spacing w:after="0" w:line="3"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3,430,000 shares of Obsidian common stock held by Deep Track Biotechnology Master Fund, Ltd., or Deep Track, (ii) 5,298,013 shares of Obsidian common stock issuable upon conversion of Series B preferred stock held by Deep Track and (iii) 9,220,717 shares of Obsidian common stock issuable upon conversion of Series C preferred stock held by Deep Track. The address of Deep Track is 200 Greenwich Avenue, 3rd Floor, Greenwich, CT 06830.</w:t>
      </w:r>
    </w:p>
    <w:p>
      <w:pPr>
        <w:spacing w:after="0" w:line="1" w:lineRule="exact"/>
        <w:rPr>
          <w:rFonts w:ascii="Times New Roman" w:cs="Times New Roman" w:eastAsia="Times New Roman" w:hAnsi="Times New Roman"/>
          <w:sz w:val="18"/>
          <w:szCs w:val="18"/>
          <w:color w:val="auto"/>
        </w:rPr>
      </w:pPr>
    </w:p>
    <w:p>
      <w:pPr>
        <w:ind w:left="540" w:right="260" w:hanging="424"/>
        <w:spacing w:after="0" w:line="255" w:lineRule="auto"/>
        <w:tabs>
          <w:tab w:leader="none" w:pos="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13,245,033 shares of Obsidian common stock issuable upon conversion of Obsidian Series B preferred stock held by TCG Crossover Fund I, L.P., and (ii) 2,634,490 shares of Obsidian common stock issuable upon conversion of Series C preferred stock held by TCG Crossover Fund I, L.P. TCG Crossover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286</w:t>
      </w:r>
    </w:p>
    <w:p>
      <w:pPr>
        <w:sectPr>
          <w:pgSz w:w="11900" w:h="16838" w:orient="portrait"/>
          <w:cols w:equalWidth="0" w:num="1">
            <w:col w:w="11120"/>
          </w:cols>
          <w:pgMar w:left="320" w:top="455" w:right="45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160"/>
        <w:spacing w:after="0" w:line="257" w:lineRule="auto"/>
        <w:rPr>
          <w:sz w:val="20"/>
          <w:szCs w:val="20"/>
          <w:color w:val="auto"/>
        </w:rPr>
      </w:pPr>
      <w:r>
        <w:rPr>
          <w:rFonts w:ascii="Times New Roman" w:cs="Times New Roman" w:eastAsia="Times New Roman" w:hAnsi="Times New Roman"/>
          <w:sz w:val="18"/>
          <w:szCs w:val="18"/>
          <w:color w:val="auto"/>
        </w:rPr>
        <w:t>GP I, LLC, is the general partner of TCG Crossover Fund I, L.P. Chen Yu, M.D., M.B.A., is the sole managing member of TCG Crossover GP I, LLC. By virtue of such relationships, TCG Crossover GP I, LLC, and Dr. Yu may be deemed to have beneficial ownership over such shares. The address of TCG Crossover Fund I, L.P., is 245 Lytton Avenue, Suite 350, Palo Alto, CA 94301.</w:t>
      </w:r>
    </w:p>
    <w:p>
      <w:pPr>
        <w:spacing w:after="0" w:line="1" w:lineRule="exact"/>
        <w:rPr>
          <w:sz w:val="20"/>
          <w:szCs w:val="20"/>
          <w:color w:val="auto"/>
        </w:rPr>
      </w:pPr>
    </w:p>
    <w:p>
      <w:pPr>
        <w:ind w:left="540" w:right="20" w:hanging="424"/>
        <w:spacing w:after="0" w:line="250"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2,113,509 shares of Obsidian common stock issuable upon conversion of Obsidian Series A-1 preferred stock held by Celgene Corporation, (ii) 6,146,592 shares of Obsidian common stock issuable upon conversion of Obsidian Series A-3 preferred stock held by Celgene Corporation, (iii) 1,372,327 shares of Obsidian common stock issuable upon conversion of Series B preferred stock held by Celgene Corporation and (iv) 2,107,592 shares of Obsidian common stock issuable upon conversion of Series C preferred stock held by Celgene Corporation. Certain Bristol-Myers Squibb Company employees have been authorized by the Bristol-Myers Squibb Company board of directors to execute equity-related documentation on behalf of Celgene Corporation. The address of Celgene Corporation is Route 206 and Province Line Road, Princeton, NJ 08543.</w:t>
      </w:r>
    </w:p>
    <w:p>
      <w:pPr>
        <w:spacing w:after="0" w:line="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8,605,236 shares of Obsidian common stock are exercisable within 60 days of May 19,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2,312,932 shares of Obsidian common stock that are exercisable within 60 days of May 19,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1,337,425 shares of Obsidian common stock that are exercisable within 60 days of May 19,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973,750 shares of Obsidian common stock that are exercisable within 60 days of May 19,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369,844 shares of Obsidian common stock that are exercisable within 60 days of May 19, 2026.</w:t>
      </w:r>
    </w:p>
    <w:p>
      <w:pPr>
        <w:spacing w:after="0" w:line="9" w:lineRule="exact"/>
        <w:rPr>
          <w:rFonts w:ascii="Times New Roman" w:cs="Times New Roman" w:eastAsia="Times New Roman" w:hAnsi="Times New Roman"/>
          <w:sz w:val="18"/>
          <w:szCs w:val="18"/>
          <w:color w:val="auto"/>
        </w:rPr>
      </w:pPr>
    </w:p>
    <w:p>
      <w:pPr>
        <w:ind w:left="540" w:right="840" w:hanging="424"/>
        <w:spacing w:after="0" w:line="250"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30,937 shares of Obsidian common stock and (ii) options to purchase 156,563 shares of Obsidian common stock that are exercisable within 60 days of May 19, 2026.</w:t>
      </w:r>
    </w:p>
    <w:p>
      <w:pPr>
        <w:ind w:left="540" w:hanging="424"/>
        <w:spacing w:after="0"/>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436,250 shares of Obsidian common stock that are exercisable within 60 days of May 19, 2026.</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4,500,000 shares of Obsidian common stock held by Atlas X, (ii) 1,771,332 shares of Obsidian common stock issuable upon conversion of Series A-1 preferred stock held by Atlas X, (iii) 12,836,323 shares of Obsidian common stock issuable upon conversion of Series A-2 preferred stock held by Atlas X. Dr. Barrett disclaims Section 16 beneficial ownership of the securities held by Atlas X, except to the extent of his pecuniary interest therein, if any.</w:t>
      </w:r>
    </w:p>
    <w:p>
      <w:pPr>
        <w:spacing w:after="0" w:line="1" w:lineRule="exact"/>
        <w:rPr>
          <w:rFonts w:ascii="Times New Roman" w:cs="Times New Roman" w:eastAsia="Times New Roman" w:hAnsi="Times New Roman"/>
          <w:sz w:val="18"/>
          <w:szCs w:val="18"/>
          <w:color w:val="auto"/>
        </w:rPr>
      </w:pPr>
    </w:p>
    <w:p>
      <w:pPr>
        <w:ind w:left="540" w:right="160" w:hanging="424"/>
        <w:spacing w:after="0" w:line="250"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13,245,033 shares of Obsidian common stock issuable upon conversion of Obsidian Series B preferred stock held by TCG Crossover Fund I, L.P., and (ii) 2,634,490 shares of Obsidian common stock issuable upon conversion of Series C preferred stock held by TCG Crossover Fund I, L.P. Mr. Chester disclaims Section 16 beneficial ownership of the securities held by TCG Crossover Fund I, L.P., except to the extent of his pecuniary interest therein, if any.</w:t>
      </w:r>
    </w:p>
    <w:p>
      <w:pPr>
        <w:spacing w:after="0" w:line="1" w:lineRule="exact"/>
        <w:rPr>
          <w:rFonts w:ascii="Times New Roman" w:cs="Times New Roman" w:eastAsia="Times New Roman" w:hAnsi="Times New Roman"/>
          <w:sz w:val="18"/>
          <w:szCs w:val="18"/>
          <w:color w:val="auto"/>
        </w:rPr>
      </w:pPr>
    </w:p>
    <w:p>
      <w:pPr>
        <w:jc w:val="both"/>
        <w:ind w:left="540" w:right="180" w:hanging="424"/>
        <w:spacing w:after="0" w:line="250"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10,537,963 shares of Obsidian common stock issuable upon conversion of Obsidian Series C preferred stock held by Novo Holdings A/S. Dr. Camahort disclaims Section 16 beneficial ownership of the securities held by Novo Holdings A/S, except to the extent of his pecuniary interest therein, if any.</w:t>
      </w:r>
    </w:p>
    <w:p>
      <w:pPr>
        <w:spacing w:after="0" w:line="1"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4,530,937 shares of Obsidian common stock, (ii) 3,542,644 shares of Obsidian common stock issuable upon conversion of Series A-1 preferred stock, (iii) 12,836,323 shares of Obsidian common stock issuable upon conversion of Series A-2 preferred stock, (iv) 19,205,297 shares of Obsidian common stock issuable upon conversion of Series B preferred stock, (v) 17,387,638 shares of Obsidian common stock issuable upon conversion of Series C preferred stock and (vi) options to purchase 16,989,014 shares of Obsidian common stock that are exercisable within 60 days of May 19, 2026.</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287</w:t>
      </w:r>
    </w:p>
    <w:p>
      <w:pPr>
        <w:sectPr>
          <w:pgSz w:w="11900" w:h="16838" w:orient="portrait"/>
          <w:cols w:equalWidth="0" w:num="1">
            <w:col w:w="11140"/>
          </w:cols>
          <w:pgMar w:left="320" w:top="455" w:right="4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 OF OBSIDIAN</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“our” and the “Company” refer to Obsidian.</w:t>
      </w:r>
    </w:p>
    <w:p>
      <w:pPr>
        <w:spacing w:after="0" w:line="22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contains forward looking statements that are based on Obsidian’s current plans, considerations, expectations, and determinations regarding future compensation programs. The actual amount and form of compensation and the compensation policies and practices that we adopt following the completion of the mergers may differ materially from the programs as summarized in this discussion.</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an emerging growth company, we have opted to comply with the executive compensation disclosure rules applicable to “emerging growth companies” as such terms are defined in the rules promulgated under the Securities Act. The compensation provided to our named executive officers for the fiscal year ended December 31, 2025 (“Fiscal Year 2025”) is detailed in the 2025 Summary Compensation Table and accompanying footnotes and narrative that follow.</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Obsidian’s executive officers who served as executive officers during Fiscal Year 2025 and will serve as executive officers of the combined company upon the closing of the mergers are:</w:t>
      </w:r>
    </w:p>
    <w:p>
      <w:pPr>
        <w:spacing w:after="0" w:line="67" w:lineRule="exact"/>
        <w:rPr>
          <w:sz w:val="20"/>
          <w:szCs w:val="20"/>
          <w:color w:val="auto"/>
        </w:rPr>
      </w:pPr>
    </w:p>
    <w:p>
      <w:pPr>
        <w:ind w:left="1540" w:hanging="439"/>
        <w:spacing w:after="0"/>
        <w:tabs>
          <w:tab w:leader="none" w:pos="1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Madan Jagasia, M.D., M.S., our Chief Executive Officer;</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Dana Alexander, Obsidian’s Chief Technical Officer ; and</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Parameswaran Hari, M.D., M.S., Obsidian’s Chief Medical Officer.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refer to these executive officers as Obsidian’s named executive officers.</w:t>
      </w:r>
    </w:p>
    <w:p>
      <w:pPr>
        <w:spacing w:after="0" w:line="225"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To date, the compensation of Obsidian’s named executive officers has primarily consisted of a combination of base salary, annual cash incentive compensation, and long-term incentive compensation, as described in more detail below. Obsidian’s executive officers, like all full-time employees, are eligible to participate in Obsidian’s health, welfare and retirement benefit plans.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total compensation earned by, or paid to, Obsidian’s named executive officers for services rendered to Obsidian in all capacities during Fiscal Year 2025:</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280" w:type="dxa"/>
            <w:vAlign w:val="bottom"/>
            <w:gridSpan w:val="2"/>
            <w:vMerge w:val="restart"/>
          </w:tcPr>
          <w:p>
            <w:pPr>
              <w:jc w:val="center"/>
              <w:ind w:right="33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Option Awards</w:t>
            </w: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28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22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80" w:type="dxa"/>
            <w:vAlign w:val="bottom"/>
            <w:gridSpan w:val="2"/>
          </w:tcPr>
          <w:p>
            <w:pPr>
              <w:jc w:val="center"/>
              <w:ind w:right="333"/>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40" w:type="dxa"/>
            <w:vAlign w:val="bottom"/>
          </w:tcPr>
          <w:p>
            <w:pPr>
              <w:jc w:val="right"/>
              <w:ind w:right="15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right"/>
              <w:ind w:right="103"/>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5"/>
                <w:szCs w:val="15"/>
                <w:color w:val="auto"/>
              </w:rPr>
            </w:pPr>
          </w:p>
        </w:tc>
        <w:tc>
          <w:tcPr>
            <w:tcW w:w="920" w:type="dxa"/>
            <w:vAlign w:val="bottom"/>
          </w:tcPr>
          <w:p>
            <w:pPr>
              <w:jc w:val="right"/>
              <w:ind w:right="243"/>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24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0" w:type="dxa"/>
            <w:vAlign w:val="bottom"/>
          </w:tcPr>
          <w:p>
            <w:pPr>
              <w:spacing w:after="0"/>
              <w:rPr>
                <w:sz w:val="15"/>
                <w:szCs w:val="15"/>
                <w:color w:val="auto"/>
              </w:rPr>
            </w:pPr>
          </w:p>
        </w:tc>
        <w:tc>
          <w:tcPr>
            <w:tcW w:w="780" w:type="dxa"/>
            <w:vAlign w:val="bottom"/>
          </w:tcPr>
          <w:p>
            <w:pPr>
              <w:jc w:val="right"/>
              <w:ind w:right="21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Madan Jagasia, M.D., M.S.</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2025</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559,728</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195,905</w:t>
            </w:r>
          </w:p>
        </w:tc>
        <w:tc>
          <w:tcPr>
            <w:tcW w:w="2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500,137</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60,000</w:t>
            </w:r>
          </w:p>
        </w:tc>
        <w:tc>
          <w:tcPr>
            <w:tcW w:w="400" w:type="dxa"/>
            <w:vAlign w:val="bottom"/>
            <w:tcBorders>
              <w:top w:val="single" w:sz="8" w:color="CCEEFF"/>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w w:val="92"/>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1,315,770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Dana Alexander, M.B.A.,</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Chief Technical Officer</w:t>
            </w:r>
          </w:p>
        </w:tc>
        <w:tc>
          <w:tcPr>
            <w:tcW w:w="8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434,700</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106,502</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148,795</w:t>
            </w:r>
          </w:p>
        </w:tc>
        <w:tc>
          <w:tcPr>
            <w:tcW w:w="11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689,997</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Parameswaran Hari, M.D., M.S.</w:t>
            </w:r>
          </w:p>
        </w:tc>
        <w:tc>
          <w:tcPr>
            <w:tcW w:w="8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484,380</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118,673</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120,898</w:t>
            </w:r>
          </w:p>
        </w:tc>
        <w:tc>
          <w:tcPr>
            <w:tcW w:w="11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723,951</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Medical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440" w:hanging="424"/>
        <w:spacing w:after="0" w:line="257" w:lineRule="auto"/>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a discretionary annual cash bonus earned by the applicable named executive officer for performance in the applicable fiscal year and paid in the next fiscal year. For more information on the bonus, see the description of Fiscal Year 2025 annual cash bonuses below.</w:t>
      </w:r>
    </w:p>
    <w:p>
      <w:pPr>
        <w:spacing w:after="0" w:line="1" w:lineRule="exact"/>
        <w:rPr>
          <w:rFonts w:ascii="Times New Roman" w:cs="Times New Roman" w:eastAsia="Times New Roman" w:hAnsi="Times New Roman"/>
          <w:sz w:val="18"/>
          <w:szCs w:val="18"/>
          <w:color w:val="auto"/>
        </w:rPr>
      </w:pPr>
    </w:p>
    <w:p>
      <w:pPr>
        <w:jc w:val="both"/>
        <w:ind w:left="540" w:right="260" w:hanging="424"/>
        <w:spacing w:after="0" w:line="255" w:lineRule="auto"/>
        <w:tabs>
          <w:tab w:leader="none" w:pos="5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the aggregate incremental fair value related to the repricing, in Fiscal Year 2025, of certain stock option awards held by the applicable named executive officer that were granted prior to Fiscal Year 2025, computed in accordance with Financial Accounting Standards Board Accounting</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288</w:t>
      </w:r>
    </w:p>
    <w:p>
      <w:pPr>
        <w:sectPr>
          <w:pgSz w:w="11900" w:h="16838" w:orient="portrait"/>
          <w:cols w:equalWidth="0" w:num="1">
            <w:col w:w="11140"/>
          </w:cols>
          <w:pgMar w:left="320" w:top="455" w:right="4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20"/>
        <w:spacing w:after="0" w:line="276" w:lineRule="auto"/>
        <w:rPr>
          <w:sz w:val="20"/>
          <w:szCs w:val="20"/>
          <w:color w:val="auto"/>
        </w:rPr>
      </w:pPr>
      <w:r>
        <w:rPr>
          <w:rFonts w:ascii="Times New Roman" w:cs="Times New Roman" w:eastAsia="Times New Roman" w:hAnsi="Times New Roman"/>
          <w:sz w:val="17"/>
          <w:szCs w:val="17"/>
          <w:color w:val="auto"/>
        </w:rPr>
        <w:t>Standards Codification Topic 718, or FASB ASC Topic 718. The assumptions used in calculating the incremental fair values include a common stock fair value of $0.78, a risk-free interest rate ranging from 4.07% to 4.14%, an expected dividend yield of 0.00%, an expected term of 3.9 to</w:t>
      </w:r>
    </w:p>
    <w:p>
      <w:pPr>
        <w:spacing w:after="0" w:line="1" w:lineRule="exact"/>
        <w:rPr>
          <w:sz w:val="20"/>
          <w:szCs w:val="20"/>
          <w:color w:val="auto"/>
        </w:rPr>
      </w:pPr>
    </w:p>
    <w:p>
      <w:pPr>
        <w:ind w:left="540" w:right="60"/>
        <w:spacing w:after="0" w:line="250" w:lineRule="auto"/>
        <w:rPr>
          <w:sz w:val="20"/>
          <w:szCs w:val="20"/>
          <w:color w:val="auto"/>
        </w:rPr>
      </w:pPr>
      <w:r>
        <w:rPr>
          <w:rFonts w:ascii="Times New Roman" w:cs="Times New Roman" w:eastAsia="Times New Roman" w:hAnsi="Times New Roman"/>
          <w:sz w:val="18"/>
          <w:szCs w:val="18"/>
          <w:color w:val="auto"/>
        </w:rPr>
        <w:t>5.2 years, and an expected volatility ranging from 76.67% to 77.45%. The amount reported reflects the accounting cost for the repricing of certain option awards and do not correspond to the actual economic value that may be received by the named executive officer upon the exercise of the option awards or any sale of the underlying securities.</w:t>
      </w:r>
    </w:p>
    <w:p>
      <w:pPr>
        <w:spacing w:after="0" w:line="1" w:lineRule="exact"/>
        <w:rPr>
          <w:sz w:val="20"/>
          <w:szCs w:val="20"/>
          <w:color w:val="auto"/>
        </w:rPr>
      </w:pPr>
    </w:p>
    <w:p>
      <w:pPr>
        <w:ind w:left="540" w:right="220" w:hanging="424"/>
        <w:spacing w:after="0" w:line="260" w:lineRule="auto"/>
        <w:tabs>
          <w:tab w:leader="none" w:pos="5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a travel stipend of $5,000 per month for Dr. Jagasia for travel between his home in Tennessee and our offices in Massachusetts, inclusive of certain housing costs, which is payable pursuant to the terms of his offer letter with Obsidian.</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Disclosure to the 2025 Summary Compensation Table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Base Salaries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Fiscal Year 2025, Dr. Jagasia, Mr. Alexander and Dr. Hari each received a base salary to compensate them for services rendered to us. Base salaries are intended to provide a fixed cash component of compensation reflecting the executive’s skill set, experience, role, and responsibilities. Base salaries are expected to be reviewed periodically and approved by the compensation committee of the Obsidian Board or Obsidian Board following recommendation by its compensation committee, and may be adjusted from time to time to realign salaries with market levels after taking into account individual responsibilities, performance, and experience, as well as changes in the business.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Fiscal Year 2025 base salaries for each of Obsidian’s named executive officers are set forth in the table below:</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 Base</w:t>
            </w:r>
          </w:p>
        </w:tc>
        <w:tc>
          <w:tcPr>
            <w:tcW w:w="0" w:type="dxa"/>
            <w:vAlign w:val="bottom"/>
          </w:tcPr>
          <w:p>
            <w:pPr>
              <w:spacing w:after="0"/>
              <w:rPr>
                <w:sz w:val="1"/>
                <w:szCs w:val="1"/>
                <w:color w:val="auto"/>
              </w:rPr>
            </w:pPr>
          </w:p>
        </w:tc>
      </w:tr>
      <w:tr>
        <w:trPr>
          <w:trHeight w:val="160"/>
        </w:trPr>
        <w:tc>
          <w:tcPr>
            <w:tcW w:w="6640" w:type="dxa"/>
            <w:vAlign w:val="bottom"/>
            <w:gridSpan w:val="2"/>
            <w:vMerge w:val="continue"/>
          </w:tcPr>
          <w:p>
            <w:pPr>
              <w:spacing w:after="0"/>
              <w:rPr>
                <w:sz w:val="13"/>
                <w:szCs w:val="13"/>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Salary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Madan Jagasia, M.D., M.S.</w:t>
            </w:r>
          </w:p>
        </w:tc>
        <w:tc>
          <w:tcPr>
            <w:tcW w:w="8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559,728</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Dana Alexander, M.B.A.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434,700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Parameswaran Hari, M.D., M.S.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484,380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2025 Annual Cash Bonuses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For Fiscal Year 2025, each of the named executive officers was eligible to earn an annual cash bonus based on the Company’s achievement of certain corporate performance milestones. The target annual bonus for each of Obsidian’s named executive officers for Fiscal Year 2025 was equal to the percentage of the executive’s respective annual base salary specified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Target Annual</w:t>
            </w:r>
          </w:p>
        </w:tc>
        <w:tc>
          <w:tcPr>
            <w:tcW w:w="0" w:type="dxa"/>
            <w:vAlign w:val="bottom"/>
          </w:tcPr>
          <w:p>
            <w:pPr>
              <w:spacing w:after="0"/>
              <w:rPr>
                <w:sz w:val="1"/>
                <w:szCs w:val="1"/>
                <w:color w:val="auto"/>
              </w:rPr>
            </w:pPr>
          </w:p>
        </w:tc>
      </w:tr>
      <w:tr>
        <w:trPr>
          <w:trHeight w:val="160"/>
        </w:trPr>
        <w:tc>
          <w:tcPr>
            <w:tcW w:w="6600" w:type="dxa"/>
            <w:vAlign w:val="bottom"/>
            <w:gridSpan w:val="2"/>
            <w:vMerge w:val="continue"/>
          </w:tcPr>
          <w:p>
            <w:pPr>
              <w:spacing w:after="0"/>
              <w:rPr>
                <w:sz w:val="13"/>
                <w:szCs w:val="13"/>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Bonus ($)</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Madan Jagasia, M.D., M.S.</w:t>
            </w:r>
          </w:p>
        </w:tc>
        <w:tc>
          <w:tcPr>
            <w:tcW w:w="88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Dana Alexander, M.B.A.</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Parameswaran Hari, M.D., M.S.</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Pursuant to Obsidian’s bonus program, each named executive officer’s annual cash bonus is typically determined by reference to the Company’s achievement of pre-determined clinical, financial and organizational, and pipeline goals. During Fiscal Year 2025, Obsidian made several strategic changes to its business and as a result, Obsidian’s Board determined that not all of the pre-determined corporate goals for 2025 were applicable following such changes. However, in light of the continued progress toward certain corporate goals, Obsidian’s Board approved discretionary annual cash bonuses for the named executive officers equal to 70% of their applicable annual bonus targets. The annual cash bonus paid to each of Obsidian’s named executive officers for Fiscal Year 2025 is set forth in the “</w:t>
      </w:r>
      <w:r>
        <w:rPr>
          <w:rFonts w:ascii="Times New Roman" w:cs="Times New Roman" w:eastAsia="Times New Roman" w:hAnsi="Times New Roman"/>
          <w:sz w:val="17"/>
          <w:szCs w:val="17"/>
          <w:i w:val="1"/>
          <w:iCs w:val="1"/>
          <w:color w:val="auto"/>
        </w:rPr>
        <w:t>Bonus</w:t>
      </w:r>
      <w:r>
        <w:rPr>
          <w:rFonts w:ascii="Times New Roman" w:cs="Times New Roman" w:eastAsia="Times New Roman" w:hAnsi="Times New Roman"/>
          <w:sz w:val="17"/>
          <w:szCs w:val="17"/>
          <w:color w:val="auto"/>
        </w:rPr>
        <w:t>” column of the “</w:t>
      </w:r>
      <w:r>
        <w:rPr>
          <w:rFonts w:ascii="Times New Roman" w:cs="Times New Roman" w:eastAsia="Times New Roman" w:hAnsi="Times New Roman"/>
          <w:sz w:val="17"/>
          <w:szCs w:val="17"/>
          <w:i w:val="1"/>
          <w:iCs w:val="1"/>
          <w:color w:val="auto"/>
        </w:rPr>
        <w:t>2025 Summary Compensation Table</w:t>
      </w:r>
      <w:r>
        <w:rPr>
          <w:rFonts w:ascii="Times New Roman" w:cs="Times New Roman" w:eastAsia="Times New Roman" w:hAnsi="Times New Roman"/>
          <w:sz w:val="17"/>
          <w:szCs w:val="17"/>
          <w:color w:val="auto"/>
        </w:rPr>
        <w:t>” above.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289</w:t>
      </w:r>
    </w:p>
    <w:p>
      <w:pPr>
        <w:sectPr>
          <w:pgSz w:w="11900" w:h="16838" w:orient="portrait"/>
          <w:cols w:equalWidth="0" w:num="1">
            <w:col w:w="11120"/>
          </w:cols>
          <w:pgMar w:left="320" w:top="455"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Compensation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we do not yet have a formal policy with respect to the grant of equity incentive awards to our executive officers, we believe equity grants provide our executives with a strong link to our long-term performance, create an ownership culture, and help to align the interests of our executives and our stockholders. In addition, we believe equity grants promote executive retention because they encourage our executive officers to remain in our service during the vesting period. During Fiscal Year 2025, we did not grant any equity incentive awards to our executive officers. However, for retention and motivational purposes, during Fiscal Year 2025, we repriced certain options to purchase shares of our common stock that were previously granted to our employees, and other service providers, including our named executive officers, to lower the exercise price of such options to the then-current fair market value of our common stock. For additional information regarding outstanding equity awards held by our named executive officers as of December 31, 2025, see the “</w:t>
      </w:r>
      <w:r>
        <w:rPr>
          <w:rFonts w:ascii="Times New Roman" w:cs="Times New Roman" w:eastAsia="Times New Roman" w:hAnsi="Times New Roman"/>
          <w:sz w:val="18"/>
          <w:szCs w:val="18"/>
          <w:i w:val="1"/>
          <w:iCs w:val="1"/>
          <w:color w:val="auto"/>
        </w:rPr>
        <w:t>Outstanding Equity Awards at 2025 Fiscal Year End</w:t>
      </w:r>
      <w:r>
        <w:rPr>
          <w:rFonts w:ascii="Times New Roman" w:cs="Times New Roman" w:eastAsia="Times New Roman" w:hAnsi="Times New Roman"/>
          <w:sz w:val="18"/>
          <w:szCs w:val="18"/>
          <w:color w:val="auto"/>
        </w:rPr>
        <w:t>” table below.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 and Health and Welfare Benefits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maintain a tax-qualified 401(k) retirement savings plan (the “401(k) Plan”) for our employees, including our named executive officers, who satisfy certain eligibility requirements. Our named executive officers are eligible to participate in the 401(k) Plan on the same terms as other full-time employees; provided, however, that employees with the title of Vice President or higher, including our named executive officers, were not permitted to receive matching or non-elective contributions under the 401(k) Plan during Fiscal Year 2025. Beginning in calendar year 2026, employees with the title of Vice President or Senior Vice President, but not executive officers, are eligible to receive matching and non-elective contributions under the 401(k) Plan on the same terms as other full-time employees. Our 401(k) Plan is intended to qualify for favorable tax treatment under Section 401(a) of the Code and contains a cash or deferred feature that is intended to meet the requirements of Section 401(k) of the Code. We believe that providing a vehicle for tax-deferred retirement savings through our 401(k) Plan adds to the overall desirability of our executive compensation package and further incentivizes our employees, including our named executive officers, in accordance with our compensation policies. Other than the 401(k) Plan, we do not provide any qualified or non-qualified retirement or deferred compensation benefits to our employees, including our named executive officers.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our full-time employees, including our named executive officers, are eligible to participate in our health and welfare plans.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Perquisites/Personal Benefits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Perquisites or other personal benefits are not a significant component of our executive compensation program. Accordingly, we do not provide significant perquisites or other personal benefits to our executive officers, including our named executive officers, except for stipends for travel and housing costs for Dr. Jagasia, as described in the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 with Named Executive Officers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in Effect Prior to the Closing of the Mergers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Obsidian entered into offer letters with each of its named executive officers in connection with their commencement of employment, which set forth the terms and conditions of their employment, including initial base salary, initial target annual cash incentive compensation opportunity, initial equity awards, and eligibility to participate in Obsidian’s employee benefit plans generally offered to Obsidian’s employees.</w:t>
      </w:r>
    </w:p>
    <w:p>
      <w:pPr>
        <w:spacing w:after="0" w:line="176"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Obsidian also entered into a Severance and Change in Control Agreement with each of its named executive officers that provide for specified payments and benefits in connection with a termination of employment in certain circumstances. Obsidian’s goal in providing these severance and change in control benefits is to offer sufficient cash continuity protection such that the named executive officers will focus their full time and attention</w:t>
      </w:r>
    </w:p>
    <w:p>
      <w:pPr>
        <w:spacing w:after="0" w:line="9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290</w:t>
      </w:r>
    </w:p>
    <w:p>
      <w:pPr>
        <w:sectPr>
          <w:pgSz w:w="11900" w:h="16838" w:orient="portrait"/>
          <w:cols w:equalWidth="0" w:num="1">
            <w:col w:w="10960"/>
          </w:cols>
          <w:pgMar w:left="320" w:top="455" w:right="61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on the requirements of the business rather than the potential implications of a qualifying employment termination or change in control for their respective positions. Obsidian prefers to have certainty regarding the potential severance amounts payable to our named executive officer, rather than negotiate severance at the time that a named executive officer’s employment terminates.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material terms of the offer letters and Severance and Change in Control Agreements with the named executive officers are summarized below.</w:t>
      </w:r>
    </w:p>
    <w:p>
      <w:pPr>
        <w:spacing w:after="0" w:line="3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Madan Jagasia, M.D., M.S. Offer Letter</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January 4, 2023, Obsidian entered into an offer letter with Dr. Jagasia for the position of Chief Executive Officer (the “Jagasia Offer Letter”), which provides for Dr. Jagasia’s at-will employment. Pursuant to the Jagasia Offer Letter, Dr. Jagasia is eligible to receive an annual base salary, subject to periodic review and adjustment at our discretion and an annual cash incentive bonus, as determined by Obsidian’s Board. In addition, Dr. Jagasia receives a monthly stipend of $5,000 for travel between his home in Tennessee and our offices in Massachusetts and is eligible to participate in the employee benefit plans generally available to Obsidian’s employees, subject to the terms of those plans.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Dana Alexander, M.B.A. Offer Letter</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April 21, 2024, Obsidian entered into an offer letter with Mr. Alexander for the position of Chief Technical Officer (the “Alexander Offer Letter”), which provided for Mr. Alexander’s at-will employment. Pursuant to the Alexander Offer Letter, Mr. Alexander is eligible to receive an annual base salary, subject to periodic review and adjustment at our discretion and an annual cash incentive bonus, as determined by the Obsidian Board. In addition, Mr. Alexander is eligible to participate in the employee benefit plans generally available to Obsidian’s employees, subject to the terms of those plans.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Parameswaran Hari, M.D., M.S. Offer Letter</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On January 7, 2023, Obsidian entered into an offer letter with Dr. Hari for the position of Chief Development Officer (the “Hari Offer Letter”), which provides for Dr. Hari’s at-will employment. Pursuant to the Hari Offer Letter, Dr. Hari is eligible to receive an annual base salary, subject to periodic review and adjustment at our discretion and an annual cash incentive bonus, as determined by Obsidian’s Board. In addition, Dr. Hari is eligible to participate in the employee benefit plans generally available to Obsidian’s employees, subject to the terms of those plans.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Severance and Change in Control Agreements</w:t>
      </w:r>
    </w:p>
    <w:p>
      <w:pPr>
        <w:spacing w:after="0" w:line="11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Pursuant to the Severance and Change in Control Agreements entered into with the named executive officers, in the event that a named executive officer’s employment is terminated by Obsidian for any reason other than Cause (as defined in the Severance and Change in Control Agreements), death or disability or by the named executive officer for Good Reason (as defined in the Severance and Change in Control Agreements), subject to the named executive officer’s execution, and the effectiveness, of a separation agreement, including a general release of claims in favor of Obsidian and its affiliates, the named executive officers are entitled to receive (i) (A) for Dr. Jagasia, an amount equal to 12 months of his current base salary, any earned but unpaid bonus for the fiscal year prior to the date of termination, and a pro-rated target bonus for the fiscal year of termination and (B) for</w:t>
      </w:r>
    </w:p>
    <w:p>
      <w:pPr>
        <w:spacing w:after="0" w:line="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Mr. Alexander and Dr. Hari, six months of his then-current base salary and (ii) if the named executive officer was participating in Obsidian’s group health plan immediately prior to the date of termination and elects COBRA health continuation, a monthly cash payment for six months (or, in the case of Dr. Jagasia, 12 months) in an amount equal to the monthly employer contribution we would have made to provide health insurance to the named executive officer and his eligible dependents if he had remained employed by Obsidian.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291</w:t>
      </w:r>
    </w:p>
    <w:p>
      <w:pPr>
        <w:sectPr>
          <w:pgSz w:w="11900" w:h="16838" w:orient="portrait"/>
          <w:cols w:equalWidth="0" w:num="1">
            <w:col w:w="11120"/>
          </w:cols>
          <w:pgMar w:left="320" w:top="455"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in lieu of the payments and benefits described above, in the event that a named executive officer’s employment is terminated by Obsidian for any reason other than Cause, death or disability or a by the named executive officer for Good Reason, in each case, immediately before, on, or within the 12 months immediately after a Change in Control (as defined in the Severance and Change in Control Agreements), subject to the named executive officer’s execution, and the effectiveness, of a separation agreement, including a general release of claims in favor of Obsidian and its affiliates, named executive officers are entitled to receive (i) (A) for Dr. Jagasia, an amount equal to 12 months of his current base salary plus his target annual bonus and any earned but unpaid bonus for the fiscal year prior to the date of termination and (B) for Mr. Alexander and Dr. Hari, an amount equal to nine months of his current base salary plus his target annual bonus and any earned but unpaid bonus for the fiscal year prior to the date of termination, (ii) if the named executive officer was participating in Obsidian’s group health plan immediately prior to the date of termination and elects COBRA health continuation, a monthly cash payment for nine months (or, in the case of Dr. Jagasia, 12 months) in an amount equal to the monthly employer contribution Obsidian would have made to provide health insurance to the named executive officer and his eligible dependents if he had remained employed by Obsidian and (iii) full acceleration of vesting of all stock options and other stock-based awards subject solely to time-based vesting held by the named executive officer and, for Dr. Jagasia, extension of the post-termination exercise period for his stock options until the earlier of six months following the date of termination and the original expiration date of the stock option.</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payments and benefits provided under the Severance and Change in Control Agreements in connection with a change in control may not be eligible for a federal income tax deduction by Obsidian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pursuant to each of the Severance and Change in Control Agreements, those payments or benefits will be reduced, but only if such reduction would result in the named executive officer retaining a larger portion of such payments and benefits on an after-tax basis than if no reduction was made and the excises taxes had been paid.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Arrangements in Effect Prior to the Closing of the Mergers</w:t>
      </w:r>
    </w:p>
    <w:p>
      <w:pPr>
        <w:spacing w:after="0" w:line="121" w:lineRule="exact"/>
        <w:rPr>
          <w:sz w:val="20"/>
          <w:szCs w:val="20"/>
          <w:color w:val="auto"/>
        </w:rPr>
      </w:pPr>
    </w:p>
    <w:p>
      <w:pPr>
        <w:ind w:left="120" w:right="30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mergers, Obsidian will enter into executive employment agreements with each of its named executive officers that will supersede the offer letters and will adopt an Executive Severance Plan that will supersede the Severance and Change in Control Agreements. The material terms of the executive employment agreements with the named executive officers and the Executive Severance Plan are summarized below.</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Madan Jagasia, M.D., M.S. Executive Employment Agreement</w:t>
      </w:r>
    </w:p>
    <w:p>
      <w:pPr>
        <w:spacing w:after="0" w:line="22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Obsidian will enter into an executive employment agreement with Dr. Jagasia for the position of Chief Executive Officer (the “Jagasia Employment Agreement”), which will supersede the Jagasia Offer Letter and become effective as of the closing of the mergers. Pursuant to the Jagasia Employment Agreement, Dr. Jagasia is eligible to receive an annual base salary of $638,200, subject to annual review and adjustment at our discretion and an annual cash incentive bonus, as determined by Obsidian’s Board, which bonus has a target of 55% of Dr. Jagasia’s base salary. Dr. Jagasia is eligible to participate in the employee benefit plans generally available to Obsidian’s employees, subject to the terms of those plans, and Severance Plan (as defined below) as a Tier 1 Executive, as defined in the Severance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Dana Alexander, M.B.A. Executive Employment Agreement</w:t>
      </w:r>
    </w:p>
    <w:p>
      <w:pPr>
        <w:spacing w:after="0" w:line="119"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Obsidian will enter into an executive employment agreement with Mr. Alexander for the position of Chief Technical Officer (the “Alexander Employment Agreement”), which will supersede the Alexander Offer Letter and become effective as of the closing of the mergers. Pursuant to the Alexander Employment Agreement,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292</w:t>
      </w:r>
    </w:p>
    <w:p>
      <w:pPr>
        <w:sectPr>
          <w:pgSz w:w="11900" w:h="16838" w:orient="portrait"/>
          <w:cols w:equalWidth="0" w:num="1">
            <w:col w:w="11120"/>
          </w:cols>
          <w:pgMar w:left="320" w:top="455" w:right="4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Mr. Alexander is eligible to receive an annual base salary of $461,480, subject to annual review and adjustment at our discretion and an annual cash incentive bonus, as determined by Obsidian’s Board, which bonus has a target of 40% of Mr. Alexander’s base salary. Mr. Alexander is eligible to participate in the employee benefit plans generally available to Obsidian’s employees, subject to the terms of those plans, and the Severance Plan as a Tier 2 Executive, as defined in the Severance Plan.</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Parameswaran Hari, M.D., M.S. Executive Employment Agreement</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Obsidian will enter into an executive employment agreement with Dr. Hari for the position of Chief Medical Officer (the “Hari Employment Agreement”), which will supersede the Hari Offer Letter and become effective as of the closing of the mergers. Pursuant to the Hari Employment Agreement, Dr. Hari is eligible to receive an annual base salary of $538,167, subject to annual review and adjustment at our discretion and an annual cash incentive bonus, as determined by Obsidian’s Board, which bonus has a target of 40% of Dr. Hari’s base salary. Dr. Hari is eligible to participate in the employee benefit plans generally available to Obsidian’s employees, subject to the terms of those plans, and the Severance Plan as a Tier 2 Executive, as defined in the Severance Plan.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Executive Severance Plan</w:t>
      </w:r>
    </w:p>
    <w:p>
      <w:pPr>
        <w:spacing w:after="0" w:line="11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mergers, Obsidian intends to adopt an Executive Severance Plan (the “Severance Plan”) that will be effective as of the closing of the mergers, in which the named executive officers and certain other employees will be eligible to participate.</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Severance Plan provides that upon a (i) termination of a named executive officer’s employment by Obsidian for any reason other than due to “cause,” death or “disability” or (ii) a named executive officer’s resignation for “good reason” (each as defined in the Severance Plan), in each case outside of the period beginning three months prior to and ending on the one-year anniversary of a “change in control” (as defined in the Severance Plan) (such period, the “Change in Control Period”), each named executive officer will be entitled to receive, subject to the execution and delivery of an effective and irrevocable separation agreement containing, among other things, a general release of claims in Obsidian’s favor and continued compliance with all applicable continuing obligations: (A) continued payment of the named executive officer’s base salary for 12 months following termination (such period, the “Severance Period”) and, for the Chief Executive Officer, a pro-rated target bonus and any earned but unpaid annual incentive compensation for the prior year; and (B) an amount equal to the employer portion of the monthly COBRA premium until the earliest of (x) the end of the Severance Period, (y) the date the named executive officer becomes eligible for group medical plan benefits under any other employer’s group medical plan or (z) the cessation of the named executive officer’s health continuation rights under COBRA.</w:t>
      </w:r>
    </w:p>
    <w:p>
      <w:pPr>
        <w:spacing w:after="0" w:line="19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Severance Plan will also provide that upon a (i) termination of a named executive officer’s employment by Obsidian other than for cause or due to death or disability or (ii) resignation by a named executive officer for good reason, in each case within the Change in Control Period, each named executive officer will be entitled to receive, in lieu of the payments and benefits above and subject to the execution and delivery of an effective and irrevocable separation agreement containing, among other things, a general release of claims in Obsidian’s favor and continued compliance with all applicable continuing obligations: (A) a lump sum amount equal to one times (or, in the case of the Chief Executive Officer, one and a half times) the sum of the named executive officer’s base salary and target annual bonus in effect immediately prior to the date of termination or immediately prior to the change in control, if higher; (B) any earned but unpaid annual incentive compensation for the prior year; (C) an amount equal to the employer portion of the monthly COBRA premium until the earliest of (x) 12 months (or, in the case of the Chief Executive Officer, 18 months) following termination of employment, (y) the date the named executive officer becomes eligible for group medical plan benefits under any other employer’s group medical plan or (z) the cessation of the named executive officer’s health continuation rights under COBRA; and (D) accelerated vesting of all outstanding and unvested equity awards held by the named executive officer that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293</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are subject solely to time-based vesting and, for the Chief Executive Officer, all vested stock options will remain exercisable until the earlier of six months following the date of termination and the original expiration date of the stock option.</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Pursuant to Section 280G of the Code, Obsidian may not be eligible for a U.S. federal income tax deduction on the payments and benefits provided under the Severance Plan in connection with a change in control.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eligible participant.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 End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Obsidian’s named executive officers as of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2025.</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5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20" w:type="dxa"/>
            <w:vAlign w:val="bottom"/>
            <w:gridSpan w:val="2"/>
          </w:tcPr>
          <w:p>
            <w:pPr>
              <w:jc w:val="center"/>
              <w:ind w:right="39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820" w:type="dxa"/>
            <w:vAlign w:val="bottom"/>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Equity Incentive Plan</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20" w:type="dxa"/>
            <w:vAlign w:val="bottom"/>
            <w:gridSpan w:val="2"/>
          </w:tcPr>
          <w:p>
            <w:pPr>
              <w:jc w:val="center"/>
              <w:ind w:right="419"/>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8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20" w:type="dxa"/>
            <w:vAlign w:val="bottom"/>
            <w:gridSpan w:val="2"/>
          </w:tcPr>
          <w:p>
            <w:pPr>
              <w:jc w:val="center"/>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Underlying</w:t>
            </w:r>
          </w:p>
        </w:tc>
        <w:tc>
          <w:tcPr>
            <w:tcW w:w="840" w:type="dxa"/>
            <w:vAlign w:val="bottom"/>
            <w:gridSpan w:val="2"/>
            <w:vMerge w:val="continue"/>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20" w:type="dxa"/>
            <w:vAlign w:val="bottom"/>
            <w:gridSpan w:val="2"/>
          </w:tcPr>
          <w:p>
            <w:pPr>
              <w:jc w:val="center"/>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8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4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04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28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Commencement</w:t>
            </w: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20" w:type="dxa"/>
            <w:vAlign w:val="bottom"/>
            <w:gridSpan w:val="2"/>
          </w:tcPr>
          <w:p>
            <w:pPr>
              <w:jc w:val="center"/>
              <w:ind w:right="399"/>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8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12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 Exercisable</w:t>
            </w:r>
          </w:p>
        </w:tc>
        <w:tc>
          <w:tcPr>
            <w:tcW w:w="1320" w:type="dxa"/>
            <w:vAlign w:val="bottom"/>
            <w:gridSpan w:val="2"/>
          </w:tcPr>
          <w:p>
            <w:pPr>
              <w:jc w:val="center"/>
              <w:ind w:right="399"/>
              <w:spacing w:after="0" w:line="160"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18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t>
            </w:r>
            <w:r>
              <w:rPr>
                <w:rFonts w:ascii="Times New Roman" w:cs="Times New Roman" w:eastAsia="Times New Roman" w:hAnsi="Times New Roman"/>
                <w:sz w:val="10"/>
                <w:szCs w:val="10"/>
                <w:b w:val="1"/>
                <w:bCs w:val="1"/>
                <w:color w:val="auto"/>
                <w:w w:val="99"/>
              </w:rPr>
              <w:t>(2)</w:t>
            </w:r>
          </w:p>
        </w:tc>
        <w:tc>
          <w:tcPr>
            <w:tcW w:w="320" w:type="dxa"/>
            <w:vAlign w:val="bottom"/>
          </w:tcPr>
          <w:p>
            <w:pPr>
              <w:spacing w:after="0"/>
              <w:rPr>
                <w:sz w:val="15"/>
                <w:szCs w:val="15"/>
                <w:color w:val="auto"/>
              </w:rPr>
            </w:pPr>
          </w:p>
        </w:tc>
        <w:tc>
          <w:tcPr>
            <w:tcW w:w="7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Madan Jagasia, M.D., M.S.</w:t>
            </w:r>
          </w:p>
        </w:tc>
        <w:tc>
          <w:tcPr>
            <w:tcW w:w="2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6/25/2024</w:t>
            </w:r>
          </w:p>
        </w:tc>
        <w:tc>
          <w:tcPr>
            <w:tcW w:w="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6/25/2024</w:t>
            </w: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1,557,750</w:t>
            </w:r>
          </w:p>
        </w:tc>
        <w:tc>
          <w:tcPr>
            <w:tcW w:w="3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2,596,250</w:t>
            </w:r>
          </w:p>
        </w:tc>
        <w:tc>
          <w:tcPr>
            <w:tcW w:w="460" w:type="dxa"/>
            <w:vAlign w:val="bottom"/>
            <w:tcBorders>
              <w:top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2"/>
                <w:szCs w:val="12"/>
                <w:color w:val="auto"/>
                <w:w w:val="85"/>
              </w:rPr>
              <w:t>(3)</w:t>
            </w:r>
          </w:p>
        </w:tc>
        <w:tc>
          <w:tcPr>
            <w:tcW w:w="1340" w:type="dxa"/>
            <w:vAlign w:val="bottom"/>
            <w:tcBorders>
              <w:top w:val="single" w:sz="8" w:color="auto"/>
            </w:tcBorders>
            <w:shd w:val="clear" w:color="auto" w:fill="CCEEFF"/>
          </w:tcPr>
          <w:p>
            <w:pPr>
              <w:ind w:left="1100"/>
              <w:spacing w:after="0" w:line="175" w:lineRule="exact"/>
              <w:rPr>
                <w:sz w:val="20"/>
                <w:szCs w:val="20"/>
                <w:color w:val="auto"/>
              </w:rPr>
            </w:pPr>
            <w:r>
              <w:rPr>
                <w:rFonts w:ascii="Times New Roman" w:cs="Times New Roman" w:eastAsia="Times New Roman" w:hAnsi="Times New Roman"/>
                <w:sz w:val="16"/>
                <w:szCs w:val="16"/>
                <w:color w:val="auto"/>
                <w:w w:val="91"/>
              </w:rPr>
              <w:t>— </w:t>
            </w:r>
          </w:p>
        </w:tc>
        <w:tc>
          <w:tcPr>
            <w:tcW w:w="4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0.78</w:t>
            </w:r>
          </w:p>
        </w:tc>
        <w:tc>
          <w:tcPr>
            <w:tcW w:w="3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6/24/2034</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2/28/2023</w:t>
            </w: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1/30/2023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4,868,516</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59"/>
              <w:spacing w:after="0" w:line="217" w:lineRule="exact"/>
              <w:rPr>
                <w:sz w:val="20"/>
                <w:szCs w:val="20"/>
                <w:color w:val="auto"/>
              </w:rPr>
            </w:pPr>
            <w:r>
              <w:rPr>
                <w:rFonts w:ascii="Times New Roman" w:cs="Times New Roman" w:eastAsia="Times New Roman" w:hAnsi="Times New Roman"/>
                <w:sz w:val="16"/>
                <w:szCs w:val="16"/>
                <w:color w:val="auto"/>
              </w:rPr>
              <w:t>2,212,962</w:t>
            </w:r>
            <w:r>
              <w:rPr>
                <w:rFonts w:ascii="Times New Roman" w:cs="Times New Roman" w:eastAsia="Times New Roman" w:hAnsi="Times New Roman"/>
                <w:sz w:val="24"/>
                <w:szCs w:val="24"/>
                <w:color w:val="auto"/>
                <w:vertAlign w:val="superscript"/>
              </w:rPr>
              <w:t>(4)</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2/28/2023</w:t>
            </w: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9/13/2023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55,324</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r>
        <w:trPr>
          <w:trHeight w:val="188"/>
        </w:trPr>
        <w:tc>
          <w:tcPr>
            <w:tcW w:w="3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2/28/2023</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110,648</w:t>
            </w:r>
          </w:p>
        </w:tc>
        <w:tc>
          <w:tcPr>
            <w:tcW w:w="132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2/28/2023</w:t>
            </w:r>
          </w:p>
        </w:tc>
        <w:tc>
          <w:tcPr>
            <w:tcW w:w="4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103,732</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59"/>
              <w:spacing w:after="0" w:line="202" w:lineRule="exact"/>
              <w:rPr>
                <w:sz w:val="20"/>
                <w:szCs w:val="20"/>
                <w:color w:val="auto"/>
              </w:rPr>
            </w:pPr>
            <w:r>
              <w:rPr>
                <w:rFonts w:ascii="Times New Roman" w:cs="Times New Roman" w:eastAsia="Times New Roman" w:hAnsi="Times New Roman"/>
                <w:sz w:val="16"/>
                <w:szCs w:val="16"/>
                <w:color w:val="auto"/>
              </w:rPr>
              <w:t>6,916</w:t>
            </w:r>
            <w:r>
              <w:rPr>
                <w:rFonts w:ascii="Times New Roman" w:cs="Times New Roman" w:eastAsia="Times New Roman" w:hAnsi="Times New Roman"/>
                <w:sz w:val="23"/>
                <w:szCs w:val="23"/>
                <w:color w:val="auto"/>
                <w:vertAlign w:val="superscript"/>
              </w:rPr>
              <w:t>(5)</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r>
        <w:trPr>
          <w:trHeight w:val="217"/>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2/28/2023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1/12/2024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48,408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59"/>
              <w:spacing w:after="0" w:line="217" w:lineRule="exact"/>
              <w:rPr>
                <w:sz w:val="20"/>
                <w:szCs w:val="20"/>
                <w:color w:val="auto"/>
              </w:rPr>
            </w:pPr>
            <w:r>
              <w:rPr>
                <w:rFonts w:ascii="Times New Roman" w:cs="Times New Roman" w:eastAsia="Times New Roman" w:hAnsi="Times New Roman"/>
                <w:sz w:val="16"/>
                <w:szCs w:val="16"/>
                <w:color w:val="auto"/>
              </w:rPr>
              <w:t>6,916</w:t>
            </w:r>
            <w:r>
              <w:rPr>
                <w:rFonts w:ascii="Times New Roman" w:cs="Times New Roman" w:eastAsia="Times New Roman" w:hAnsi="Times New Roman"/>
                <w:sz w:val="24"/>
                <w:szCs w:val="24"/>
                <w:color w:val="auto"/>
                <w:vertAlign w:val="superscript"/>
              </w:rPr>
              <w:t>(7)</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2/28/2023</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442,592</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r>
        <w:trPr>
          <w:trHeight w:val="188"/>
        </w:trPr>
        <w:tc>
          <w:tcPr>
            <w:tcW w:w="2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Dana Alexander, M.B.A.</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6/25/2024</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4/29/2024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372,375</w:t>
            </w:r>
          </w:p>
        </w:tc>
        <w:tc>
          <w:tcPr>
            <w:tcW w:w="340" w:type="dxa"/>
            <w:vAlign w:val="bottom"/>
          </w:tcPr>
          <w:p>
            <w:pPr>
              <w:spacing w:after="0"/>
              <w:rPr>
                <w:sz w:val="16"/>
                <w:szCs w:val="16"/>
                <w:color w:val="auto"/>
              </w:rPr>
            </w:pPr>
          </w:p>
        </w:tc>
        <w:tc>
          <w:tcPr>
            <w:tcW w:w="1320" w:type="dxa"/>
            <w:vAlign w:val="bottom"/>
            <w:gridSpan w:val="2"/>
          </w:tcPr>
          <w:p>
            <w:pPr>
              <w:jc w:val="right"/>
              <w:ind w:right="259"/>
              <w:spacing w:after="0" w:line="189" w:lineRule="exact"/>
              <w:rPr>
                <w:sz w:val="20"/>
                <w:szCs w:val="20"/>
                <w:color w:val="auto"/>
              </w:rPr>
            </w:pPr>
            <w:r>
              <w:rPr>
                <w:rFonts w:ascii="Times New Roman" w:cs="Times New Roman" w:eastAsia="Times New Roman" w:hAnsi="Times New Roman"/>
                <w:sz w:val="14"/>
                <w:szCs w:val="14"/>
                <w:color w:val="auto"/>
              </w:rPr>
              <w:t>620,625</w:t>
            </w:r>
            <w:r>
              <w:rPr>
                <w:rFonts w:ascii="Times New Roman" w:cs="Times New Roman" w:eastAsia="Times New Roman" w:hAnsi="Times New Roman"/>
                <w:sz w:val="21"/>
                <w:szCs w:val="21"/>
                <w:color w:val="auto"/>
                <w:vertAlign w:val="superscript"/>
              </w:rPr>
              <w:t>(6)</w:t>
            </w:r>
          </w:p>
        </w:tc>
        <w:tc>
          <w:tcPr>
            <w:tcW w:w="1820" w:type="dxa"/>
            <w:vAlign w:val="bottom"/>
            <w:gridSpan w:val="2"/>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tcPr>
          <w:p>
            <w:pPr>
              <w:spacing w:after="0"/>
              <w:rPr>
                <w:sz w:val="16"/>
                <w:szCs w:val="16"/>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6/24/2034</w:t>
            </w: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5/15/2024</w:t>
            </w:r>
          </w:p>
        </w:tc>
        <w:tc>
          <w:tcPr>
            <w:tcW w:w="1620" w:type="dxa"/>
            <w:vAlign w:val="bottom"/>
            <w:gridSpan w:val="3"/>
          </w:tcPr>
          <w:p>
            <w:pPr>
              <w:jc w:val="right"/>
              <w:ind w:right="340"/>
              <w:spacing w:after="0"/>
              <w:rPr>
                <w:sz w:val="20"/>
                <w:szCs w:val="20"/>
                <w:color w:val="auto"/>
              </w:rPr>
            </w:pPr>
            <w:r>
              <w:rPr>
                <w:rFonts w:ascii="Times New Roman" w:cs="Times New Roman" w:eastAsia="Times New Roman" w:hAnsi="Times New Roman"/>
                <w:sz w:val="16"/>
                <w:szCs w:val="16"/>
                <w:color w:val="auto"/>
              </w:rPr>
              <w:t>4/29/2024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630,694</w:t>
            </w:r>
          </w:p>
        </w:tc>
        <w:tc>
          <w:tcPr>
            <w:tcW w:w="340" w:type="dxa"/>
            <w:vAlign w:val="bottom"/>
          </w:tcPr>
          <w:p>
            <w:pPr>
              <w:spacing w:after="0"/>
              <w:rPr>
                <w:sz w:val="18"/>
                <w:szCs w:val="18"/>
                <w:color w:val="auto"/>
              </w:rPr>
            </w:pPr>
          </w:p>
        </w:tc>
        <w:tc>
          <w:tcPr>
            <w:tcW w:w="1320" w:type="dxa"/>
            <w:vAlign w:val="bottom"/>
            <w:gridSpan w:val="2"/>
          </w:tcPr>
          <w:p>
            <w:pPr>
              <w:jc w:val="right"/>
              <w:ind w:right="259"/>
              <w:spacing w:after="0" w:line="217" w:lineRule="exact"/>
              <w:rPr>
                <w:sz w:val="20"/>
                <w:szCs w:val="20"/>
                <w:color w:val="auto"/>
              </w:rPr>
            </w:pPr>
            <w:r>
              <w:rPr>
                <w:rFonts w:ascii="Times New Roman" w:cs="Times New Roman" w:eastAsia="Times New Roman" w:hAnsi="Times New Roman"/>
                <w:sz w:val="16"/>
                <w:szCs w:val="16"/>
                <w:color w:val="auto"/>
              </w:rPr>
              <w:t>1,051,157</w:t>
            </w:r>
            <w:r>
              <w:rPr>
                <w:rFonts w:ascii="Times New Roman" w:cs="Times New Roman" w:eastAsia="Times New Roman" w:hAnsi="Times New Roman"/>
                <w:sz w:val="24"/>
                <w:szCs w:val="24"/>
                <w:color w:val="auto"/>
                <w:vertAlign w:val="superscript"/>
              </w:rPr>
              <w:t>(4)</w:t>
            </w:r>
          </w:p>
        </w:tc>
        <w:tc>
          <w:tcPr>
            <w:tcW w:w="1820" w:type="dxa"/>
            <w:vAlign w:val="bottom"/>
            <w:gridSpan w:val="2"/>
          </w:tcPr>
          <w:p>
            <w:pPr>
              <w:ind w:left="820"/>
              <w:spacing w:after="0" w:line="217" w:lineRule="exact"/>
              <w:rPr>
                <w:sz w:val="20"/>
                <w:szCs w:val="20"/>
                <w:color w:val="auto"/>
              </w:rPr>
            </w:pPr>
            <w:r>
              <w:rPr>
                <w:rFonts w:ascii="Times New Roman" w:cs="Times New Roman" w:eastAsia="Times New Roman" w:hAnsi="Times New Roman"/>
                <w:sz w:val="16"/>
                <w:szCs w:val="16"/>
                <w:color w:val="auto"/>
              </w:rPr>
              <w:t>177,037</w:t>
            </w:r>
            <w:r>
              <w:rPr>
                <w:rFonts w:ascii="Times New Roman" w:cs="Times New Roman" w:eastAsia="Times New Roman" w:hAnsi="Times New Roman"/>
                <w:sz w:val="24"/>
                <w:szCs w:val="24"/>
                <w:color w:val="auto"/>
                <w:vertAlign w:val="superscript"/>
              </w:rPr>
              <w:t>(8)</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5/14/2034</w:t>
            </w:r>
          </w:p>
        </w:tc>
        <w:tc>
          <w:tcPr>
            <w:tcW w:w="0" w:type="dxa"/>
            <w:vAlign w:val="bottom"/>
          </w:tcPr>
          <w:p>
            <w:pPr>
              <w:spacing w:after="0"/>
              <w:rPr>
                <w:sz w:val="1"/>
                <w:szCs w:val="1"/>
                <w:color w:val="auto"/>
              </w:rPr>
            </w:pPr>
          </w:p>
        </w:tc>
      </w:tr>
      <w:tr>
        <w:trPr>
          <w:trHeight w:val="188"/>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Parameswaran Hari, M.D., M.S.</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6/25/2024</w:t>
            </w: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6/25/2024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353,812</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59"/>
              <w:spacing w:after="0" w:line="189" w:lineRule="exact"/>
              <w:rPr>
                <w:sz w:val="20"/>
                <w:szCs w:val="20"/>
                <w:color w:val="auto"/>
              </w:rPr>
            </w:pPr>
            <w:r>
              <w:rPr>
                <w:rFonts w:ascii="Times New Roman" w:cs="Times New Roman" w:eastAsia="Times New Roman" w:hAnsi="Times New Roman"/>
                <w:sz w:val="14"/>
                <w:szCs w:val="14"/>
                <w:color w:val="auto"/>
              </w:rPr>
              <w:t>589,688</w:t>
            </w:r>
            <w:r>
              <w:rPr>
                <w:rFonts w:ascii="Times New Roman" w:cs="Times New Roman" w:eastAsia="Times New Roman" w:hAnsi="Times New Roman"/>
                <w:sz w:val="21"/>
                <w:szCs w:val="21"/>
                <w:color w:val="auto"/>
                <w:vertAlign w:val="superscript"/>
              </w:rPr>
              <w:t>(3)</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6/24/2034</w:t>
            </w:r>
          </w:p>
        </w:tc>
        <w:tc>
          <w:tcPr>
            <w:tcW w:w="0" w:type="dxa"/>
            <w:vAlign w:val="bottom"/>
          </w:tcPr>
          <w:p>
            <w:pPr>
              <w:spacing w:after="0"/>
              <w:rPr>
                <w:sz w:val="1"/>
                <w:szCs w:val="1"/>
                <w:color w:val="auto"/>
              </w:rPr>
            </w:pPr>
          </w:p>
        </w:tc>
      </w:tr>
      <w:tr>
        <w:trPr>
          <w:trHeight w:val="217"/>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2/28/2023</w:t>
            </w: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1/17/2023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1,217,128</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59"/>
              <w:spacing w:after="0" w:line="217" w:lineRule="exact"/>
              <w:rPr>
                <w:sz w:val="20"/>
                <w:szCs w:val="20"/>
                <w:color w:val="auto"/>
              </w:rPr>
            </w:pPr>
            <w:r>
              <w:rPr>
                <w:rFonts w:ascii="Times New Roman" w:cs="Times New Roman" w:eastAsia="Times New Roman" w:hAnsi="Times New Roman"/>
                <w:sz w:val="16"/>
                <w:szCs w:val="16"/>
                <w:color w:val="auto"/>
              </w:rPr>
              <w:t>553,241</w:t>
            </w:r>
            <w:r>
              <w:rPr>
                <w:rFonts w:ascii="Times New Roman" w:cs="Times New Roman" w:eastAsia="Times New Roman" w:hAnsi="Times New Roman"/>
                <w:sz w:val="24"/>
                <w:szCs w:val="24"/>
                <w:color w:val="auto"/>
                <w:vertAlign w:val="superscript"/>
              </w:rPr>
              <w:t>(4)</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r>
        <w:trPr>
          <w:trHeight w:val="188"/>
        </w:trPr>
        <w:tc>
          <w:tcPr>
            <w:tcW w:w="3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2/28/2023</w:t>
            </w: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9/13/2023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48,685</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r>
        <w:trPr>
          <w:trHeight w:val="217"/>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2/28/2023</w:t>
            </w:r>
          </w:p>
        </w:tc>
        <w:tc>
          <w:tcPr>
            <w:tcW w:w="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1/3/2024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91,284</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59"/>
              <w:spacing w:after="0" w:line="217" w:lineRule="exact"/>
              <w:rPr>
                <w:sz w:val="20"/>
                <w:szCs w:val="20"/>
                <w:color w:val="auto"/>
              </w:rPr>
            </w:pPr>
            <w:r>
              <w:rPr>
                <w:rFonts w:ascii="Times New Roman" w:cs="Times New Roman" w:eastAsia="Times New Roman" w:hAnsi="Times New Roman"/>
                <w:sz w:val="16"/>
                <w:szCs w:val="16"/>
                <w:color w:val="auto"/>
              </w:rPr>
              <w:t>6,086</w:t>
            </w:r>
            <w:r>
              <w:rPr>
                <w:rFonts w:ascii="Times New Roman" w:cs="Times New Roman" w:eastAsia="Times New Roman" w:hAnsi="Times New Roman"/>
                <w:sz w:val="24"/>
                <w:szCs w:val="24"/>
                <w:color w:val="auto"/>
                <w:vertAlign w:val="superscript"/>
              </w:rPr>
              <w:t>(5)</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r>
        <w:trPr>
          <w:trHeight w:val="188"/>
        </w:trPr>
        <w:tc>
          <w:tcPr>
            <w:tcW w:w="36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2/28/2023</w:t>
            </w: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97,370</w:t>
            </w:r>
          </w:p>
        </w:tc>
        <w:tc>
          <w:tcPr>
            <w:tcW w:w="34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— </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r>
        <w:trPr>
          <w:trHeight w:val="217"/>
        </w:trPr>
        <w:tc>
          <w:tcPr>
            <w:tcW w:w="3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2/28/2023</w:t>
            </w:r>
          </w:p>
        </w:tc>
        <w:tc>
          <w:tcPr>
            <w:tcW w:w="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1/12/2024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42,599</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59"/>
              <w:spacing w:after="0" w:line="217" w:lineRule="exact"/>
              <w:rPr>
                <w:sz w:val="20"/>
                <w:szCs w:val="20"/>
                <w:color w:val="auto"/>
              </w:rPr>
            </w:pPr>
            <w:r>
              <w:rPr>
                <w:rFonts w:ascii="Times New Roman" w:cs="Times New Roman" w:eastAsia="Times New Roman" w:hAnsi="Times New Roman"/>
                <w:sz w:val="16"/>
                <w:szCs w:val="16"/>
                <w:color w:val="auto"/>
              </w:rPr>
              <w:t>6,086</w:t>
            </w:r>
            <w:r>
              <w:rPr>
                <w:rFonts w:ascii="Times New Roman" w:cs="Times New Roman" w:eastAsia="Times New Roman" w:hAnsi="Times New Roman"/>
                <w:sz w:val="24"/>
                <w:szCs w:val="24"/>
                <w:color w:val="auto"/>
                <w:vertAlign w:val="superscript"/>
              </w:rPr>
              <w:t>(7)</w:t>
            </w:r>
          </w:p>
        </w:tc>
        <w:tc>
          <w:tcPr>
            <w:tcW w:w="182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rPr>
              <w:t>— </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2/27/2033</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540" w:right="140" w:hanging="424"/>
        <w:spacing w:after="0" w:line="269" w:lineRule="auto"/>
        <w:tabs>
          <w:tab w:leader="none" w:pos="54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awards were granted under Obsidian’s 2016 Stock Option and Grant Plan and are subject to certain acceleration of vesting rights as set forth in the applicable named executive officer’s Severance and Change in Control Agreement, as described above.</w:t>
      </w:r>
    </w:p>
    <w:p>
      <w:pPr>
        <w:ind w:left="540" w:hanging="424"/>
        <w:spacing w:after="0"/>
        <w:tabs>
          <w:tab w:leader="none" w:pos="54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were repriced to $0.78 per share in June 2025.</w:t>
      </w:r>
    </w:p>
    <w:p>
      <w:pPr>
        <w:spacing w:after="0" w:line="18" w:lineRule="exact"/>
        <w:rPr>
          <w:rFonts w:ascii="Times New Roman" w:cs="Times New Roman" w:eastAsia="Times New Roman" w:hAnsi="Times New Roman"/>
          <w:sz w:val="16"/>
          <w:szCs w:val="16"/>
          <w:color w:val="auto"/>
        </w:rPr>
      </w:pPr>
    </w:p>
    <w:p>
      <w:pPr>
        <w:ind w:left="540" w:right="380" w:hanging="424"/>
        <w:spacing w:after="0" w:line="264" w:lineRule="auto"/>
        <w:tabs>
          <w:tab w:leader="none" w:pos="54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award vests in equal quarterly installments over four years from the Vesting Commencement Date, subject to the grantee’s continued service through the applicable vesting date.</w:t>
      </w:r>
    </w:p>
    <w:p>
      <w:pPr>
        <w:ind w:left="540" w:right="100" w:hanging="424"/>
        <w:spacing w:after="0" w:line="264" w:lineRule="auto"/>
        <w:tabs>
          <w:tab w:leader="none" w:pos="54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award vested 25% on the first anniversary of the Vesting Commencement Date, with the remainder vesting in equal quarterly installments over the following three years, subject to the grantee’s continued service through the applicable vesting date.</w:t>
      </w:r>
    </w:p>
    <w:p>
      <w:pPr>
        <w:ind w:left="540" w:right="220" w:hanging="424"/>
        <w:spacing w:after="0" w:line="264" w:lineRule="auto"/>
        <w:tabs>
          <w:tab w:leader="none" w:pos="54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award vested 50% on the Vesting Commencement Date, with the remainder vesting in equal quarterly installments over the following two years, subject to the grantee’s continued service through the applicable vesting date.</w:t>
      </w:r>
    </w:p>
    <w:p>
      <w:pPr>
        <w:ind w:left="540" w:right="100" w:hanging="424"/>
        <w:spacing w:after="0" w:line="216" w:lineRule="auto"/>
        <w:tabs>
          <w:tab w:leader="none" w:pos="54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 of the award vested on April 29, 2025 and the remainder vests in equal 1/16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installments on each June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September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December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and March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6"/>
          <w:szCs w:val="16"/>
          <w:color w:val="auto"/>
        </w:rPr>
        <w:t xml:space="preserve"> thereafter, through the four-year anniversary of the grant date, subject to the grantee’s continued service through the applicable vesting date.</w:t>
      </w:r>
    </w:p>
    <w:p>
      <w:pPr>
        <w:spacing w:after="0" w:line="1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294</w:t>
      </w:r>
    </w:p>
    <w:p>
      <w:pPr>
        <w:sectPr>
          <w:pgSz w:w="11900" w:h="16838" w:orient="portrait"/>
          <w:cols w:equalWidth="0" w:num="1">
            <w:col w:w="11140"/>
          </w:cols>
          <w:pgMar w:left="320" w:top="455" w:right="4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540" w:right="360" w:hanging="424"/>
        <w:spacing w:after="0" w:line="269" w:lineRule="auto"/>
        <w:tabs>
          <w:tab w:leader="none" w:pos="54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award vests in equal quarterly installments over two years from the Vesting Commencement Date, subject to the grantee’s continued service through the applicable vesting date.</w:t>
      </w:r>
    </w:p>
    <w:p>
      <w:pPr>
        <w:ind w:left="540" w:right="20" w:hanging="424"/>
        <w:spacing w:after="0" w:line="288" w:lineRule="auto"/>
        <w:tabs>
          <w:tab w:leader="none" w:pos="54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award vests 50% upon the achievement of certain corporate performance goals, and 50% in equal quarterly installments over the two years thereafter, subject to the grantee’s continued service through the applicable vesting dates.</w:t>
      </w:r>
    </w:p>
    <w:p>
      <w:pPr>
        <w:spacing w:after="0" w:line="2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 and Equity Compensation Plans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2016 Stock Option and Grant Plan</w:t>
      </w:r>
    </w:p>
    <w:p>
      <w:pPr>
        <w:spacing w:after="0" w:line="121"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The 2016 Stock Option and Grant Plan, or 2016 Plan, was initially adopted by the Obsidian Board and approved by Obsidian’s stockholders on March 23, 2016, and most recently amended in March 2024 to increase the number of shares reserved for issuance thereunder. The 2016 Plan expired in March 2026. Under the 2016 Plan, as amended, Obsidian reserved for issuance an aggregate of 48,749,161 shares of Obsidian common stock. The maximum number of shares that could have been issued pursuant to incentive stock options under the 2016 Plan did not exceed 48,749,161 shares. These numbers were subject to adjustment in the event of a reorganization, stock split, reverse stock split, stock dividend, recapitalization, reclassification, or other similar change in capitalization or event. As of December 31, 2025, options to purchase 38,061,610 shares of Obsidian’s common stock were outstanding under the 2016 Plan. Obsidian’s Board determined not to make any further awards under the 2016 Plan following the closing of the mergers and concurrent financing, but given the 2016 Plan shall be assumed by Parent as provided for by the terms of the 2016 Plan, all outstanding awards under the 2016 Plan will continue to be governed by their existing terms. In connection with the mergers, Parent will adopt a new incentive equity plan under which we will grant equity-based awards following the mergers and concurrent financing, as described under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Obsidian—Employee Benefit and Equity Compensation Plans—2026 Equity Incentive Plan</w:t>
      </w:r>
      <w:r>
        <w:rPr>
          <w:rFonts w:ascii="Times New Roman" w:cs="Times New Roman" w:eastAsia="Times New Roman" w:hAnsi="Times New Roman"/>
          <w:sz w:val="18"/>
          <w:szCs w:val="18"/>
          <w:color w:val="auto"/>
        </w:rPr>
        <w:t>” beginning on page 295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The following summary describes the material terms of the 2016 Plan. This summary is not a complete description of all provisions of the 2016 Plan and is qualified in its entirety by reference to the 2016 Plan, which is filed as an exhibit to the registration statement of which this prospectus is a part.</w:t>
      </w:r>
    </w:p>
    <w:p>
      <w:pPr>
        <w:spacing w:after="0" w:line="19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shares of Obsidian common stock underlying any awards that are forfeited, cancelled, reacquired by us prior to vesting, satisfied without the issuance of Obsidian common stock, or otherwise terminated (other than by exercise) and shares that are withheld upon exercise of an option or settlement of an award to cover the exercise price or tax withholding under the 2016 Plan are currently added back to the shares of Obsidian common stock available for issuance under our 2016 Plan (and, following the completion of the mergers and concurrent financing, will be added back to the shares of Parent common stock available for issuance under the 2026 Stock Option and Incentive Plan, or 2026 Plan).</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Obsidian Board acted as administrator of the 2016 Plan. The administrator had full power to, among other things, select, from among the individuals eligible for awards, the individuals to whom awards will be granted, make any combination of awards to participants, determine the specific terms and conditions of each award, and accelerate at any time the exercisability or vesting of any award, subject to the provisions of the 2016 Plan. Persons eligible to participate in Obsidian’s 2016 Plan were Obsidian’s full or part-time officers, employees, directors, consultants, and other key persons as selected from time to time by the administrator in its discretion.</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2016 Plan permitted the granting of (1) options to purchase common stock intended to qualify as incentive stock options under Section 422 of the Code and (2) options that do not so qualify. The option exercise price of each option was determined by the administrator but could not be less than 100% of the fair market value of the common stock on the date of grant or, in the case of an incentive stock option granted to a 10% owner, the exercise price could not be less than 110% of the fair market value of Obsidian common stock on the date of grant. The term of each option was fixed by the administrator and could not exceed ten years from the date of grant (or five years in the case of certain incentive stock option grants). The administrator determined at what time or times each option may be exercised.</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administrator of the 2016 Plan could have awarded restricted shares of Obsidian common stock and restricted stock units subject to such conditions and restrictions as it determined. These conditions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295</w:t>
      </w:r>
    </w:p>
    <w:p>
      <w:pPr>
        <w:sectPr>
          <w:pgSz w:w="11900" w:h="16838" w:orient="portrait"/>
          <w:cols w:equalWidth="0" w:num="1">
            <w:col w:w="11100"/>
          </w:cols>
          <w:pgMar w:left="320" w:top="455" w:right="4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40"/>
        <w:spacing w:after="0" w:line="282" w:lineRule="auto"/>
        <w:rPr>
          <w:sz w:val="20"/>
          <w:szCs w:val="20"/>
          <w:color w:val="auto"/>
        </w:rPr>
      </w:pPr>
      <w:r>
        <w:rPr>
          <w:rFonts w:ascii="Times New Roman" w:cs="Times New Roman" w:eastAsia="Times New Roman" w:hAnsi="Times New Roman"/>
          <w:sz w:val="18"/>
          <w:szCs w:val="18"/>
          <w:color w:val="auto"/>
        </w:rPr>
        <w:t>restrictions could have included continued employment or other service relationship with Obsidian through a specified vesting period and/or the achievement of certain performance goals.</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of the 2016 Plan could also have granted shares of common stock that were free from any restrictions under the 2016 Plan. Unrestricted stock could have been granted to participants in recognition of past services or for other valid consideration and could have been issued in lieu of cash compensation due to such participant.</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the event of certain corporate transactions and events, including a reorganization, recapitalization, reclassification, stock dividend, stock split, reverse stock split, or other similar change to the Company’s capital stock, the administrator of the 2016 Plan was required to make appropriate adjustments to the maximum number of shares reserved for issuance under the 2016 Plan, the number and kind of securities subject to outstanding awards under the 2016 Plan, and the repurchase or exercise price of any outstanding awards under the 2016 Plan.</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2016 Plan provided that upon the effective time of a Sale Event (as defined in the 2016 Plan), the 2016 Plan and all outstanding stock options under the 2016 Plan would terminate, unless assumed or continued by the successor entity. In the event of such termination, optionees would have been provided an opportunity to exercise options that were then exercisable or would become exercisable as of the effective time of the sale event within a specified period of time prior to the consummation of the sale event. In addition, Obsidian had the right to provide for cash payment to holders of options, in exchange for the cancellation thereof, in an amount equal to the difference between the value of the consideration payable per share of Obsidian common stock in the sale event and the per share exercise price of such options, multiplied by the number of shares subject to such option to the extent then vested and exercisable. In the event of a sale event, unvested restricted stock and restricted stock units (other than those becoming vested as a result of the sale event) would have been forfeited unless such awards were assumed or continued by the successor entity. If shares of restricted stock were forfeited in connection with a sale event, those shares of restricted stock could have been repurchased at a price per share equal to the original per share purchase price of such shares. Obsidian had the right to provide for cash payment to holders of restricted stock or restricted stock units, in exchange for the cancellation thereof, in an amount per share equal to the value of the consideration payable per share of common stock in the sale event.</w:t>
      </w:r>
    </w:p>
    <w:p>
      <w:pPr>
        <w:spacing w:after="0" w:line="19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Obsidian’s Board had authority to amend or discontinue the 2016 Plan at any time, subject to stockholder approval where required by applicable law. The administrator of the 2016 Plan was authorized to amend or cancel any outstanding award for purposes of satisfying changes in law or for any other lawful purpose, provided that no such action would adversely affect rights under an outstanding award without the holder’s consent. The administrator of the 2016 Plan was authorized to exercise its discretion to reduce the exercise price of outstanding stock options or effect the repricing of such awards through cancellation and re-grants.</w:t>
      </w:r>
    </w:p>
    <w:p>
      <w:pPr>
        <w:spacing w:after="0" w:line="183"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2016 Plan expired in March 2026. As described above, the Obsidian Board has determined not to make any further awards under our 2016 Plan following the completion of the mergers and the concurrent financing.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2026 Equity Incentive Plan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2026 Plan was adopted by the Parent Board and approved by Parent’s sole stockholder on June 30, 2026, and will become effective immediately preceding the closing of the mergers. The 2026 Plan will replace the 2016 Plan. The 2026 Plan will allow Parent to make equity-based and cash-based incentive awards to our officers, employees, directors, and consultants. The following summary describes the material terms of the 2026 Plan. This summary is not a complete description of all provisions of the 2026 Plan and is qualified in its entirety by reference to the 2026 Plan, which is filed as an exhibit to the registration statement of which this information statement/prospectus is a part.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Authorized Shares</w:t>
      </w:r>
      <w:r>
        <w:rPr>
          <w:rFonts w:ascii="Times New Roman" w:cs="Times New Roman" w:eastAsia="Times New Roman" w:hAnsi="Times New Roman"/>
          <w:sz w:val="17"/>
          <w:szCs w:val="17"/>
          <w:color w:val="auto"/>
        </w:rPr>
        <w:t>. Parent has initially reserved a number of shares of Parent common stock for issuance under the 2026 Plan equal to the lesser of</w:t>
      </w:r>
    </w:p>
    <w:p>
      <w:pPr>
        <w:spacing w:after="0" w:line="41" w:lineRule="exact"/>
        <w:rPr>
          <w:sz w:val="20"/>
          <w:szCs w:val="20"/>
          <w:color w:val="auto"/>
        </w:rPr>
      </w:pPr>
    </w:p>
    <w:p>
      <w:pPr>
        <w:ind w:left="340" w:hanging="224"/>
        <w:spacing w:after="0"/>
        <w:tabs>
          <w:tab w:leader="none" w:pos="3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number of fully diluted shares of Parent common stock outstanding immediately following the closing of the mergers and</w:t>
      </w:r>
    </w:p>
    <w:p>
      <w:pPr>
        <w:spacing w:after="0" w:line="9"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7,594,528 shares of Parent common stock</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296</w:t>
      </w:r>
    </w:p>
    <w:p>
      <w:pPr>
        <w:sectPr>
          <w:pgSz w:w="11900" w:h="16838" w:orient="portrait"/>
          <w:cols w:equalWidth="0" w:num="1">
            <w:col w:w="11120"/>
          </w:cols>
          <w:pgMar w:left="320" w:top="455" w:right="45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“Initial Limit”). The 2026 Plan provides that the number of shares reserved and available for issuance under the 2026 Plan will automatically increase on January 1, 2027 and each January thereafter during the term of the 2026 Plan, by (i) 5% of the sum of (A) the number of shares of Parent common stock issued and outstanding on the immediately preceding December 31, (B) the number of shares of Parent preferred stock issued and outstanding on the immediately preceding December 31 and (C) the number of shares of Parent stock issuable pursuant to the exercise of any outstanding, pre-funded warrants to acquire such Parent common stock or Parent preferred stock on the date immediately preceding December 31 (the “Outstanding Shares”), or (ii) such lesser number of shares as determined by Parent’s compensation committee (the “Annual Increase”). The number of shares of Parent common stock reserved for issuance under the 2026 Plan will be subject to adjustment in the event of a stock split, stock dividend, or other change in our capitalization.</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Parent issues under the 2026 Plan will be authorized but unissued shares or shares that we reacquire. The shares of Parent common stock underlying any awards under the 2026 Plan and the 2016 Plan that are forfeited, cancelled, held back upon exercise or settlement of an award to satisfy the exercise price or tax withholding, reacquired by Parent prior to vesting, satisfied without the issuance of stock, expire, or are otherwise terminated (other than by exercise) will be added back to the shares of common stock available for issuance under the 2026 Plan. The maximum number of shares of Parent common stock that may be issued pursuant to incentive stock options shall not exceed the Initial Limit, cumulatively increased on January 1, 2027 and on each January 1 thereafter by the lesser of the Annual Increase for such year or the Initial Limit.</w:t>
      </w:r>
    </w:p>
    <w:p>
      <w:pPr>
        <w:spacing w:after="0" w:line="185" w:lineRule="exact"/>
        <w:rPr>
          <w:sz w:val="20"/>
          <w:szCs w:val="20"/>
          <w:color w:val="auto"/>
        </w:rPr>
      </w:pPr>
    </w:p>
    <w:p>
      <w:pPr>
        <w:ind w:left="120" w:right="14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Non-Employee Director Limit</w:t>
      </w:r>
      <w:r>
        <w:rPr>
          <w:rFonts w:ascii="Times New Roman" w:cs="Times New Roman" w:eastAsia="Times New Roman" w:hAnsi="Times New Roman"/>
          <w:sz w:val="17"/>
          <w:szCs w:val="17"/>
          <w:color w:val="auto"/>
        </w:rPr>
        <w:t>. The grant date fair value of all awards under the 2026 Plan and all other cash compensation paid by Parent to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non-employee director during any one calendar year for services as a non-employee director may not exceed $750,000; provided, however, that such amount shall be $1,000,000 for the calendar year in which the applicable non-employee director is initially elected or appointed to the Parent Board.</w:t>
      </w:r>
    </w:p>
    <w:p>
      <w:pPr>
        <w:spacing w:after="0" w:line="155"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2026 Plan will be administered by Parent’s compensation committee. Parent’s compensation committee will have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2026 Plan. The compensation committee will be specifically authorized to exercise its discretion to reduce the exercise price of outstanding stock options and stock appreciation rights or effect the repricing of such awards through cancellation and re-grants without stockholder approval.</w:t>
      </w:r>
    </w:p>
    <w:p>
      <w:pPr>
        <w:spacing w:after="0" w:line="182" w:lineRule="exact"/>
        <w:rPr>
          <w:sz w:val="20"/>
          <w:szCs w:val="20"/>
          <w:color w:val="auto"/>
        </w:rPr>
      </w:pPr>
    </w:p>
    <w:p>
      <w:pPr>
        <w:ind w:left="120" w:right="3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Persons eligible to participate in the 2026 Plan will be those employees, non-employee directors, and consultants of Parent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selected from time to time by Parent’s compensation committee in its discretion.</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Stock Options</w:t>
      </w:r>
      <w:r>
        <w:rPr>
          <w:rFonts w:ascii="Times New Roman" w:cs="Times New Roman" w:eastAsia="Times New Roman" w:hAnsi="Times New Roman"/>
          <w:sz w:val="18"/>
          <w:szCs w:val="18"/>
          <w:color w:val="auto"/>
        </w:rPr>
        <w:t>. The 2026 Plan permits the granting of both options to purchase common stock intended to qualify as incentive stock options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422 of the Code and options that do not so qualify. The option exercise price of each option will be determined by Parent’s compensation committee but may not be less than 100% of the fair market value of our common stock on the date of grant unless the option (i) is granted pursuant to a transaction described in and in a manner consistent with, Section 424(a) of the Code, (ii) is granted to an individual who is not subject to United States income tax, or (iii) complies with or is exempt from Section 409A of the Code. The term of each option will be fixed by Parent’s compensation committee and may not exceed ten years from the date of grant (or five years in the case of certain incentive stock options). Parent’s compensation committee will determine at what time or times each option may be exercised.</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Parent’s compensation committee may award stock appreciation rights under the 2026 Plan subject to such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restrictions as it determines. Stock appreciation rights entitle the recipient to shares of Parent common stock, or cash, equal to the value of the appreciation in Parent’s stock price over the exercise price. The exercise price of each stock appreciation right may not be less than 100% of the fair market value of Parent common stock on the date of grant unless the stock appreciation right (i) is granted</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297</w:t>
      </w:r>
    </w:p>
    <w:p>
      <w:pPr>
        <w:sectPr>
          <w:pgSz w:w="11900" w:h="16838" w:orient="portrait"/>
          <w:cols w:equalWidth="0" w:num="1">
            <w:col w:w="11100"/>
          </w:cols>
          <w:pgMar w:left="320" w:top="455" w:right="47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pursuant to a transaction described in, and in a manner consistent with, Section 424(a) of the Code, (ii) is granted to an individual who is not subject to United States income tax, or (iii) complies with or is exempt from Section 409A of the Code. The term of each stock appreciation right will be fixed by Parent’s compensation committee and may not exceed ten years from the date of grant. Parent’s compensation committee will determine at what time or times each stock appreciation right may be exercised.</w:t>
      </w:r>
    </w:p>
    <w:p>
      <w:pPr>
        <w:spacing w:after="0" w:line="178"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Restricted Stock and Restricted Stock Units</w:t>
      </w:r>
      <w:r>
        <w:rPr>
          <w:rFonts w:ascii="Times New Roman" w:cs="Times New Roman" w:eastAsia="Times New Roman" w:hAnsi="Times New Roman"/>
          <w:sz w:val="18"/>
          <w:szCs w:val="18"/>
          <w:color w:val="auto"/>
        </w:rPr>
        <w:t>. Parent’s compensation committee may award restricted shares of common stock and 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to participants subject to such conditions and restrictions as it determines. These conditions and restrictions may include the achievement of certain performance goals and/or continued employment or other service relationship with Parent through a specified vesting period.</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Unrestricted Stock Awards</w:t>
      </w:r>
      <w:r>
        <w:rPr>
          <w:rFonts w:ascii="Times New Roman" w:cs="Times New Roman" w:eastAsia="Times New Roman" w:hAnsi="Times New Roman"/>
          <w:sz w:val="18"/>
          <w:szCs w:val="18"/>
          <w:color w:val="auto"/>
        </w:rPr>
        <w:t>. Parent’s compensation committee may grant shares of common stock that are free from any restrictions under the 2026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Unrestricted stock may be granted to participants in recognition of past services or for other valid consideration and may be issued in lieu of cash compensation due to such participant.</w:t>
      </w:r>
    </w:p>
    <w:p>
      <w:pPr>
        <w:spacing w:after="0" w:line="173" w:lineRule="exact"/>
        <w:rPr>
          <w:sz w:val="20"/>
          <w:szCs w:val="20"/>
          <w:color w:val="auto"/>
        </w:rPr>
      </w:pPr>
    </w:p>
    <w:p>
      <w:pPr>
        <w:ind w:left="120" w:right="3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 Equivalent Rights</w:t>
      </w:r>
      <w:r>
        <w:rPr>
          <w:rFonts w:ascii="Times New Roman" w:cs="Times New Roman" w:eastAsia="Times New Roman" w:hAnsi="Times New Roman"/>
          <w:sz w:val="18"/>
          <w:szCs w:val="18"/>
          <w:color w:val="auto"/>
        </w:rPr>
        <w:t>. Parent’s compensation committee may grant dividend equivalent rights to participants that entitle the recipient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 credits for dividends that would be paid if the recipient had held a specified number of shares of common stock.</w:t>
      </w:r>
    </w:p>
    <w:p>
      <w:pPr>
        <w:spacing w:after="0" w:line="158"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Cash-Based Awards</w:t>
      </w:r>
      <w:r>
        <w:rPr>
          <w:rFonts w:ascii="Times New Roman" w:cs="Times New Roman" w:eastAsia="Times New Roman" w:hAnsi="Times New Roman"/>
          <w:sz w:val="18"/>
          <w:szCs w:val="18"/>
          <w:color w:val="auto"/>
        </w:rPr>
        <w:t>. Parent’s compensation committee may grant cash bonuses under the 2026 Plan to participants, subject to the achievement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performance goals.</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Sale Event</w:t>
      </w:r>
      <w:r>
        <w:rPr>
          <w:rFonts w:ascii="Times New Roman" w:cs="Times New Roman" w:eastAsia="Times New Roman" w:hAnsi="Times New Roman"/>
          <w:sz w:val="18"/>
          <w:szCs w:val="18"/>
          <w:color w:val="auto"/>
        </w:rPr>
        <w:t>. The 2026 Plan provides that, upon the effectiveness of a “sale event” (as defined in the 2026 Plan), an acquirer or successor entity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 continue, or substitute outstanding awards under the 2026 Plan. To the extent that awards granted under the 2026 Plan are not assumed, continued, or substituted by the successor entity, the 2026 Plan and all awards granted under the 2026 Plan will terminate. In such case, except as may be otherwise provided in the relevant award agreement, all awards with time-based vesting, conditions, or restrictions will become fully vested and exercisable or nonforfeitable as of the effective time of the sale event and all awards with conditions and restrictions relating to the attainment of performance goals may become vested and exercisable or nonforfeitable in connection with the sale event in the plan administrator’s discretion or to the extent specified in the relevant award agreement. In the event of such termination, (i) individuals holding options and stock appreciation rights will be permitted to exercise any options and stock appreciation rights (to the extent exercisable) within a specified time period, as determined by Parent’s compensation committee, prior to the sale event or (ii) Parent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provided, that any options or stock appreciation rights with exercise prices equal to or greater than such per share consideration will be cancelled for no consideration. In addition, Parent may make or provide for a payment, in cash or in kind, to the participants holding other awards in an amount equal to the per share consideration payable to stockholders in the sale event multiplied by the number of vested shares of common stock under such awards.</w:t>
      </w:r>
    </w:p>
    <w:p>
      <w:pPr>
        <w:spacing w:after="0" w:line="185"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Parent Board may amend or discontinue the 2026 Plan and Parent’s compensation committee may amend or cancel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for purposes of satisfying changes in law or any other lawful purpose, but no such action may materially and adversely affect rights under an award without the holder’s consent. Certain amendments to the 2026 Plan require the approval of Parent’s stockholders. Parent’s compensation committee will be specifically authorized to exercise its discretion to reduce the exercise price of outstanding stock options and stock appreciation rights or effect the repricing of such awards through cancellation and re-grants without stockholder consent.</w:t>
      </w:r>
    </w:p>
    <w:p>
      <w:pPr>
        <w:spacing w:after="0" w:line="18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No awards may be granted under the 2026 Plan after the date that is ten years from the effective date of the 2026 Plan. No awards have been made under the 2026 Plan prior to the date hereof.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298</w:t>
      </w:r>
    </w:p>
    <w:p>
      <w:pPr>
        <w:sectPr>
          <w:pgSz w:w="11900" w:h="16838" w:orient="portrait"/>
          <w:cols w:equalWidth="0" w:num="1">
            <w:col w:w="11120"/>
          </w:cols>
          <w:pgMar w:left="320" w:top="455" w:right="4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2026 Employee Stock Purchase Plan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2026 ESPP, was adopted by the Parent Board and approved by Parent’s sole stockholder on June 30, 2026, and will become effective on the date immediately preceding the closing of the mergers. The 2026 ESPP has two components: a component intended to qualify as an “employee stock purchase plan” within the meaning of Section 423 of the Code (the “423 Component”), and a component that is not intended to so qualify (the “Non-423 Component”). Except as otherwise provided, the Non-423 Component will be operated and administered in the same manner as the 423 Component, except where prohibited by law. The following summary describes the material terms of the 2026 ESPP. This summary is not a complete description of all provisions of the 2026 ESPP and is qualified in its entirety by reference to the 2026 ESPP, which is filed as an exhibit to the registration statement of which this prospectus is a part.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Authorized Shares</w:t>
      </w:r>
      <w:r>
        <w:rPr>
          <w:rFonts w:ascii="Times New Roman" w:cs="Times New Roman" w:eastAsia="Times New Roman" w:hAnsi="Times New Roman"/>
          <w:sz w:val="18"/>
          <w:szCs w:val="18"/>
          <w:color w:val="auto"/>
        </w:rPr>
        <w:t>. The 2026 ESPP initially reserves and authorizes the issuance a number of shares of Parent common stock equal to the lesser of</w:t>
      </w:r>
    </w:p>
    <w:p>
      <w:pPr>
        <w:spacing w:after="0" w:line="29" w:lineRule="exact"/>
        <w:rPr>
          <w:sz w:val="20"/>
          <w:szCs w:val="20"/>
          <w:color w:val="auto"/>
        </w:rPr>
      </w:pPr>
    </w:p>
    <w:p>
      <w:pPr>
        <w:ind w:left="120" w:right="80" w:hanging="4"/>
        <w:spacing w:after="0" w:line="250" w:lineRule="auto"/>
        <w:tabs>
          <w:tab w:leader="none" w:pos="33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number of fully diluted shares of Parent common stock outstanding immediately following the closing of the mergers and (ii) 759,452 shares of Parent common stock (the “Initial ESPP Limit”) to participating employees. The 2026 ESPP provides that the number of shares reserved and available for issuance will automatically increase on January 1, 2027 and each January 1 thereafter through January 1, 2036 by the least of</w:t>
      </w:r>
    </w:p>
    <w:p>
      <w:pPr>
        <w:spacing w:after="0" w:line="1" w:lineRule="exact"/>
        <w:rPr>
          <w:rFonts w:ascii="Times New Roman" w:cs="Times New Roman" w:eastAsia="Times New Roman" w:hAnsi="Times New Roman"/>
          <w:sz w:val="18"/>
          <w:szCs w:val="18"/>
          <w:color w:val="auto"/>
        </w:rPr>
      </w:pPr>
    </w:p>
    <w:p>
      <w:pPr>
        <w:ind w:left="120" w:right="180" w:hanging="4"/>
        <w:spacing w:after="0" w:line="255" w:lineRule="auto"/>
        <w:tabs>
          <w:tab w:leader="none" w:pos="33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ESPP Limit, (ii) 1% of the Outstanding Shares or (iii) such number of shares of Parent common stock as determined by the administrator of the 2026 ESPP. The number of shares reserved under the 2026 ESPP is subject to adjustment in the event of a stock split, stock dividend, or other change in our capitalization.</w:t>
      </w:r>
    </w:p>
    <w:p>
      <w:pPr>
        <w:spacing w:after="0" w:line="184"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i w:val="1"/>
          <w:iCs w:val="1"/>
          <w:color w:val="auto"/>
        </w:rPr>
        <w:t>Eligibility</w:t>
      </w:r>
      <w:r>
        <w:rPr>
          <w:rFonts w:ascii="Times New Roman" w:cs="Times New Roman" w:eastAsia="Times New Roman" w:hAnsi="Times New Roman"/>
          <w:sz w:val="17"/>
          <w:szCs w:val="17"/>
          <w:color w:val="auto"/>
        </w:rPr>
        <w:t>. All individuals classified as employees on the payroll records of Parent or a “designated company” (as defined in the 2026 ESPP)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first day of the applicable offering period are eligible to participate in the 2026 ESPP, provided that the administrator of the 2026 ESPP may determine in advance of an offering that employees are eligible only if, as of the first day of the offering, they (a) are customarily employed by Parent or a designated company for more than 20 hours a week (or such lesser amount determined by the administrator of the 2026 ESPP), (b) are customarily employed by Parent or a designated company for more than five months per calendar year, (c) have completed a minimum period of employment as determined by the administrator of the 2026 ESPP, provided such service requirement does not exceed two years of employment, and/or (d) they are not highly compensated employees. However, any employee who owns, or as a result of participation in the 2026 ESPP would own or hold, 5% or more of the total combined voting power or value of all classes of Parent stock will not be eligible to purchase shares of common stock under the 2026 ESPP.</w:t>
      </w:r>
    </w:p>
    <w:p>
      <w:pPr>
        <w:spacing w:after="0" w:line="17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Offerings</w:t>
      </w:r>
      <w:r>
        <w:rPr>
          <w:rFonts w:ascii="Times New Roman" w:cs="Times New Roman" w:eastAsia="Times New Roman" w:hAnsi="Times New Roman"/>
          <w:sz w:val="18"/>
          <w:szCs w:val="18"/>
          <w:color w:val="auto"/>
        </w:rPr>
        <w:t>. Parent may make one or more offerings each year to our employees to purchase shares of Parent common stock under the 2026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which may consist of one or more purchase periods. Offerings will begin and end on the dates determined by the administrator of the 2026 ESPP, except that no offering will exceed 27 months in duration. Each eligible employee may elect to participate in any offering by submitting an enrollment form by the deadline established by the administrator of the 2026 ESPP.</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Each employee who is a participant in the 2026 ESPP may purchase shares by authorizing payroll deductions at a minimum of 1% and up to a maximum of 15% of such participant’s eligible compensation during an offering period (or such other minimum and maximum as determined by the administrator in advance of an offering). Unless the participating employee has previously withdrawn from the offering, such participant’s accumulated payroll deductions will be used to purchase shares of Parent common stock on the last day of each purchase period at a price equal to 85% of the fair market value of the shares on the first day or the last day of the purchase period, whichever is lower, provided that no more than the number of shares of Parent common stock determined by dividing $25,000 by the fair market value of our common stock on the first day of such offering period (or such other maximum number of shares as may be established by the administrator of the 2026 ESPP) may be purchased by any one employee during any purchase period. Under applicable tax rules, an employee may purchase no more than $25,000 worth of shares of Parent common stock, valued at the start of the offering period, under the 2026 ESPP for each calendar year during which any option granted to the employee is outstanding at any time.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299</w:t>
      </w:r>
    </w:p>
    <w:p>
      <w:pPr>
        <w:sectPr>
          <w:pgSz w:w="11900" w:h="16838" w:orient="portrait"/>
          <w:cols w:equalWidth="0" w:num="1">
            <w:col w:w="11120"/>
          </w:cols>
          <w:pgMar w:left="320" w:top="455" w:right="45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accumulated payroll deductions of any employee who is not a participant on the last day of an offering period will be refunded. An employee’s rights under the 2026 ESPP terminate upon voluntary withdrawal from the plan or when the employee ceases employment with us for any reason.</w:t>
      </w:r>
    </w:p>
    <w:p>
      <w:pPr>
        <w:spacing w:after="0" w:line="17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Sale Event. </w:t>
      </w:r>
      <w:r>
        <w:rPr>
          <w:rFonts w:ascii="Times New Roman" w:cs="Times New Roman" w:eastAsia="Times New Roman" w:hAnsi="Times New Roman"/>
          <w:sz w:val="18"/>
          <w:szCs w:val="18"/>
          <w:color w:val="auto"/>
        </w:rPr>
        <w:t>In the case of and subject to the consummation of a Sale Event (as defined in the 2026 ESPP), the administrator of the 2026 ESPP,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discretion, and on such terms and conditions as it deems appropriate, is authorized to take any one or more of the following actions under the 2026 ESPP or with respect to any right under the 2026 ESPP or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2026 ESPP in its sole discretion; (ii) provide that the outstanding options under the 2026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2026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w:t>
      </w:r>
    </w:p>
    <w:p>
      <w:pPr>
        <w:spacing w:after="0" w:line="190" w:lineRule="exact"/>
        <w:rPr>
          <w:sz w:val="20"/>
          <w:szCs w:val="20"/>
          <w:color w:val="auto"/>
        </w:rPr>
      </w:pPr>
    </w:p>
    <w:p>
      <w:pPr>
        <w:ind w:left="120" w:right="6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2026 ESPP may be terminated or amended by the Parent Board at any time. An amendment that increases the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Parent common stock authorized under the 2026 ESPP and certain other amendments require the approval of Parent’s stockholders.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Senior Executive Cash Incentive Bonus Plan</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June 22, 2026, the Parent Board adopted the Senior Executive Cash Incentive Bonus Plan (the “Bonus Plan”). The Bonus Plan provides for cash bonus payments based upon Parent and individual performance targets established by our compensation committee. The performance targets will be related to financial or operational measures or objectives with respect to Parent, or corporate performance goals, as well as individual performance objectives. The following summary describes the material terms of the Bonus Plan. This summary is not a complete description of all provisions of the Bonus Plan and is qualified in its entirety by reference to the Bonus Plan, which is filed as an exhibit to the registration statement of which this prospectus is a part.</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Parent’s compensation committee may select corporate performance goals from among the following: research and development, publication, clinical, and/or regulatory milestones; revenue; corporate revenue; earnings before interest, taxes, depreciation, and amortization; net income (loss) (either before or after interest, taxes, depreciation, and/or amortization); changes in the market price of Parent common stock; economic value-added; acquisitions or strategic transactions, including licenses, collaborations, joint ventures, or promotion arrangements; financing or other capital raising transactions; operating income (loss); return on capital, assets, equity, or investment; stockholder returns; return on sales; gross or net profit levels; productivity; expense efficiency; margins; operating efficiency; customer satisfaction; working capital; earnings (loss) per share of Parent common stock; sales or market shares; number of prescriptions or prescribing physicians; coverage decisions; leadership development, employee retention and recruiting, and other human resources matters; operating income; and/or net annual recurring revenue; or any other performance goal selected by the compensation committee, any of which may be (A) measured in absolute terms or as compared to any incremental increase, (B) measured in terms of growth, as compared to results of a peer group, or (C) measured against the market as a whole, compared to applicable market indices, and/or measured on a pre-tax or post-tax basis.</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Each executive officer who is selected to participate in the Bonus Plan will have a target bonus opportunity set for each performance period. The bonus formulas will be adopted in each performance period by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300</w:t>
      </w:r>
    </w:p>
    <w:p>
      <w:pPr>
        <w:sectPr>
          <w:pgSz w:w="11900" w:h="16838" w:orient="portrait"/>
          <w:cols w:equalWidth="0" w:num="1">
            <w:col w:w="11060"/>
          </w:cols>
          <w:pgMar w:left="320" w:top="455" w:right="51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compensation committee and communicated to each executive. The corporate performance goals will be measured at the end of each performance period after Parent’s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but not later than 74 days after the end of the year in which such performance period ends. Subject to any rights contained in any agreement between the executive officer and Parent, an executive officer shall be required to be employed by Parent on the bonus payment date to be eligible to receive a bonus payment under the Bonus Plan. The Bonus Plan also permits Parent’s compensation committee to approve additional bonuses to executive officers in its sole discretion.</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301</w:t>
      </w:r>
    </w:p>
    <w:p>
      <w:pPr>
        <w:sectPr>
          <w:pgSz w:w="11900" w:h="16838" w:orient="portrait"/>
          <w:cols w:equalWidth="0" w:num="1">
            <w:col w:w="11040"/>
          </w:cols>
          <w:pgMar w:left="320" w:top="455" w:right="5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DIRECTOR COMPENSATION OF OBSIDIAN</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section to “we,” “us” “our” and the “Company” refer to Obsidian.</w:t>
      </w:r>
    </w:p>
    <w:p>
      <w:pPr>
        <w:spacing w:after="0" w:line="22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following table presents the compensation awarded to, earned by, or paid to each person who served as a non-employee member of the Obsidian Board for their services to Obsidian during Fiscal Year 2025. Other than as set forth in the table and described more fully below, Obsidian did not pay any compensation, make any equity awards or non-equity awards to, or pay any other compensation to any of the non-employee members of the Obsidian Board in Fiscal Year 2025. During the Fiscal Year 2025, Obsidian did not have a formal non-employee director compensation program; however, in the Fiscal Year 2025, Dr. Fardis received $50,000 in cash compensation for her services as chairperson of the Obsidian Board, Ms. Hagen and Dr. Ross each received $25,000 in cash compensation for service as an independent director and Dr. Norkunas received $35,000 in cash compensation for service as an independent director and chair of the audit committee of the Obsidian Board. We reimburse non-employee members of the Obsidian Board for reasonable travel and out-of-pocket expenses incurred in attending meetings of the Obsidian Board and committees of the Obsidian Board. Dr. Jagasia, who is our Chief Executive Officer, did not receive any additional compensation for his service as a director, and</w:t>
      </w:r>
    </w:p>
    <w:p>
      <w:pPr>
        <w:spacing w:after="0" w:line="6" w:lineRule="exact"/>
        <w:rPr>
          <w:sz w:val="20"/>
          <w:szCs w:val="20"/>
          <w:color w:val="auto"/>
        </w:rPr>
      </w:pPr>
    </w:p>
    <w:p>
      <w:pPr>
        <w:jc w:val="both"/>
        <w:ind w:left="120" w:right="100"/>
        <w:spacing w:after="0" w:line="255" w:lineRule="auto"/>
        <w:rPr>
          <w:sz w:val="20"/>
          <w:szCs w:val="20"/>
          <w:color w:val="auto"/>
        </w:rPr>
      </w:pPr>
      <w:r>
        <w:rPr>
          <w:rFonts w:ascii="Times New Roman" w:cs="Times New Roman" w:eastAsia="Times New Roman" w:hAnsi="Times New Roman"/>
          <w:sz w:val="18"/>
          <w:szCs w:val="18"/>
          <w:color w:val="auto"/>
        </w:rPr>
        <w:t>Dr. Barrett, who serves on the Obsidian Board as a representative of a fund that is an investor in Obsidian, did not receive cash or equity compensation from Obsidian in Fiscal Year 2025 and, accordingly, he has been omitted from the table below. The compensation received by Dr. Jagasia, as a named executive officer of Obsidian, is presented in “</w:t>
      </w:r>
      <w:r>
        <w:rPr>
          <w:rFonts w:ascii="Times New Roman" w:cs="Times New Roman" w:eastAsia="Times New Roman" w:hAnsi="Times New Roman"/>
          <w:sz w:val="18"/>
          <w:szCs w:val="18"/>
          <w:i w:val="1"/>
          <w:iCs w:val="1"/>
          <w:color w:val="auto"/>
        </w:rPr>
        <w:t>2025 Summary Compensation Table</w:t>
      </w:r>
      <w:r>
        <w:rPr>
          <w:rFonts w:ascii="Times New Roman" w:cs="Times New Roman" w:eastAsia="Times New Roman" w:hAnsi="Times New Roman"/>
          <w:sz w:val="18"/>
          <w:szCs w:val="18"/>
          <w:color w:val="auto"/>
        </w:rPr>
        <w:t>” above.</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78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40" w:type="dxa"/>
            <w:vAlign w:val="bottom"/>
            <w:vMerge w:val="restart"/>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0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8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3260" w:type="dxa"/>
            <w:vAlign w:val="bottom"/>
            <w:gridSpan w:val="2"/>
          </w:tcPr>
          <w:p>
            <w:pPr>
              <w:jc w:val="right"/>
              <w:ind w:right="239"/>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520" w:type="dxa"/>
            <w:vAlign w:val="bottom"/>
          </w:tcPr>
          <w:p>
            <w:pPr>
              <w:spacing w:after="0"/>
              <w:rPr>
                <w:sz w:val="15"/>
                <w:szCs w:val="15"/>
                <w:color w:val="auto"/>
              </w:rPr>
            </w:pPr>
          </w:p>
        </w:tc>
        <w:tc>
          <w:tcPr>
            <w:tcW w:w="560" w:type="dxa"/>
            <w:vAlign w:val="bottom"/>
          </w:tcPr>
          <w:p>
            <w:pPr>
              <w:ind w:left="40"/>
              <w:spacing w:after="0" w:line="160"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 (3)</w:t>
            </w:r>
          </w:p>
        </w:tc>
        <w:tc>
          <w:tcPr>
            <w:tcW w:w="50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Ross</w:t>
            </w:r>
          </w:p>
        </w:tc>
        <w:tc>
          <w:tcPr>
            <w:tcW w:w="23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25,000</w:t>
            </w: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6"/>
              </w:rPr>
              <w:t>17,332</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42,332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Hagen</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520" w:type="dxa"/>
            <w:vAlign w:val="bottom"/>
          </w:tcPr>
          <w:p>
            <w:pPr>
              <w:spacing w:after="0"/>
              <w:rPr>
                <w:sz w:val="18"/>
                <w:szCs w:val="18"/>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27,093</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Fardis</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60,909</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Norkunas</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52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10,721</w:t>
            </w:r>
          </w:p>
        </w:tc>
        <w:tc>
          <w:tcPr>
            <w:tcW w:w="5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cash fees each director received for their services to the Obsidian Board during Fiscal Year 2025.</w:t>
      </w:r>
    </w:p>
    <w:p>
      <w:pPr>
        <w:spacing w:after="0" w:line="27" w:lineRule="exact"/>
        <w:rPr>
          <w:rFonts w:ascii="Times New Roman" w:cs="Times New Roman" w:eastAsia="Times New Roman" w:hAnsi="Times New Roman"/>
          <w:sz w:val="18"/>
          <w:szCs w:val="18"/>
          <w:color w:val="auto"/>
        </w:rPr>
      </w:pPr>
    </w:p>
    <w:p>
      <w:pPr>
        <w:ind w:left="540" w:right="200" w:hanging="424"/>
        <w:spacing w:after="0" w:line="265" w:lineRule="auto"/>
        <w:tabs>
          <w:tab w:leader="none" w:pos="54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reported represents the aggregate incremental fair value related to the repricing, in Fiscal Year 2025, of certain stock option awards held by the non-employee directors that were granted prior to Fiscal Year 2025, computed in accordance with FASB ASC Topic 718. The assumptions used in calculating the incremental fair values include a common stock fair value of $0.78, a risk-free interest rate ranging from</w:t>
      </w:r>
    </w:p>
    <w:p>
      <w:pPr>
        <w:ind w:left="540" w:right="2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4.03% to 4.14%, an expected dividend yield of 0.00%, an expected term of 3.2 to 5.2 years, and an expected volatility ranging from 76.86% to 80.18%. The amounts reported in this column reflect the accounting cost for the repricing of certain option awards and do not correspond to the actual economic value that may be received by our non-employee directors upon the exercise of the option awards or any sale of the underlying securities.</w:t>
      </w:r>
    </w:p>
    <w:p>
      <w:pPr>
        <w:spacing w:after="0" w:line="1" w:lineRule="exact"/>
        <w:rPr>
          <w:rFonts w:ascii="Times New Roman" w:cs="Times New Roman" w:eastAsia="Times New Roman" w:hAnsi="Times New Roman"/>
          <w:sz w:val="17"/>
          <w:szCs w:val="17"/>
          <w:color w:val="auto"/>
        </w:rPr>
      </w:pPr>
    </w:p>
    <w:p>
      <w:pPr>
        <w:ind w:left="540" w:right="60" w:hanging="424"/>
        <w:spacing w:after="0" w:line="260" w:lineRule="auto"/>
        <w:tabs>
          <w:tab w:leader="none" w:pos="5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each non-employee director held options to purchase the aggregate number of shares of Obsidian common stock as set forth below:</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1320" w:type="dxa"/>
            <w:vAlign w:val="bottom"/>
            <w:vMerge w:val="restart"/>
          </w:tcPr>
          <w:p>
            <w:pPr>
              <w:spacing w:after="0"/>
              <w:rPr>
                <w:sz w:val="12"/>
                <w:szCs w:val="12"/>
                <w:color w:val="auto"/>
              </w:rPr>
            </w:pPr>
          </w:p>
        </w:tc>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60"/>
        </w:trPr>
        <w:tc>
          <w:tcPr>
            <w:tcW w:w="1320" w:type="dxa"/>
            <w:vAlign w:val="bottom"/>
            <w:vMerge w:val="continue"/>
          </w:tcPr>
          <w:p>
            <w:pPr>
              <w:spacing w:after="0"/>
              <w:rPr>
                <w:sz w:val="13"/>
                <w:szCs w:val="13"/>
                <w:color w:val="auto"/>
              </w:rPr>
            </w:pPr>
          </w:p>
        </w:tc>
        <w:tc>
          <w:tcPr>
            <w:tcW w:w="6420" w:type="dxa"/>
            <w:vAlign w:val="bottom"/>
            <w:gridSpan w:val="2"/>
            <w:vMerge w:val="continue"/>
          </w:tcPr>
          <w:p>
            <w:pPr>
              <w:spacing w:after="0"/>
              <w:rPr>
                <w:sz w:val="13"/>
                <w:szCs w:val="13"/>
                <w:color w:val="auto"/>
              </w:rPr>
            </w:pPr>
          </w:p>
        </w:tc>
        <w:tc>
          <w:tcPr>
            <w:tcW w:w="10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20" w:type="dxa"/>
            <w:vAlign w:val="bottom"/>
          </w:tcPr>
          <w:p>
            <w:pPr>
              <w:spacing w:after="0"/>
              <w:rPr>
                <w:sz w:val="17"/>
                <w:szCs w:val="17"/>
                <w:color w:val="auto"/>
              </w:rPr>
            </w:pPr>
          </w:p>
        </w:tc>
        <w:tc>
          <w:tcPr>
            <w:tcW w:w="64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Robert Ross</w:t>
            </w: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517,500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Hagen</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517,500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 Fardis</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1,222,500</w:t>
            </w:r>
          </w:p>
        </w:tc>
        <w:tc>
          <w:tcPr>
            <w:tcW w:w="0" w:type="dxa"/>
            <w:vAlign w:val="bottom"/>
          </w:tcPr>
          <w:p>
            <w:pPr>
              <w:spacing w:after="0"/>
              <w:rPr>
                <w:sz w:val="1"/>
                <w:szCs w:val="1"/>
                <w:color w:val="auto"/>
              </w:rPr>
            </w:pPr>
          </w:p>
        </w:tc>
      </w:tr>
      <w:tr>
        <w:trPr>
          <w:trHeight w:val="234"/>
        </w:trPr>
        <w:tc>
          <w:tcPr>
            <w:tcW w:w="13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Norkunas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262,500</w:t>
            </w:r>
          </w:p>
        </w:tc>
        <w:tc>
          <w:tcPr>
            <w:tcW w:w="0" w:type="dxa"/>
            <w:vAlign w:val="bottom"/>
          </w:tcPr>
          <w:p>
            <w:pPr>
              <w:spacing w:after="0"/>
              <w:rPr>
                <w:sz w:val="1"/>
                <w:szCs w:val="1"/>
                <w:color w:val="auto"/>
              </w:rPr>
            </w:pPr>
          </w:p>
        </w:tc>
      </w:tr>
      <w:tr>
        <w:trPr>
          <w:trHeight w:val="414"/>
        </w:trPr>
        <w:tc>
          <w:tcPr>
            <w:tcW w:w="77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w w:val="99"/>
              </w:rPr>
              <w:t>None of our non-employee directors held stock awards other than options as of December 31, 2025.</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740" w:type="dxa"/>
            <w:vAlign w:val="bottom"/>
            <w:gridSpan w:val="3"/>
          </w:tcPr>
          <w:p>
            <w:pPr>
              <w:jc w:val="right"/>
              <w:ind w:right="2540"/>
              <w:spacing w:after="0"/>
              <w:rPr>
                <w:sz w:val="20"/>
                <w:szCs w:val="20"/>
                <w:color w:val="auto"/>
              </w:rPr>
            </w:pPr>
            <w:r>
              <w:rPr>
                <w:rFonts w:ascii="Times New Roman" w:cs="Times New Roman" w:eastAsia="Times New Roman" w:hAnsi="Times New Roman"/>
                <w:sz w:val="18"/>
                <w:szCs w:val="18"/>
                <w:color w:val="auto"/>
              </w:rPr>
              <w:t>302</w:t>
            </w: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mergers, Parent intends to implement a non-employee director compensation policy that will become effective upon the completion of the mergers and is designed to enable Parent to attract and retain, on a long-term basis, highly qualified non-employee directors. Under the policy, each director who is not an employee will be paid cash compensation from and after the completion of the mergers, as set forth below, which amounts will be payable quarterly in arrears and prorated for partial years of service:</w:t>
      </w:r>
    </w:p>
    <w:p>
      <w:pPr>
        <w:spacing w:after="0" w:line="200"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Board of Directors:</w:t>
            </w:r>
          </w:p>
        </w:tc>
        <w:tc>
          <w:tcPr>
            <w:tcW w:w="1100" w:type="dxa"/>
            <w:vAlign w:val="bottom"/>
          </w:tcPr>
          <w:p>
            <w:pPr>
              <w:spacing w:after="0"/>
              <w:rPr>
                <w:sz w:val="16"/>
                <w:szCs w:val="16"/>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Annual Retainer</w:t>
            </w:r>
          </w:p>
        </w:tc>
      </w:tr>
      <w:tr>
        <w:trPr>
          <w:trHeight w:val="203"/>
        </w:trPr>
        <w:tc>
          <w:tcPr>
            <w:tcW w:w="1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Members</w:t>
            </w:r>
          </w:p>
        </w:tc>
        <w:tc>
          <w:tcPr>
            <w:tcW w:w="394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retainer for non-executive chair</w:t>
            </w:r>
          </w:p>
        </w:tc>
        <w:tc>
          <w:tcPr>
            <w:tcW w:w="15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w:t>
            </w:r>
          </w:p>
        </w:tc>
      </w:tr>
      <w:tr>
        <w:trPr>
          <w:trHeight w:val="346"/>
        </w:trPr>
        <w:tc>
          <w:tcPr>
            <w:tcW w:w="5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2340" w:type="dxa"/>
            <w:vAlign w:val="bottom"/>
            <w:gridSpan w:val="4"/>
          </w:tcPr>
          <w:p>
            <w:pPr>
              <w:ind w:left="1100"/>
              <w:spacing w:after="0"/>
              <w:rPr>
                <w:sz w:val="20"/>
                <w:szCs w:val="20"/>
                <w:color w:val="auto"/>
              </w:rPr>
            </w:pPr>
            <w:r>
              <w:rPr>
                <w:rFonts w:ascii="Times New Roman" w:cs="Times New Roman" w:eastAsia="Times New Roman" w:hAnsi="Times New Roman"/>
                <w:sz w:val="14"/>
                <w:szCs w:val="14"/>
                <w:b w:val="1"/>
                <w:bCs w:val="1"/>
                <w:color w:val="auto"/>
              </w:rPr>
              <w:t>Additional Amount</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15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15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15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15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(other than chair)</w:t>
            </w:r>
          </w:p>
        </w:tc>
        <w:tc>
          <w:tcPr>
            <w:tcW w:w="15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Retainer for chair</w:t>
            </w:r>
          </w:p>
        </w:tc>
        <w:tc>
          <w:tcPr>
            <w:tcW w:w="15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the non-employee director compensation policy will provide that, upon initial election to the Parent Board, each non-employee director will be granted an initial stock option award to purchase a number of shares of Parent common stock equal to 0.122% of the total number of outstanding shares of Parent common stock on the date of grant (the “Initial Grant”). The Initial Grant will vest in equal monthly installments over three years following the date of grant, subject to continued service through the applicable vesting date. Furthermore, upon the closing of the mergers and on the date of each annual meeting of stockholders following the completion of the mergers, each non-employee director who is serving as a non-employee director as of the closing of the mergers or who continues as a non-employee director following such meeting, as applicable, will be granted an annual stock option award to purchase a number of shares of Parent common stock equal to 0.061% of the total number of outstanding shares of Parent common stock on the date of grant (the “Annual Grant”). The Annual Grant will vest in full on the earlier of the first anniversary of the date of grant and Parent’s next annual meeting of stockholders, subject to continued service through the applicable vesting date. All outstanding awards granted to non-employee directors will become fully vested and exercisable upon a sale event (as defined in the 2026 Plan).</w:t>
      </w:r>
    </w:p>
    <w:p>
      <w:pPr>
        <w:spacing w:after="0" w:line="19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grant date fair value of all awards and all other cash compensation paid by Parent to any non-employee director during any one calendar year for services as a non-employee director may not exceed $750,000; provided, however, that such amount shall be $1,000,000 for the calendar year in which the applicable non-employee director is initially elected or appointed to our Board.</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non-employee directors in attending meetings of the Board and committees thereof.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303</w:t>
      </w:r>
    </w:p>
    <w:p>
      <w:pPr>
        <w:sectPr>
          <w:pgSz w:w="11900" w:h="16838" w:orient="portrait"/>
          <w:cols w:equalWidth="0" w:num="1">
            <w:col w:w="11120"/>
          </w:cols>
          <w:pgMar w:left="320" w:top="455"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Galera</w:t>
      </w:r>
    </w:p>
    <w:p>
      <w:pPr>
        <w:spacing w:after="0" w:line="121"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following are certain transactions, arrangements and relationships with Galera’s directors, executive officers and stockholders owning 5% or more of the outstanding Galera common stock, or any member of the immediate family of any of the foregoing persons, since January 1, 2024.</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Consulting Services from IntellectMap Corporation</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Since February 2018, IntellectMap Corporation has provided advisory services to Galera on cybersecurity issues. The chief executive officer of IntellectMap is the brother of J. Mel Sorensen, M.D., Galera’s Chief Executive Officer and a member of the Galera Board. Fees incurred by Galera with respect to IntellectMap during each of the years ended December 31, 2025 and 2024 were $0.2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121"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Galera has entered into indemnification agreements with each of its directors and executive officers. These agreements, among other things, require Galera or will require Galera to indemnify each director (and in certain cases their related venture capital funds)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Galera, arising out of the person’s services as a director or executive officer.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Nova Pharmaceuticals, Inc. Acquisition</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Nova, Dr. Nancy Chang and Mr. Michael Friedman, now members of the Galera Board, received 1,841.92 and 8,326.269 shares of Galera Series B preferred stock, respectively, in exchange for shares of common stock of Nova held immediately prior to the closing of such acquisition. In April and May 2026, Galera effected the conversion of all of the outstanding Series B preferred stock into a corresponding number of shares of Galera common stock, based on a conversion ratio of 1,000 shares of Galera common stock for each share of Galera Series B preferred stock. Dr. Chang and Mr. Friedman were issued a total of 1,841,919 and 8,326,268 shares of Galera common stock, respectively, in connection with such conversions. In addition to her shares of Galera Series B preferred stock, Dr. Chang also purchased, and was issued, 7,644,932 shares of Galera common stock upon the closing of the 2024 Galera Private Placement (as defined below).</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Galera Private Placement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 December 30, 2024, Galera entered into a securities purchase agreement with certain institutional and accredited investors, pursuant to which Galera agreed to issue and sell an aggregate of 44,111,260 shares of Galera common stock and Galera pre-funded warrants at an aggregate purchase price of $2,885,000 (the “2024 Galera Private Placement”). The table below sets forth the number of shares of Galera common stock and Galera pre-funded warrants purchased by Galera’s directors, executive officers or holders of more than 5% of Galera’s capital stock, including entities that became related parties as a result of the 2024 Galera Private Placement:</w:t>
      </w:r>
    </w:p>
    <w:p>
      <w:pPr>
        <w:spacing w:after="0" w:line="192"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Galera</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2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Galera</w:t>
            </w:r>
          </w:p>
        </w:tc>
        <w:tc>
          <w:tcPr>
            <w:tcW w:w="9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Related Person</w:t>
            </w:r>
          </w:p>
        </w:tc>
        <w:tc>
          <w:tcPr>
            <w:tcW w:w="4500" w:type="dxa"/>
            <w:vAlign w:val="bottom"/>
            <w:vMerge w:val="restart"/>
          </w:tcPr>
          <w:p>
            <w:pPr>
              <w:spacing w:after="0"/>
              <w:rPr>
                <w:sz w:val="12"/>
                <w:szCs w:val="12"/>
                <w:color w:val="auto"/>
              </w:rPr>
            </w:pPr>
          </w:p>
        </w:tc>
        <w:tc>
          <w:tcPr>
            <w:tcW w:w="12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940" w:type="dxa"/>
            <w:vAlign w:val="bottom"/>
            <w:tcBorders>
              <w:bottom w:val="single" w:sz="8" w:color="auto"/>
            </w:tcBorders>
            <w:vMerge w:val="continue"/>
          </w:tcPr>
          <w:p>
            <w:pPr>
              <w:spacing w:after="0"/>
              <w:rPr>
                <w:sz w:val="15"/>
                <w:szCs w:val="15"/>
                <w:color w:val="auto"/>
              </w:rPr>
            </w:pPr>
          </w:p>
        </w:tc>
        <w:tc>
          <w:tcPr>
            <w:tcW w:w="4500" w:type="dxa"/>
            <w:vAlign w:val="bottom"/>
            <w:vMerge w:val="continue"/>
          </w:tcPr>
          <w:p>
            <w:pPr>
              <w:spacing w:after="0"/>
              <w:rPr>
                <w:sz w:val="15"/>
                <w:szCs w:val="15"/>
                <w:color w:val="auto"/>
              </w:rPr>
            </w:pPr>
          </w:p>
        </w:tc>
        <w:tc>
          <w:tcPr>
            <w:tcW w:w="1280" w:type="dxa"/>
            <w:vAlign w:val="bottom"/>
            <w:gridSpan w:val="2"/>
          </w:tcPr>
          <w:p>
            <w:pPr>
              <w:ind w:left="2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420" w:type="dxa"/>
            <w:vAlign w:val="bottom"/>
          </w:tcPr>
          <w:p>
            <w:pPr>
              <w:spacing w:after="0"/>
              <w:rPr>
                <w:sz w:val="15"/>
                <w:szCs w:val="15"/>
                <w:color w:val="auto"/>
              </w:rPr>
            </w:pPr>
          </w:p>
        </w:tc>
        <w:tc>
          <w:tcPr>
            <w:tcW w:w="1140" w:type="dxa"/>
            <w:vAlign w:val="bottom"/>
            <w:gridSpan w:val="3"/>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Nancy Chang</w:t>
            </w:r>
          </w:p>
        </w:tc>
        <w:tc>
          <w:tcPr>
            <w:tcW w:w="880" w:type="dxa"/>
            <w:vAlign w:val="bottom"/>
            <w:tcBorders>
              <w:top w:val="single" w:sz="8" w:color="auto"/>
            </w:tcBorders>
            <w:shd w:val="clear" w:color="auto" w:fill="CCEEFF"/>
          </w:tcPr>
          <w:p>
            <w:pPr>
              <w:ind w:left="140"/>
              <w:spacing w:after="0" w:line="203" w:lineRule="exact"/>
              <w:rPr>
                <w:sz w:val="20"/>
                <w:szCs w:val="20"/>
                <w:color w:val="auto"/>
              </w:rPr>
            </w:pPr>
            <w:r>
              <w:rPr>
                <w:rFonts w:ascii="Times New Roman" w:cs="Times New Roman" w:eastAsia="Times New Roman" w:hAnsi="Times New Roman"/>
                <w:sz w:val="18"/>
                <w:szCs w:val="18"/>
                <w:color w:val="auto"/>
                <w:w w:val="99"/>
              </w:rPr>
              <w:t>7,644,932</w:t>
            </w:r>
          </w:p>
        </w:tc>
        <w:tc>
          <w:tcPr>
            <w:tcW w:w="4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Affiliates of Ikarian Capital, LLC </w:t>
            </w:r>
            <w:r>
              <w:rPr>
                <w:rFonts w:ascii="Times New Roman" w:cs="Times New Roman" w:eastAsia="Times New Roman" w:hAnsi="Times New Roman"/>
                <w:sz w:val="26"/>
                <w:szCs w:val="26"/>
                <w:color w:val="auto"/>
                <w:vertAlign w:val="superscript"/>
              </w:rPr>
              <w:t>(1)</w:t>
            </w: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7,538,691</w:t>
            </w:r>
          </w:p>
        </w:tc>
        <w:tc>
          <w:tcPr>
            <w:tcW w:w="4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23,041,040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right="20" w:hanging="424"/>
        <w:spacing w:after="0" w:line="282" w:lineRule="auto"/>
        <w:tabs>
          <w:tab w:leader="none" w:pos="54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5,361,517 shares of Galera common stock and 16,386,788 Galera pre-funded warrants held by Ikarian Healthcare Master Fund LP; (ii) 1,620,818 shares of Galera common stock and 4,953,824 Galera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304</w:t>
      </w:r>
    </w:p>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320"/>
        <w:spacing w:after="0" w:line="282" w:lineRule="auto"/>
        <w:rPr>
          <w:sz w:val="20"/>
          <w:szCs w:val="20"/>
          <w:color w:val="auto"/>
        </w:rPr>
      </w:pPr>
      <w:r>
        <w:rPr>
          <w:rFonts w:ascii="Times New Roman" w:cs="Times New Roman" w:eastAsia="Times New Roman" w:hAnsi="Times New Roman"/>
          <w:sz w:val="18"/>
          <w:szCs w:val="18"/>
          <w:color w:val="auto"/>
        </w:rPr>
        <w:t>pre-funded warrants held by Boothbay Absolute Return Strategies LP; and (iii) 556,356 shares of Galera common stock and 1,700,428 Galera pre-funded warrants held by Boothbay Diversified Alpha Master Fund LP.</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2024 PIPE Registration Rights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Galera and the investors who participated in the 2024 Galera Private Placement entered into a registration rights agreement, dated as of December 30, 2024 (the “2024 PIPE Registration Rights Agreement”), pursuant to which, among other things, Galera agreed to prepare and file a resale registration statement with the SEC within 90 calendar days following the closing of the 2024 Galera Private Placement (the “Filing Deadline”) providing for the resale by the investors in the 2024 Galera Private Placement of the shares of Galera common stock and the shares of Galera common stock underlying the Galera pre-funded warrants held by them. Galera agreed to use commercially reasonable efforts to cause the resale registration statement to be declared effective by the SEC as soon as practicable, but in any event no later than within 30 calendar days of the Filing Deadline (or within 60 calendar days if the SEC reviews the registration statement), subject to specified exceptions and suspension rights as are set forth in the 2024 PIPE Registration Rights Agreement.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Contractor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March 2025, Galera entered into an Independent Contractor Agreement with Mr. Friedman (the “Contractor Agreement”) to provide corporate and business development services, with an effective date of January 1, 2025. Mr. Friedman will be paid $10,000 per month for the duration of the Contractor Agreement. The Contractor Agreement has a one-year term, with automatic renewals for successive one-year terms unless earlier terminated. The Contractor Agreement can be terminated by either party upon 30 days’ prior notice. Fees incurred by Galera with respect to Mr. Friedman during the year ended December 31, 2025 were $0.1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Letter Agreement with Joel Sussman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February 6, 2026, Galera entered into a letter agreement with Joel Sussman, Galera’s Chief Accounting Officer, Treasurer, and Secretary and one of its named executive officers, providing for retention-based cash bonus payments in connection with the timely completion and filing by Galera of certain reporting obligations. Under the agreement, Mr. Sussman is eligible to receive up to $250,000 in aggregate retention bonus payments. Any retention bonuses paid under the agreement will reduce, on a dollar-for-dollar basis, any severance payments Mr. Sussman may otherwise become entitled to under his existing employment agreement. In the event of an involuntary termination of Mr. Sussman’s employment (other than for cause) or if Mr. Sussman terminates for good reason, any unpaid retention bonus will be paid without regard to satisfaction of the applicable conditions.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Settlement of Options for J. Mel Sorensen and Joel Sussman</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mergers, the ITM Galera Options held by J. Mel Sorensen, Galera’s Chief Executive Officer, and Joel Sussman, Galera’s Chief Accounting Officer, Treasurer, and Secretary, each of whom is a named executive officer, will automatically become fully vested and be converted, at the Galera merger effective time, into net exercised shares of Parent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Concurrent Financing</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April 14, 2026, Galera entered into the subscription agreement with certain institutional and/or accredited investors, pursuant to which Galera agreed to issue and sell shares of its Series C preferred stock for an aggregate purchase price of $350.0 million (less any proceeds received by Obsidian in connection with a Permitted Obsidian Bridge Financing). In connection with the concurrent financing, Parent and Galera also entered into the 2026 PIPE Registration Rights Agreement with the concurrent financing investors. Pursuant to the 2026 PIPE Registration Rights Agreement, the combined company will prepare and file a resale registration statement with the SEC within 30 calendar days following the closing. The combined company will use its reasonable best efforts to cause such registration statement to become effective at the earliest possible date.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305</w:t>
      </w:r>
    </w:p>
    <w:p>
      <w:pPr>
        <w:sectPr>
          <w:pgSz w:w="11900" w:h="16838" w:orient="portrait"/>
          <w:cols w:equalWidth="0" w:num="1">
            <w:col w:w="11100"/>
          </w:cols>
          <w:pgMar w:left="320" w:top="455" w:right="47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CVR Agreement Advisor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connection with the mergers, Michael Friedman, a member of the Galera Board, has been proposed to serve as an advisor under the CVR agreement.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the date of this information statement/prospectus, there has been no discussion of economic terms and no formal agreement has been reached.</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Galera Board has adopted a written Related Person Transaction Policy, setting forth the policies and procedures for the review and approval or ratification of related person transactions. Under the policy, Galera’s finance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Galera’s finance department determines that a transaction or relationship is a related person transaction requiring compliance with the policy, Galera’s Chief Financial Officer is required to present to Galera’s Audit Committee all relevant facts and circumstances relating to the related person transaction. Galera’s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Galera’s Code of Business Conduct and Ethics, and either approve or disapprove the related person transaction. If advance Galera Audit Committee approval of a related person transaction requiring the Galera Audit Committee’s approval is not feasible, then the transaction may be preliminarily entered into by Galera’s management upon prior approval of the transaction by the chair of the Galera Audit Committee subject to ratification of the transaction by the Galera Audit Committee at the Galera Audit Committee’s next regularly scheduled meeting; provided, that if ratification is not forthcoming, Galera’s management will make all reasonable efforts to cancel or annul the transaction. If a transaction was not initially recognized as a related person transaction, then upon such recognition the transaction will be presented to the Galera Audit Committee for ratification at the Galera Audit Committee’s next regularly scheduled meeting; provided, that if ratification is not forthcoming, Galera’s management will make all reasonable efforts to cancel or annul the transaction. Galera’s management will update the Galera Audit Committee as to any material changes to any approved or ratified related person transaction and will provide a status report at least annually of all then current related person transactions. No Galera director may participate in approval of a related person transaction for which he or she is a related person.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Obsidian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is a description of transactions or series of transactions since January 1, 2023, to which Obsidian was or will be a party, in which:</w:t>
      </w:r>
    </w:p>
    <w:p>
      <w:pPr>
        <w:spacing w:after="0" w:line="131" w:lineRule="exact"/>
        <w:rPr>
          <w:sz w:val="20"/>
          <w:szCs w:val="20"/>
          <w:color w:val="auto"/>
        </w:rPr>
      </w:pPr>
    </w:p>
    <w:p>
      <w:pPr>
        <w:ind w:left="1080" w:right="36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in the transaction exceeds, or will exceed, the lesser of $120,000 or one percent of the average of Obsidian’s total assets for the last two completed fiscal years;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any of Obsidian’s executive officers, directors or holder of five percent or more of any class of our capital stock, including their immediate family members or affiliated entities, had or will have a direct or indirect material interest.</w:t>
      </w:r>
    </w:p>
    <w:p>
      <w:pPr>
        <w:spacing w:after="0" w:line="160" w:lineRule="exact"/>
        <w:rPr>
          <w:sz w:val="20"/>
          <w:szCs w:val="20"/>
          <w:color w:val="auto"/>
        </w:rPr>
      </w:pPr>
    </w:p>
    <w:p>
      <w:pPr>
        <w:ind w:left="120" w:right="900"/>
        <w:spacing w:after="0" w:line="267" w:lineRule="auto"/>
        <w:rPr>
          <w:sz w:val="20"/>
          <w:szCs w:val="20"/>
          <w:color w:val="auto"/>
        </w:rPr>
      </w:pPr>
      <w:r>
        <w:rPr>
          <w:rFonts w:ascii="Times New Roman" w:cs="Times New Roman" w:eastAsia="Times New Roman" w:hAnsi="Times New Roman"/>
          <w:sz w:val="18"/>
          <w:szCs w:val="18"/>
          <w:color w:val="auto"/>
        </w:rPr>
        <w:t>Compensation arrangements for Parent’s named executive officers and directors are described elsewhere in this prospectus under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of Obsidian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Director Compensation of Obsidian</w:t>
      </w:r>
      <w:r>
        <w:rPr>
          <w:rFonts w:ascii="Times New Roman" w:cs="Times New Roman" w:eastAsia="Times New Roman" w:hAnsi="Times New Roman"/>
          <w:sz w:val="18"/>
          <w:szCs w:val="18"/>
          <w:color w:val="auto"/>
        </w:rPr>
        <w:t>” beginning on pages 287 and 300, respectively, of this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Private Placement of Securities</w:t>
      </w:r>
    </w:p>
    <w:p>
      <w:pPr>
        <w:spacing w:after="0" w:line="121"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April 2024, Deep Track Biotechnology Master Fund, Ltd. a holder of five percent or more of Obsidian’s capital stock, purchased shares of Obsidian common stock, par value $0.0001 per share from Obsidian’s former chief legal officer, Lee Giguere, Obsidian’s former chief financial officer, Ryan Daws, and certain of Obsidian’s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306</w:t>
      </w:r>
    </w:p>
    <w:p>
      <w:pPr>
        <w:sectPr>
          <w:pgSz w:w="11900" w:h="16838" w:orient="portrait"/>
          <w:cols w:equalWidth="0" w:num="1">
            <w:col w:w="11120"/>
          </w:cols>
          <w:pgMar w:left="320" w:top="455" w:right="45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other former employees, in the amounts of 721,130 shares of Obsidian common stock, 1,349,735 shares of Obsidian common stock, 1,359,135 shares of Obsidian common stock, respectively, in a secondary offering at a purchase price of $1.75 per share for aggregate gross proceeds of approximately $6.0 million.</w:t>
      </w:r>
    </w:p>
    <w:p>
      <w:pPr>
        <w:spacing w:after="0" w:line="176" w:lineRule="exact"/>
        <w:rPr>
          <w:sz w:val="20"/>
          <w:szCs w:val="20"/>
          <w:color w:val="auto"/>
        </w:rPr>
      </w:pPr>
    </w:p>
    <w:p>
      <w:pPr>
        <w:jc w:val="both"/>
        <w:ind w:left="120" w:right="20"/>
        <w:spacing w:after="0" w:line="289" w:lineRule="auto"/>
        <w:rPr>
          <w:sz w:val="20"/>
          <w:szCs w:val="20"/>
          <w:color w:val="auto"/>
        </w:rPr>
      </w:pPr>
      <w:r>
        <w:rPr>
          <w:rFonts w:ascii="Times New Roman" w:cs="Times New Roman" w:eastAsia="Times New Roman" w:hAnsi="Times New Roman"/>
          <w:sz w:val="17"/>
          <w:szCs w:val="17"/>
          <w:color w:val="auto"/>
        </w:rPr>
        <w:t>In September 2024, Soleus Private Equity Fund II, L.P., a holder of Obsidian’s capital stock, purchased shares of Obsidian common stock from a former director, Jason Gardner, and a former employee, in the amounts of 328,750 shares of Obsidian common stock and 175,438 shares of Obsidian common stock, respectively, in a secondary offering at a price purchase price of $1.85 per share for an aggregate gross proceeds of approximately $933,000.</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Series C Redeemable Convertible Preferred Stock Financing</w:t>
      </w:r>
    </w:p>
    <w:p>
      <w:pPr>
        <w:spacing w:after="0" w:line="121"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March 2024, Obsidian sold an aggregate of 84,567,145 shares of its Series C redeemable convertible preferred stock at a purchase price of $1.8979 per share for an aggregate purchase price of approximately $160.5 million. The following table summarizes purchases of Obsidian’s Series C redeemable convertible preferred stock by related persons:</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18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Affiliated Director(s)</w:t>
            </w: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Approx.</w:t>
            </w: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Participant</w:t>
            </w:r>
          </w:p>
        </w:tc>
        <w:tc>
          <w:tcPr>
            <w:tcW w:w="5160" w:type="dxa"/>
            <w:vAlign w:val="bottom"/>
            <w:vMerge w:val="restart"/>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8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80"/>
        </w:trPr>
        <w:tc>
          <w:tcPr>
            <w:tcW w:w="700" w:type="dxa"/>
            <w:vAlign w:val="bottom"/>
            <w:tcBorders>
              <w:bottom w:val="single" w:sz="8" w:color="auto"/>
            </w:tcBorders>
            <w:vMerge w:val="continue"/>
          </w:tcPr>
          <w:p>
            <w:pPr>
              <w:spacing w:after="0"/>
              <w:rPr>
                <w:sz w:val="15"/>
                <w:szCs w:val="15"/>
                <w:color w:val="auto"/>
              </w:rPr>
            </w:pPr>
          </w:p>
        </w:tc>
        <w:tc>
          <w:tcPr>
            <w:tcW w:w="5160" w:type="dxa"/>
            <w:vAlign w:val="bottom"/>
            <w:vMerge w:val="continue"/>
          </w:tcPr>
          <w:p>
            <w:pPr>
              <w:spacing w:after="0"/>
              <w:rPr>
                <w:sz w:val="15"/>
                <w:szCs w:val="15"/>
                <w:color w:val="auto"/>
              </w:rPr>
            </w:pPr>
          </w:p>
        </w:tc>
        <w:tc>
          <w:tcPr>
            <w:tcW w:w="19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or Officer(s)</w:t>
            </w:r>
          </w:p>
        </w:tc>
        <w:tc>
          <w:tcPr>
            <w:tcW w:w="114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04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Entities affiliated with Atlas Venture</w:t>
            </w:r>
            <w:r>
              <w:rPr>
                <w:rFonts w:ascii="Times New Roman" w:cs="Times New Roman" w:eastAsia="Times New Roman" w:hAnsi="Times New Roman"/>
                <w:sz w:val="23"/>
                <w:szCs w:val="23"/>
                <w:color w:val="auto"/>
                <w:vertAlign w:val="superscript"/>
              </w:rPr>
              <w:t>(1)</w:t>
            </w:r>
          </w:p>
        </w:tc>
        <w:tc>
          <w:tcPr>
            <w:tcW w:w="18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Peter Barrett, Ph.D.</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4,215,185</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TCG Crossover Fund I, L.P. </w:t>
            </w:r>
            <w:r>
              <w:rPr>
                <w:rFonts w:ascii="Times New Roman" w:cs="Times New Roman" w:eastAsia="Times New Roman" w:hAnsi="Times New Roman"/>
                <w:sz w:val="25"/>
                <w:szCs w:val="25"/>
                <w:color w:val="auto"/>
                <w:vertAlign w:val="superscript"/>
              </w:rPr>
              <w:t>(2)</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Cariad Chester</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2,634,490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4,999,999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RA Capital</w:t>
            </w:r>
            <w:r>
              <w:rPr>
                <w:rFonts w:ascii="Times New Roman" w:cs="Times New Roman" w:eastAsia="Times New Roman" w:hAnsi="Times New Roman"/>
                <w:sz w:val="25"/>
                <w:szCs w:val="25"/>
                <w:color w:val="auto"/>
                <w:vertAlign w:val="superscript"/>
              </w:rPr>
              <w:t>(3)</w:t>
            </w:r>
          </w:p>
        </w:tc>
        <w:tc>
          <w:tcPr>
            <w:tcW w:w="1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9,220,717</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17,499,999</w:t>
            </w: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Deep Track Biotechnology Master Fund, Ltd. </w:t>
            </w:r>
            <w:r>
              <w:rPr>
                <w:rFonts w:ascii="Times New Roman" w:cs="Times New Roman" w:eastAsia="Times New Roman" w:hAnsi="Times New Roman"/>
                <w:sz w:val="25"/>
                <w:szCs w:val="25"/>
                <w:color w:val="auto"/>
                <w:vertAlign w:val="superscript"/>
              </w:rPr>
              <w:t>(4)</w:t>
            </w:r>
          </w:p>
        </w:tc>
        <w:tc>
          <w:tcPr>
            <w:tcW w:w="19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9,220,717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17,499,999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Celgene Corporation</w:t>
            </w:r>
            <w:r>
              <w:rPr>
                <w:rFonts w:ascii="Times New Roman" w:cs="Times New Roman" w:eastAsia="Times New Roman" w:hAnsi="Times New Roman"/>
                <w:sz w:val="25"/>
                <w:szCs w:val="25"/>
                <w:color w:val="auto"/>
                <w:vertAlign w:val="superscript"/>
              </w:rPr>
              <w:t>(5)</w:t>
            </w:r>
          </w:p>
        </w:tc>
        <w:tc>
          <w:tcPr>
            <w:tcW w:w="19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2,107,592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3,999,999</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line="257" w:lineRule="auto"/>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Atlas Venture Opportunity Fund II, L.P. is affiliated with Atlas Venture Life Science Advisors, LLC, or Atlas Venture. Entities affiliated with Atlas Venture collectively hold five percent or more of Obsidian’s capital stock. Dr. Barrett is a partner at Atlas Venture and a member of the Obsidian Board.</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Obsidian’s capital stock. Mr. Chester is a managing partner at TCG Crossover Fund I, L.P., or TCGX, and a member of the Obsidian Board.</w:t>
      </w:r>
    </w:p>
    <w:p>
      <w:pPr>
        <w:ind w:left="540" w:hanging="424"/>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affiliated with RA Capital Management, L.P., or RA Capital, collectively hold five percent or more of Obsidian’s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Obsidian’s capital stock.</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entity holds five percent or more of Obsidian’s capital stock.</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Our Stockholders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Celgene Corporation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January 2019, Obsidian entered into a Master Collaboration Agreement with Celgene Corporation and Celgene Switzerland LLC, which was amended in September 2020, December 2021, and October 2022 (the “Celgene Agreement”). In September 2020, Obsidian entered into a First Program Global License Agreement with Celgene Corporation and Celgene Switzerland LLC, Obsidian the Celgene License. Celgene Corporation is a holder of greater than five percent of Obsidian’s capital stock. In connection with the execution of the Celgene Agreement and certain option exercises and extensions under the Celgene Agreement, Obsidian has received an aggregate of $95.0 million since 2019. The Celgene Agreement and Celgene License were each terminated on October 21, 2025 and November 3, 2025, respectively, at which time the collaboration and all rights under the Celgene Agreement and Celgene License were terminated.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307</w:t>
      </w:r>
    </w:p>
    <w:p>
      <w:pPr>
        <w:sectPr>
          <w:pgSz w:w="11900" w:h="16838" w:orient="portrait"/>
          <w:cols w:equalWidth="0" w:num="1">
            <w:col w:w="11100"/>
          </w:cols>
          <w:pgMar w:left="320" w:top="455" w:right="47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Vertex Pharmaceuticals Incorporated</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Between August 2021 and March 2024, Vertex Pharmaceuticals Incorporated, or Vertex Pharmaceuticals, was a holder of greater than five percent of Obsidian’s capital stock. In April 2021, Obsidian entered into a four-year collaboration and license arrangement with Vertex Pharmaceuticals (the “Vertex Agreement”). Under the Vertex Agreement, Obsidian conducted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research to discover drug-responsive domain constructs for regulated gene editing. During the term of the collaboration, Vertex Pharmaceuticals held an option to obtain certain rights to develop, manufacture, and commercialize gene editing products discovered under the Vertex Agreement. Over the term of the agreement, Obsidian received an aggregate of $27.5 million in an up-front payment and in consideration for achieving a research milestone for one disease. The Vertex Agreement expired on April 16, 2025, at which time the collaboration and all rights under the Vertex Agreement were terminated.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Other Stockholders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Obsidian’s redeemable convertible preferred stock financings, Obsidian entered into an investors’ rights agreement, voting agreement and right of first refusal and co-sale agreement, in each case, with the purchasers of Obsidian’s redeemable convertible preferred stock and certain holders of Obsidian’s common stock.</w:t>
      </w:r>
    </w:p>
    <w:p>
      <w:pPr>
        <w:spacing w:after="0" w:line="176"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Obsidian’s amended and restated investors’ rights agreement (the “Investors’ Rights Agreement”) provides certain holders of Obsidian’s capital stock with the right to demand that Obsidian file a registration statement, subject to certain limitations, and to request that their shares be covered by a registration statement that Obsidian is otherwise filing.</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Obsidian’s amended and restated voting agreement (the “Voting Agreement”) provides drag-along rights in respect of sales by certain holders of Obsidian’s capital stock. The Voting Agreement also contains provisions with respect to the elections of the Obsidian Board and its composition. The rights under the Voting Agreement will terminate upon the closing of this mergers.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Obsidian’s amended and restated right of first refusal and co-sale agreement (the “Right of First Refusal and Co-Sale Agreement”) provides for rights of first refusal and co-sale rights in respect of sales by certain holders of Obsidian’s capital stock. The rights under the Right of First Refusal and Co-Sale Agreement will terminate upon the closing of the mergers.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mergers, Parent intends to enter into new agreements to indemnify its directors and executive officers. These agreements will, among other things, require Parent to indemnify these individuals for certain expenses (including attorneys’ fees), judgments, fines, and settlement amounts reasonably incurred by such person in any action or proceeding, including any action by or in Parent’s right, on account of any services undertaken by such person on behalf of Parent, or that person’s status as a member of the Parent Board to the maximum extent allowed under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Policies for Approval of Related Party Transactions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Parent will adopt a written related party transactions policy that such transactions must be approved by the Parent Board’s audit committee. This policy will become effective upon the closing of the mergers.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308</w:t>
      </w:r>
    </w:p>
    <w:p>
      <w:pPr>
        <w:sectPr>
          <w:pgSz w:w="11900" w:h="16838" w:orient="portrait"/>
          <w:cols w:equalWidth="0" w:num="1">
            <w:col w:w="11100"/>
          </w:cols>
          <w:pgMar w:left="320" w:top="455" w:right="47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INFORMATION REGARDING PARENT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of Parent</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business of Parent will be the combined businesses currently conducted by Galera and Obsidian. Parent plans to continue the product and service lines provided by both Obsidian and Galera. Integration will be executed in several phases. The first phase will focus on enhancing existing and creating new offerings which leverage the opportunities based on the strategic rationale of the business combination. Administrative functions, such as finance and human resources will be evaluated and combined as necessary to efficiently manage the combined business. Go to market resources and processes will be evaluated and combined as needed. Technology platforms and operational systems will be evaluated and integrated as appropriate to support the combined organization. Research and development processes, including preclinical and clinical development workflows, and data analytics capabilities will be assessed to identify opportunities for collaboration and efficiencies across the combined business.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Headquarters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Galera merger effective time, Parent will be headquartered in Cambridge, Massachusetts.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Officers</w:t>
      </w:r>
    </w:p>
    <w:p>
      <w:pPr>
        <w:spacing w:after="0" w:line="11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J. Mel Sorensen, M.D., is currently the President of Parent and Joel Sussman is currently the Treasurer of Parent. Mr. Sorensen and Mr. Sussman shall tender their resignations as officers of Parent, effective immediately upon, and contingent upon, the consummation of the transactions contemplated by the merger agreement. Immediately following the resignations of Mr. Sorensen and Mr. Sussman and after consummation of the mergers, Madan Jagasia, Chief Executive Officer of Obsidian, will be Chief Executive Officer and President of Parent, Julie Feder, Chief Financial Officer of Obsidian, will be Chief Financial Officer, Treasurer and Secretay of Parent, Dana Alexander, Chief Technical Officer of Obsidian, will be Chief Technical Officer of Parent, Parameswaran Hari, Chief Medical Officer of Obsidian, will be Chief Medical Officer of Parent, and Jennifer Peterson, Chief People Officer of Obsidian, will be Chief People Officer of Parent.</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Parent Board</w:t>
      </w:r>
    </w:p>
    <w:p>
      <w:pPr>
        <w:spacing w:after="0" w:line="11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Parent Board currently consists of J. Mel Sorensen, M.D., and Julie Feder. Dr. Sorensen and Ms. Feder shall tender their resignations as members of the Parent Board, and all committees thereof, effective immediately upon, and contingent upon, the consummation of the transactions contemplated by the merger agreement.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the closing of the mergers, pursuant to the merger agreement and the Parent Charter (as defined below), the Parent Board will consist of six directors, including Madan Jagasia, M.D., M.S., Maria Fardis, Ph.D., Heidi Hagen, Matthew Norkunas, M.D., M.B.A., Robert Ross, M.D. and Peter Barrett, Ph.D. of Obsidian, as listed below.</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the individuals who will serve as directors of Parent upon the closing of the mergers. The following also includes certain information regarding the individual experience, qualifications, attributes and skills of each individual as well as brief statements of those aspects of their backgrounds that led to conclusion that they are qualified to serve as director of Parent upon the closing of the mergers.</w:t>
      </w:r>
    </w:p>
    <w:p>
      <w:pPr>
        <w:spacing w:after="0" w:line="79"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90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Age</w:t>
            </w:r>
          </w:p>
        </w:tc>
        <w:tc>
          <w:tcPr>
            <w:tcW w:w="8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Position</w:t>
            </w:r>
          </w:p>
        </w:tc>
      </w:tr>
      <w:tr>
        <w:trPr>
          <w:trHeight w:val="185"/>
        </w:trPr>
        <w:tc>
          <w:tcPr>
            <w:tcW w:w="32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Madan Jagasia, M.D., M.S.</w:t>
            </w:r>
          </w:p>
        </w:tc>
        <w:tc>
          <w:tcPr>
            <w:tcW w:w="3600" w:type="dxa"/>
            <w:vAlign w:val="bottom"/>
          </w:tcPr>
          <w:p>
            <w:pPr>
              <w:spacing w:after="0"/>
              <w:rPr>
                <w:sz w:val="16"/>
                <w:szCs w:val="16"/>
                <w:color w:val="auto"/>
              </w:rPr>
            </w:pPr>
          </w:p>
        </w:tc>
        <w:tc>
          <w:tcPr>
            <w:tcW w:w="24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56</w:t>
            </w:r>
          </w:p>
        </w:tc>
        <w:tc>
          <w:tcPr>
            <w:tcW w:w="420" w:type="dxa"/>
            <w:vAlign w:val="bottom"/>
          </w:tcPr>
          <w:p>
            <w:pPr>
              <w:spacing w:after="0"/>
              <w:rPr>
                <w:sz w:val="16"/>
                <w:szCs w:val="16"/>
                <w:color w:val="auto"/>
              </w:rPr>
            </w:pPr>
          </w:p>
        </w:tc>
        <w:tc>
          <w:tcPr>
            <w:tcW w:w="840" w:type="dxa"/>
            <w:vAlign w:val="bottom"/>
            <w:tcBorders>
              <w:top w:val="single" w:sz="8" w:color="auto"/>
            </w:tcBorders>
          </w:tcPr>
          <w:p>
            <w:pPr>
              <w:ind w:left="120"/>
              <w:spacing w:after="0" w:line="185" w:lineRule="exact"/>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Fardis, Ph.D.</w:t>
            </w:r>
          </w:p>
        </w:tc>
        <w:tc>
          <w:tcPr>
            <w:tcW w:w="384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color w:val="auto"/>
                <w:w w:val="99"/>
              </w:rPr>
              <w:t>58</w:t>
            </w:r>
          </w:p>
        </w:tc>
        <w:tc>
          <w:tcPr>
            <w:tcW w:w="4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Barrett, Ph.D.</w:t>
            </w:r>
          </w:p>
        </w:tc>
        <w:tc>
          <w:tcPr>
            <w:tcW w:w="384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color w:val="auto"/>
                <w:w w:val="99"/>
              </w:rPr>
              <w:t>73</w:t>
            </w:r>
          </w:p>
        </w:tc>
        <w:tc>
          <w:tcPr>
            <w:tcW w:w="4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Hagen, M.B.A.</w:t>
            </w:r>
          </w:p>
        </w:tc>
        <w:tc>
          <w:tcPr>
            <w:tcW w:w="384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color w:val="auto"/>
                <w:w w:val="99"/>
              </w:rPr>
              <w:t>57</w:t>
            </w:r>
          </w:p>
        </w:tc>
        <w:tc>
          <w:tcPr>
            <w:tcW w:w="4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Matthew Norkunas, M.D., M.B.A.</w:t>
            </w:r>
          </w:p>
        </w:tc>
        <w:tc>
          <w:tcPr>
            <w:tcW w:w="384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color w:val="auto"/>
                <w:w w:val="99"/>
              </w:rPr>
              <w:t>48</w:t>
            </w:r>
          </w:p>
        </w:tc>
        <w:tc>
          <w:tcPr>
            <w:tcW w:w="420" w:type="dxa"/>
            <w:vAlign w:val="bottom"/>
          </w:tcPr>
          <w:p>
            <w:pPr>
              <w:spacing w:after="0"/>
              <w:rPr>
                <w:sz w:val="18"/>
                <w:szCs w:val="18"/>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Ross, M.D.</w:t>
            </w:r>
          </w:p>
        </w:tc>
        <w:tc>
          <w:tcPr>
            <w:tcW w:w="384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color w:val="auto"/>
                <w:w w:val="99"/>
              </w:rPr>
              <w:t>52</w:t>
            </w:r>
          </w:p>
        </w:tc>
        <w:tc>
          <w:tcPr>
            <w:tcW w:w="420" w:type="dxa"/>
            <w:vAlign w:val="bottom"/>
          </w:tcPr>
          <w:p>
            <w:pPr>
              <w:spacing w:after="0"/>
              <w:rPr>
                <w:sz w:val="20"/>
                <w:szCs w:val="20"/>
                <w:color w:val="auto"/>
              </w:rPr>
            </w:pP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r>
      <w:tr>
        <w:trPr>
          <w:trHeight w:val="364"/>
        </w:trPr>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0" w:type="dxa"/>
            <w:vAlign w:val="bottom"/>
          </w:tcPr>
          <w:p>
            <w:pPr>
              <w:jc w:val="right"/>
              <w:ind w:right="2450"/>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040"/>
          </w:cols>
          <w:pgMar w:left="320" w:top="455" w:right="5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Madan Jagasia, M.D., M.S.</w:t>
      </w:r>
      <w:r>
        <w:rPr>
          <w:rFonts w:ascii="Times New Roman" w:cs="Times New Roman" w:eastAsia="Times New Roman" w:hAnsi="Times New Roman"/>
          <w:sz w:val="17"/>
          <w:szCs w:val="17"/>
          <w:color w:val="auto"/>
        </w:rPr>
        <w:t>, has served as Obsidian’s Chief Executive Officer and a member of the Obsidian Board since January 2023.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August 2020 to January 2023, Dr. Jagasia served in various roles at Iovance Biotherapeutics, Inc. (Nasdaq: IOVA), or Iovance, a biopharmaceutical company, and most recently as Executive Vice President, Medical Affairs. Previously, Dr. Jagasia worked at Vanderbilt University Medical Center since 2001 in various roles and most recently as Chief Medical Officer and Executive Medical Director of the Vanderbilt-Ingram Cancer Center, or VICC, where he co-led the Translational Research and Interventional Oncology Research Program at VICC. Dr. Jagasia holds a M.B.B.S. from the GS Medical College &amp; KEM Hospital and an M.S. and a Master of Management in Health Care Management from Vanderbilt University. We believe Dr. Jagasia is qualified to serve on the Parent Board because of his scientific and professional background, and based on his current role as Chief Executive Officer.</w:t>
      </w:r>
    </w:p>
    <w:p>
      <w:pPr>
        <w:spacing w:after="0" w:line="17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Maria Fardis, Ph.D., M.B.A</w:t>
      </w:r>
      <w:r>
        <w:rPr>
          <w:rFonts w:ascii="Times New Roman" w:cs="Times New Roman" w:eastAsia="Times New Roman" w:hAnsi="Times New Roman"/>
          <w:sz w:val="18"/>
          <w:szCs w:val="18"/>
          <w:color w:val="auto"/>
        </w:rPr>
        <w:t>., is chairperson of the Obsidian Board and has served as a member of the Obsidian Board since October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Fardis has served as the Chief Executive Officer of Lassen Therapeutics, a biotechnology company, since April 2021 and as a Venture Partner at Frazier Life Sciences Management, L.P., or Frazier, a healthcare investment firm, since September 2021. Dr. Fardis previously served as President and Chief Executive Officer of Iovance and as a member of its board of directors from June 2016 through June 2021. Dr. Fardis previously served as the Chief Operating Officer of Acerta Pharma B.V., a biopharmaceutical company, from January 2015 to March 2016. From April 2011 to December 2014, she worked at Pharmacyclics, Inc. (formerly Nasdaq: PCYC; acquired by AbbVie Inc.) in various roles and most recently served as Chief of Oncology Operations and Alliances. Prior to that, from 2001 to 2011, Dr. Fardis held increasingly senior positions in medicinal chemistry and project and portfolio management at Gilead Sciences, Inc. (Nasdaq: GILD). Dr. Fardis has served on the board of directors of CRISPR Therapeutics AG (Nasdaq: CRSP), a biopharmaceutical company, since June 2022. Dr. Fardis holds a B.S. in chemistry from the University of Illinois, Urbana-Champaign, a Ph.D. in Organic Chemistry from the University of California, Berkeley, and an M.B.A. from Golden Gate University. We believe Dr. Fardis is qualified to serve on the Parent Board because of her experience as an executive in the life sciences industry, extensive experience in drug development, and strong scientific background.</w:t>
      </w:r>
    </w:p>
    <w:p>
      <w:pPr>
        <w:spacing w:after="0" w:line="19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Peter Barrett, Ph.D.</w:t>
      </w:r>
      <w:r>
        <w:rPr>
          <w:rFonts w:ascii="Times New Roman" w:cs="Times New Roman" w:eastAsia="Times New Roman" w:hAnsi="Times New Roman"/>
          <w:sz w:val="18"/>
          <w:szCs w:val="18"/>
          <w:color w:val="auto"/>
        </w:rPr>
        <w:t>, has served as a member of the Obsidian Board since September 2015. Since 2002, Dr. Barrett has worked at Atlas Venture,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early-stage life sciences venture capital fund, and is a partner in the life sciences group, where he has been involved in the creation of several therapeutic and drug discovery platform companies. Previously, he was a co-founder, Executive Vice President and Chief Business Officer of Celera Genomics. Dr. Barrett has served as the Chairman of Synlogic, Inc. (Nasdaq: SYBX), a biotechnology company, since 2017 and on the board of directors of Revvity, Inc. (NYSE: RVTY), a life sciences and diagnostics company, since 2012. Dr. Barrett is also on the Advisory Council of the Blavatnik Fellowship program. Dr. Barrett previously served on the board of Larimar Therapeutics, Inc. (Nasdaq: LRMR), a biotechnology company, until 2023, and previously served on the board of Cadent Therapeutics (acquired by Novartis AG), Vitae Pharmaceuticals, Inc. (formerly Nasdaq: VTAE; acquired by Allergan PLC), Stromedix, Inc. (acquired by Biogen Idec), NovaMed Pharmaceuticals, Inc. (acquired by SciClone Pharmaceuticals, Inc.), Alnylam Pharmaceuticals, Inc. (Nasdaq: ALNY), Harbour Antibodies BV (acquired by Harbour BioMed), Momenta Pharmaceuticals, Inc. (Nasdaq: MNTA), Sirion Therapeutics, Inc. (acquired by Alcon Inc. and Bausch + Lomb Corporation), and Archemix (acquired by Baxter International Inc.). In addition, Dr. Barrett is a board member of Nucleate, a student run non-profit organization representing the global community of bio-innovators. Dr. Barrett holds a B.S. in chemistry from Lowell Technological Institute (now known as the University of Massachusetts, Lowell) and a Ph.D. in analytical chemistry from Northeastern University. We believe Dr. Barrett is qualified to serve on the Parent Board because of his extensive experience in the life sciences industry.</w:t>
      </w:r>
    </w:p>
    <w:p>
      <w:pPr>
        <w:spacing w:after="0" w:line="185"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Heidi Hagen, M.B.A.</w:t>
      </w:r>
      <w:r>
        <w:rPr>
          <w:rFonts w:ascii="Times New Roman" w:cs="Times New Roman" w:eastAsia="Times New Roman" w:hAnsi="Times New Roman"/>
          <w:sz w:val="18"/>
          <w:szCs w:val="18"/>
          <w:color w:val="auto"/>
        </w:rPr>
        <w:t>, has served as a member of Obsidian’s Board since November 2021. Ms. Hagen has over 30 years of experience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Biotechnology Industry primarily as an operations executive. Ms. Hagen has served as a member of the board of directors of Vericel Corporation (Nasdaq: VCEL; formerly known as Aastrom Biosciences, Inc.), a biopharmaceutical company, since August 2013. Ms. Hagen also serves as a member of the board of directors of Dimension Bio, Applied StemCell, Inc., and A-Alpha Bio, Inc. She previously served as the Chief Technical Officer of Sonoma Biotherapeutics, Inc., a biotechnology company,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310</w:t>
      </w:r>
    </w:p>
    <w:p>
      <w:pPr>
        <w:sectPr>
          <w:pgSz w:w="11900" w:h="16838" w:orient="portrait"/>
          <w:cols w:equalWidth="0" w:num="1">
            <w:col w:w="11100"/>
          </w:cols>
          <w:pgMar w:left="320" w:top="455" w:right="47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from November 2021 to June 2023. Prior to that, Ms. Hagen served as the Interim Chief Executive Officer and member of the board of directors of Ziopharm Oncology, Inc. (formerly Nasdaq: ZIOP; now Alaunos Therapeutics, Inc.), a biopharmaceutical company, from 2019 to 2021. Ms. Hagen also co-founded Vineti, Inc., a software platform company for cell and gene therapy supply chain management, where she served as Advisor and Chief Strategy Officer from 2015 to 2021. Prior to those experiences, Ms. Hagen was Senior Vice President of Operations at Dendreon (2002 to 2012) where she oversaw the commercialization of the first active cellular therapy, Provenge. And, she held various operational and project management roles at Immunex Corporation from 1993 to 2002. Ms. Hagen holds a B.S. in cell biology, an M.S. in bioengineering, and an M.B.A. from the University of Washington. We believe Ms. Hagen is qualified to serve on the Parent Board because of her significant leadership experience in the biopharmaceutical industry.</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Matthew Norkunas, M.D., M.B.A.</w:t>
      </w:r>
      <w:r>
        <w:rPr>
          <w:rFonts w:ascii="Times New Roman" w:cs="Times New Roman" w:eastAsia="Times New Roman" w:hAnsi="Times New Roman"/>
          <w:sz w:val="18"/>
          <w:szCs w:val="18"/>
          <w:color w:val="auto"/>
        </w:rPr>
        <w:t>, has served as a member of the Obsidian Board since April 2023. Since January 2025, Dr. Norkunas has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the Chief Financial Officer and President of Tubulis, Inc., a biotechnology company. From July 2020 to January 2025, Dr. Norkunas served as the Chief Financial Officer of Generation Bio Co. (formerly Nasdaq: GBIO; acquired by XOMA Royalty Corporation), a genetics medicine company. Previously, Dr. Norkunas served as the Chief Financial Officer and Head of Corporate and Business Development at SomaLogic, Inc. (acquired by Illumina, Inc.), a protein biomarker discovery and clinical diagnostics company, from February 2016 to June 2020. From July 2012 to January 2016, Dr. Norkunas served as a senior equity analyst at Marsico Capital Management, LLC, an investment company, where he served as the firm’s primary health care investment specialist. Dr. Norkunas began his career as a practicing anesthesiologist. Dr. Norkunas holds a B.A. from St. Mary’s College of Maryland, an M.D. from University of Maryland School of Medicine, and an M.B.A. from Columbia Business School. We believe Dr. Norkunas is qualified to serve on the Parent Board because of his significant financial experience of biotechnology companies and clinical background.</w:t>
      </w:r>
    </w:p>
    <w:p>
      <w:pPr>
        <w:spacing w:after="0" w:line="188"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Robert Ross, M.D.</w:t>
      </w:r>
      <w:r>
        <w:rPr>
          <w:rFonts w:ascii="Times New Roman" w:cs="Times New Roman" w:eastAsia="Times New Roman" w:hAnsi="Times New Roman"/>
          <w:sz w:val="17"/>
          <w:szCs w:val="17"/>
          <w:color w:val="auto"/>
        </w:rPr>
        <w:t>, has served as a member of the Obsidian Board since September 2020. Since November 2023, Dr. Ross has served as the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of Clasp Therapeutics, Inc., a pharmaceutical company. Prior to that, Dr. Ross served as the Chief Executive Officer and a member of board of directors of Surface Oncology, Inc. (formerly Nasdaq: SURF; acquired by Coherus BioSciences, Inc.), an immuno-oncology company, from April 2021 until July 2023 and had previously served as the Chief Medical Officer from October 2016 to March 2021. Dr. Ross served as Head of Oncology at bluebird bio, Inc. (formerly Nasdaq: BLUE; now Genetix Biotherapeutics, Inc.) from October 2015 to October 2016, Senior Vice President of Clinical Development and Pharmacovigilance from January 2015 to October 2016, and Vice President of Clinical Development from October 2012 to January 2015. Prior to that, he worked at Infinity Pharmaceuticals, Inc. from October 2007 to October 2012. Dr. Ross was a Fellow in Medical Oncology and a faculty member at the Dana Farber Cancer Institute from July 2003 to August 2007, and then maintained a clinical practice at Dana Farber Cancer Institute from August 2007 to October 2015. Dr. Ross has served on the board of directors of Xilio Therapeutics, Inc. (Nasdaq: XLO), a biotechnology company, since June 2022. Dr. Ross holds a B.S. in Biological Sciences and a B.A. in Philosophy from Stanford University, an M.S. in Medical Science as part of the Clinical Investigator Training Program from Harvard Medical School, and an M.D. from Columbia University College of Physicians and Surgeons. He completed his residency training in Internal Medicine at the University of California, San Francisco. We believe that Dr. Ross is qualified to serve on the Parent Board because of his extensive executive experience in the life science industry and clinical background.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121" w:lineRule="exact"/>
        <w:rPr>
          <w:sz w:val="20"/>
          <w:szCs w:val="20"/>
          <w:color w:val="auto"/>
        </w:rPr>
      </w:pPr>
    </w:p>
    <w:p>
      <w:pPr>
        <w:ind w:left="120" w:right="58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Parent’s amended and restated certificate of incorporation (the “Parent Charter”) and amended and restated bylaws (the “Parent Bylaws”), the Parent Board is divided into three classes with</w:t>
      </w:r>
    </w:p>
    <w:p>
      <w:pPr>
        <w:ind w:left="120"/>
        <w:spacing w:after="0"/>
        <w:rPr>
          <w:sz w:val="20"/>
          <w:szCs w:val="20"/>
          <w:color w:val="auto"/>
        </w:rPr>
      </w:pPr>
      <w:r>
        <w:rPr>
          <w:rFonts w:ascii="Times New Roman" w:cs="Times New Roman" w:eastAsia="Times New Roman" w:hAnsi="Times New Roman"/>
          <w:sz w:val="18"/>
          <w:szCs w:val="18"/>
          <w:color w:val="auto"/>
        </w:rPr>
        <w:t>staggered, three-year terms. At each annual meeting of stockholders, the successors to directors whose terms then</w:t>
      </w:r>
    </w:p>
    <w:p>
      <w:pPr>
        <w:spacing w:after="0" w:line="13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311</w:t>
      </w:r>
    </w:p>
    <w:p>
      <w:pPr>
        <w:sectPr>
          <w:pgSz w:w="11900" w:h="16838" w:orient="portrait"/>
          <w:cols w:equalWidth="0" w:num="1">
            <w:col w:w="11120"/>
          </w:cols>
          <w:pgMar w:left="320" w:top="455" w:right="4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expire will be elected to serve from the time of election and qualification until the third annual meeting following election. The Parent Board will be divided among the three classes as follows:</w:t>
      </w:r>
    </w:p>
    <w:p>
      <w:pPr>
        <w:spacing w:after="0" w:line="67" w:lineRule="exact"/>
        <w:rPr>
          <w:sz w:val="20"/>
          <w:szCs w:val="20"/>
          <w:color w:val="auto"/>
        </w:rPr>
      </w:pPr>
    </w:p>
    <w:p>
      <w:pPr>
        <w:ind w:left="1080" w:hanging="424"/>
        <w:spacing w:after="0"/>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 is Peter Barrett, Ph.D., and his term will expire at our first annual meeting of stockholders following the mergers;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Matthew Norkunas, M.D., M.B.A. and Heidi Hagen and their terms will expire at our second annual meeting of stockholders following the mergers;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Madan Jagasia, M.D., M.S., Maria Fardis, M.D., M.S., and Robert Ross, M.D., and their terms will expire at the third annual meeting of stockholders following the mergers.</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Parent Charter and the Parent Bylaws provide that the authorized number of directors may be changed only by resolution of the Parent Board. Any additional directorships resulting from an increase in the number of directors will be distributed among the three classes so that, as nearly as possible, each class will consist of one-third of the directors. The division of the Parent Board into three classes with staggered three-year terms may delay or prevent a change of our management or a change in control of Parent. Parent directors may be removed only for cause by the affirmative vote of the holders of at least a majority of the shares of stock entitled to vote in the election of the director or directors to be so removed.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Parent Board will be chaired by Maria Fardis, Ph.D.</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Role of the Parent Board in Risk Oversight</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One of the key functions of the Parent Board will be the informed oversight of its risk management process. The Parent Board will not have a standing risk management committee, but rather administer this oversight function directly through the Parent Board as a whole, as well as through various standing committees that address risks inherent in their respective areas of oversight. In particular, the Parent Board will be responsible for monitoring and assessing strategic risk exposure and the audit committee will have the responsibility to consider and discuss major financial risk exposures and the steps management takes to monitor and control these exposures, including guidelines and policies to govern the process by which risk assessment and management is undertaken. The audit committee will monitor compliance with legal and regulatory requirements. The nominating and corporate governance committee will monitor the effectiveness of Parent’s corporate governance practices, including whether they are successful in preventing illegal or improper liability-creating conduct. The compensation committee will assess and monitor whether any of Parent’s compensation policies and programs has the potential to encourage excessive risk-taking. While each committee will be responsible for evaluating certain risks and overseeing the management of such risks, the entire Parent Board will be regularly informed through committee reports about such risks.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Committees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Parent Board currently has an established nominating and corporate governance committee, which operates pursuant to a written charter adopted by the Parent Board. The Parent Board will adopt an amended and restated nominating and corporate governance committee charter, which will be effective upon the closing of the mergers.</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Upon the closing of the mergers, the Parent Board will have three standing committees: audit, compensation and nominating and corporate governance, each of which will operate under a written charter. A copy of each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312</w:t>
      </w:r>
    </w:p>
    <w:p>
      <w:pPr>
        <w:sectPr>
          <w:pgSz w:w="11900" w:h="16838" w:orient="portrait"/>
          <w:cols w:equalWidth="0" w:num="1">
            <w:col w:w="11100"/>
          </w:cols>
          <w:pgMar w:left="320" w:top="455" w:right="47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the audit committee, compensation committee and nominating and corporate governance committee charters will be available under the Corporate Governance section of Parent’s website at </w:t>
      </w:r>
      <w:r>
        <w:rPr>
          <w:rFonts w:ascii="Times New Roman" w:cs="Times New Roman" w:eastAsia="Times New Roman" w:hAnsi="Times New Roman"/>
          <w:sz w:val="18"/>
          <w:szCs w:val="18"/>
          <w:i w:val="1"/>
          <w:iCs w:val="1"/>
          <w:color w:val="auto"/>
        </w:rPr>
        <w:t>www.obsidiantx.com</w:t>
      </w:r>
      <w:r>
        <w:rPr>
          <w:rFonts w:ascii="Times New Roman" w:cs="Times New Roman" w:eastAsia="Times New Roman" w:hAnsi="Times New Roman"/>
          <w:sz w:val="18"/>
          <w:szCs w:val="18"/>
          <w:color w:val="auto"/>
        </w:rPr>
        <w:t>. The reference to Parent’s website address does not constitute incorporation by reference of the information contained at or available through Parent’s website, and you should not consider it to be a part of this information statement/prospectus.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audit committee’s responsibilities will include:</w:t>
      </w:r>
    </w:p>
    <w:p>
      <w:pPr>
        <w:spacing w:after="0" w:line="131" w:lineRule="exact"/>
        <w:rPr>
          <w:sz w:val="20"/>
          <w:szCs w:val="20"/>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Parent’s registered public accounting firm;</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Parent’s registered public accounting firm, including through the receipt and consideration of reports from such firm;</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registered public accounting firm Parent’s annual and quarterly financial statements and related disclosures;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Parent Board’s oversight of our internal control over financial reporting, disclosure controls and procedures and code of business conduct and ethics;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Parent’s risk management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independently with Parent’s internal auditing staff, if any, registered public accounting firm and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5"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The members of Parent’s audit committee will be Matthew Norkunas, M.D., M.B.A., Peter Barrett, Ph.D., and Maria Fardis, Ph.D. Dr. Norkunas will serve as the chairperson of the committee. All members of the audit committee meet the requirements for financial literacy under the applicable Nasdaq rules. The Parent Board has determined that each of Dr. Norkunas, Dr. Barrett and Dr. Fardis meet the independence requirements of</w:t>
      </w:r>
    </w:p>
    <w:p>
      <w:pPr>
        <w:spacing w:after="0" w:line="2" w:lineRule="exact"/>
        <w:rPr>
          <w:sz w:val="20"/>
          <w:szCs w:val="20"/>
          <w:color w:val="auto"/>
        </w:rPr>
      </w:pPr>
    </w:p>
    <w:p>
      <w:pPr>
        <w:ind w:left="120" w:right="520"/>
        <w:spacing w:after="0" w:line="290" w:lineRule="auto"/>
        <w:rPr>
          <w:sz w:val="20"/>
          <w:szCs w:val="20"/>
          <w:color w:val="auto"/>
        </w:rPr>
      </w:pPr>
      <w:r>
        <w:rPr>
          <w:rFonts w:ascii="Times New Roman" w:cs="Times New Roman" w:eastAsia="Times New Roman" w:hAnsi="Times New Roman"/>
          <w:sz w:val="17"/>
          <w:szCs w:val="17"/>
          <w:color w:val="auto"/>
        </w:rPr>
        <w:t>Rule 10A-3 under the Exchange Act and the applicable Nasdaq rules. The Parent Board has determined that Dr. Norkunas is an “audit committee financial expert” as defined by applicable SEC rules and has the requisite financial sophistication as defined under the applicable Nasdaq rules.</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committee’s responsibilities will include:</w:t>
      </w:r>
    </w:p>
    <w:p>
      <w:pPr>
        <w:spacing w:after="0" w:line="131" w:lineRule="exact"/>
        <w:rPr>
          <w:sz w:val="20"/>
          <w:szCs w:val="20"/>
          <w:color w:val="auto"/>
        </w:rPr>
      </w:pPr>
    </w:p>
    <w:p>
      <w:pPr>
        <w:ind w:left="1080" w:right="120" w:hanging="424"/>
        <w:spacing w:after="0" w:line="282"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for approval by the Parent Board, the compensation of the Chief Executive Officer and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cash and equity incentive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Parent Board with respect to director compensation;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annual compensation committee report required by SEC rules, to the extent required.</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members of Parent’s compensation committee will be Robert Ross, M.D., Maria Fardis, Ph.D., and Heidi Hagen. Ms. Hagen will serve as the chairperson of the committee. The Parent Board has determined that each of Dr. Ross, Dr. Fardis and Ms. Hagen is independent under the applicable Nasdaq rules, including the Nasdaq rules specific to membership on the compensation committee, and is a “non-employee director” as defined in Rule 16b-3 promulgated under the Exchange Act.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313</w:t>
      </w:r>
    </w:p>
    <w:p>
      <w:pPr>
        <w:sectPr>
          <w:pgSz w:w="11900" w:h="16838" w:orient="portrait"/>
          <w:cols w:equalWidth="0" w:num="1">
            <w:col w:w="11080"/>
          </w:cols>
          <w:pgMar w:left="320" w:top="455" w:right="4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and corporate governance committee’s responsibilities will include:</w:t>
      </w:r>
    </w:p>
    <w:p>
      <w:pPr>
        <w:spacing w:after="0" w:line="131" w:lineRule="exact"/>
        <w:rPr>
          <w:sz w:val="20"/>
          <w:szCs w:val="20"/>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Parent Board the persons to be nominated for election as directors and to each board committee;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Parent Board corporate governance guidelines, and reviewing and recommending to the Parent Board proposed changes to the Parent corporate governance guidelines from time to time;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 periodic evaluation of the Parent Board.</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members of Parent’s nominating and corporate governance committee will be Heidi Hagen, Peter Barrett, Ph.D., and Robert Ross, M.D.. Ms. Hagen will serve as the chairperson of the committee. The Parent Board has determined that Ms. Hagen, Dr. Barrett and Dr. Ross are independent under the applicable Nasdaq rules.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19"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No proposed member of our compensation committee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our compensation committee during the last completed fiscal year.</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Code of Ethics and Code of Conduct</w:t>
      </w:r>
    </w:p>
    <w:p>
      <w:pPr>
        <w:spacing w:after="0" w:line="119" w:lineRule="exact"/>
        <w:rPr>
          <w:sz w:val="20"/>
          <w:szCs w:val="20"/>
          <w:color w:val="auto"/>
        </w:rPr>
      </w:pPr>
    </w:p>
    <w:p>
      <w:pPr>
        <w:ind w:left="120" w:right="1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Parent has adopted a written code of business conduct and ethics that applies to its directors, officers and employees, including its principal executive officer, principal financial officer, principal accounting officer or controller, or persons performing similar functions. Upon the closing of the mergers, the code of business conduct and ethics will be available under the Corporate Governance section of Parent’s website at </w:t>
      </w:r>
      <w:r>
        <w:rPr>
          <w:rFonts w:ascii="Times New Roman" w:cs="Times New Roman" w:eastAsia="Times New Roman" w:hAnsi="Times New Roman"/>
          <w:sz w:val="17"/>
          <w:szCs w:val="17"/>
          <w:i w:val="1"/>
          <w:iCs w:val="1"/>
          <w:color w:val="auto"/>
        </w:rPr>
        <w:t>www.obsidiantx.com</w:t>
      </w:r>
      <w:r>
        <w:rPr>
          <w:rFonts w:ascii="Times New Roman" w:cs="Times New Roman" w:eastAsia="Times New Roman" w:hAnsi="Times New Roman"/>
          <w:sz w:val="17"/>
          <w:szCs w:val="17"/>
          <w:color w:val="auto"/>
        </w:rPr>
        <w:t>. In addition, Parent intends to post on its website all disclosures that are required by law or the listing standards of the Nasdaq concerning any amendments to, or waivers from, any provision of the code. The reference to our website address does not constitute incorporation by reference of the information contained at or available through Parent’s website, and you should not consider it to be a part of this information statement/prospectus.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Directors who are also our employees will not receive compensation for their service on the Parent Board. Parent’s non-employee directors will receive equity compensation for their service on the Parent Board.</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Parent Board will periodically review the director compensation program and may revise the compensation arrangements for directors from time to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Parent certificate of incorporation limits the personal liability of directors for breach of fiduciary duty to the maximum extent permitted by the DGCL and provides that no director will have personal liability to us or to our stockholders for monetary damages for breach of fiduciary duty as a director. However, these provisions do not eliminate or limit the liability of any Parent directors:</w:t>
      </w:r>
    </w:p>
    <w:p>
      <w:pPr>
        <w:spacing w:after="0" w:line="81" w:lineRule="exact"/>
        <w:rPr>
          <w:sz w:val="20"/>
          <w:szCs w:val="20"/>
          <w:color w:val="auto"/>
        </w:rPr>
      </w:pPr>
    </w:p>
    <w:p>
      <w:pPr>
        <w:ind w:left="1080" w:hanging="424"/>
        <w:spacing w:after="0"/>
        <w:tabs>
          <w:tab w:leader="none" w:pos="10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Parent or Parent stockholders;</w:t>
      </w:r>
    </w:p>
    <w:p>
      <w:pPr>
        <w:spacing w:after="0" w:line="130" w:lineRule="exact"/>
        <w:rPr>
          <w:rFonts w:ascii="Times New Roman" w:cs="Times New Roman" w:eastAsia="Times New Roman" w:hAnsi="Times New Roman"/>
          <w:sz w:val="18"/>
          <w:szCs w:val="18"/>
          <w:color w:val="auto"/>
        </w:rPr>
      </w:pPr>
    </w:p>
    <w:p>
      <w:pPr>
        <w:ind w:left="5480" w:right="2280" w:hanging="4824"/>
        <w:spacing w:after="0" w:line="454" w:lineRule="auto"/>
        <w:tabs>
          <w:tab w:leader="none" w:pos="107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 314</w:t>
      </w:r>
    </w:p>
    <w:p>
      <w:pPr>
        <w:sectPr>
          <w:pgSz w:w="11900" w:h="16838" w:orient="portrait"/>
          <w:cols w:equalWidth="0" w:num="1">
            <w:col w:w="11120"/>
          </w:cols>
          <w:pgMar w:left="320" w:top="455" w:right="45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for or assenting to unlawful payments of dividends, stock repurchases or other distributions;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Parent directors will be further limited to the greatest extent permitted by the DGCL.</w:t>
      </w:r>
    </w:p>
    <w:p>
      <w:pPr>
        <w:spacing w:after="0" w:line="176" w:lineRule="exact"/>
        <w:rPr>
          <w:sz w:val="20"/>
          <w:szCs w:val="20"/>
          <w:color w:val="auto"/>
        </w:rPr>
      </w:pPr>
    </w:p>
    <w:p>
      <w:pPr>
        <w:ind w:left="120" w:right="320" w:firstLine="440"/>
        <w:spacing w:after="0" w:line="312" w:lineRule="auto"/>
        <w:rPr>
          <w:sz w:val="20"/>
          <w:szCs w:val="20"/>
          <w:color w:val="auto"/>
        </w:rPr>
      </w:pPr>
      <w:r>
        <w:rPr>
          <w:rFonts w:ascii="Times New Roman" w:cs="Times New Roman" w:eastAsia="Times New Roman" w:hAnsi="Times New Roman"/>
          <w:sz w:val="17"/>
          <w:szCs w:val="17"/>
          <w:color w:val="auto"/>
        </w:rPr>
        <w:t>In addition, the Parent certificate of incorporation, provides that Parent must indemnify Parent directors and officers and Parent must advance expenses, including attorneys’ fees, to Parent directors and officers in connection with legal proceedings, subject to very limited exceptions.</w:t>
      </w:r>
    </w:p>
    <w:p>
      <w:pPr>
        <w:spacing w:after="0" w:line="140"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Parent maintains a general liability insurance policy that covers specified liabilities of Parent directors and officers arising out of claims based on acts or omissions in their capacities as directors or officers.</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Some of Parent’s non-employee directors may, through their relationships with their employers, be insured or indemnified against specified liabilities incurred in their capacities as members of Parent Board.</w:t>
      </w:r>
    </w:p>
    <w:p>
      <w:pPr>
        <w:spacing w:after="0" w:line="162"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executive officers or persons controlling us, in the opinion of the SEC, such indemnification is against public policy as expressed in the Securities Act and is therefore unenforceable.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 Plans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2026 Equity Incentive Plan was adopted by the Parent Board and approved by Parent’s sole stockholder on June 30, 2026, and will become effective immediately preceding the closing of the mergers. Parent shall file with the SEC a registration statement on Form S-8 (or any successor form), if available for use by Parent, relating to the shares of Parent common stock issuable with respect to the 2026 Equity Incentive Plan.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Parent qualifies as an “emerging growth company” as defined in the Jumpstart Our Business Startups Act, enacted in April 2012, as amended (the “JOBS Act”). An emerging growth company may take advantage of specific reduced disclosure and other requirements that are otherwise applicable generally to public companies. These provisions include:</w:t>
      </w:r>
    </w:p>
    <w:p>
      <w:pPr>
        <w:spacing w:after="0" w:line="81" w:lineRule="exact"/>
        <w:rPr>
          <w:sz w:val="20"/>
          <w:szCs w:val="20"/>
          <w:color w:val="auto"/>
        </w:rPr>
      </w:pPr>
    </w:p>
    <w:p>
      <w:pPr>
        <w:ind w:left="1080" w:hanging="424"/>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as amended;</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315</w:t>
      </w:r>
    </w:p>
    <w:p>
      <w:pPr>
        <w:sectPr>
          <w:pgSz w:w="11900" w:h="16838" w:orient="portrait"/>
          <w:cols w:equalWidth="0" w:num="1">
            <w:col w:w="11080"/>
          </w:cols>
          <w:pgMar w:left="320" w:top="455" w:right="4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Parent may take advantage of these provisions until the last day of its fiscal year following the fifth anniversary of the completion of the mergers. However, if certain events occur prior to the end of such five-year period, including if Parent becomes a large accelerated filer, its annual gross revenue exceeds $1.235 billion or it issues more than $1.0 billion of non-convertible debt in any three-year period, it will cease to be an emerging growth company prior to the end of such five-year period.</w:t>
      </w:r>
    </w:p>
    <w:p>
      <w:pPr>
        <w:spacing w:after="0" w:line="180"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Parent has elected to take advantage of certain of the reduced disclosure obligations in the Registration Statement of which this information statement/prospectus is a part and may elect to take advantage of other reduced reporting requirements in future filings. As a result, the information that Parent provides to its stockholders may be different than you might receive from other public reporting companies in which you hold equity interests.</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Parent has elected to take advantage of this extended transition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316</w:t>
      </w:r>
    </w:p>
    <w:p>
      <w:pPr>
        <w:sectPr>
          <w:pgSz w:w="11900" w:h="16838" w:orient="portrait"/>
          <w:cols w:equalWidth="0" w:num="1">
            <w:col w:w="1112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OF PARENT</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beneficial ownership of Parents’s common stock immediately after consummation of the concurrent financing and the mergers, assuming the consummation of the mergers occurred on May 19, 2026 for: each stockholder expected by Galera and Obsidian to become the beneficial owner of more than 5% of the combined company’s outstanding common stock, each person expected to be a named executive officer of the combined company, each person expected to be a director of the combined company, and all of the combined company’s expected directors and executive officers as a group.</w:t>
      </w:r>
    </w:p>
    <w:p>
      <w:pPr>
        <w:spacing w:after="0" w:line="183"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with respect to the securities as well as any shares of common stock that the individual or entity has the right to acquire within 60 days of</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May 19, 2026 upon the exercise of stock options or other rights.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Except as noted by footnote, and subject to community property laws where applicable, Galera and Obsidian believe, based on the information provided to them, that the persons and entities named in the table below have sole voting and investment power with respect to all common stock shown as beneficially owned by them.</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table lists applicable percentage ownership based on 61,595,784 shares of common stock of Parent expected to be outstanding upon consummation of the mergers, after giving effect to the concurrent financing and giving effect to the anticipated Galera Reverse Stock Split. The number of shares beneficially owned includes shares of common stock that each person has the right to acquire within 60 days, including upon the exercise of stock options and the vesting of restricted stock units. These stock options and restricted stock units shall be deemed to be outstanding for the purpose of computing the percentage of outstanding shares of the combined company’s common stock expected to be owned by such person but shall not be deemed to be outstanding for the purpose of computing the percentage of outstanding shares of the combined organization’s common stock expected to be owned by any other person.</w:t>
      </w:r>
    </w:p>
    <w:p>
      <w:pPr>
        <w:spacing w:after="0" w:line="18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Immediately after the merger, former Galera securityholders as of immediately prior to the mergers, excluding shares of common stock purchased in the concurrent financing, are expected to own approximately 1.29% of the outstanding shares of capital stock of Parent, former Obsidian securityholders are expected to own approximately 53.46% of the outstanding shares of capital stock of Parent and shares of common stock issued in the concurrent financing are expected to represent approximately 45.25% of the outstanding shares of capital stock of the Parent, subject to certain assumptions, including, but not limited to, Galera’s net cash as of closing, which is currently estimated to be $(2.00) million at closing. The table below assumes that, based on Galera’s and Obsidian’s capitalization as of May 19, 2026: (i) the Galera exchange ratio is estimated to be equal to approximately 0.7515 shares of Parent common stock, after giving effect to the anticipated Galera Reverse Stock Split, and (ii) the Obsidian exchange ratio is estimated to be equal to approximately 0.1375 shares of Parent common stock. The estimated exchange ratio for was derived on a fully-diluted basis as of May 19, 2026 per the terms and conditions of the merger agreement, using a stipulated value of Galera of approximately $10.00 million (including the concurrent financing) and of Obsidian of approximately $413.5 million.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317</w:t>
      </w:r>
    </w:p>
    <w:p>
      <w:pPr>
        <w:sectPr>
          <w:pgSz w:w="11900" w:h="16838" w:orient="portrait"/>
          <w:cols w:equalWidth="0" w:num="1">
            <w:col w:w="11120"/>
          </w:cols>
          <w:pgMar w:left="320" w:top="455" w:right="45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92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73"/>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920" w:type="dxa"/>
            <w:vAlign w:val="bottom"/>
            <w:gridSpan w:val="4"/>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After the Merger</w:t>
            </w:r>
          </w:p>
        </w:tc>
        <w:tc>
          <w:tcPr>
            <w:tcW w:w="0" w:type="dxa"/>
            <w:vAlign w:val="bottom"/>
          </w:tcPr>
          <w:p>
            <w:pPr>
              <w:spacing w:after="0"/>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1260" w:type="dxa"/>
            <w:vAlign w:val="bottom"/>
            <w:tcBorders>
              <w:top w:val="single" w:sz="8" w:color="auto"/>
            </w:tcBorders>
            <w:gridSpan w:val="2"/>
          </w:tcPr>
          <w:p>
            <w:pPr>
              <w:jc w:val="right"/>
              <w:ind w:right="6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5"/>
              </w:rPr>
              <w:t>Percent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7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RA Capital (1)</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5,940,861</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Atlas Venture (2)</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4,478,315</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Deep Track Biotechnology Master Fund, Ltd. (3)</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3,301,283</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Novo Holdings A/S (4)</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3,115,637</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324"/>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Madan Jagasia, M.D., M.S. (5)</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1,183,220</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Parameswaran Hari, M.D., M.S. (6)</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318,028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Dana Alexander, M.B.A. (7)</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183,896</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Maria Fardis, Ph.D., M.B.A. (8)</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133,891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Heidi Hagen, M.B.A. (9)</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47,953</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Matthew Norkunas, M.D., M.B.A. (10)</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25,781</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Ross, M.D. (11)</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59,984</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Peter Barrett, Ph.D. (12)</w:t>
            </w:r>
          </w:p>
        </w:tc>
        <w:tc>
          <w:tcPr>
            <w:tcW w:w="12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4,478,315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(9 persons) (13)</w:t>
            </w:r>
          </w:p>
        </w:tc>
        <w:tc>
          <w:tcPr>
            <w:tcW w:w="12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6,431,068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10.40%</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540" w:hanging="424"/>
        <w:spacing w:after="0" w:line="265" w:lineRule="auto"/>
        <w:tabs>
          <w:tab w:leader="none" w:pos="54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5,940,861 shares of Parent common stock held by entities affiliated with RA Capital Management, L.P. RA Capital Management, L.P., is the investment manager for RA Capital Nexus Fund II, L.P., and RA Capital Healthcare Fund, L.P. Peter Kolchinsky, Ph.D. and Rajeev Shah are the managing members of RA Capital Management GP, LLC. Each of Dr. Kolchisky and Mr. Shah disclaims beneficial ownership of the securities held by RA Capital Nexus Fund II, L.P., and RA Capital Healthcare Fund, L.P., except to the extent of any pecuniary interest therein, if any. The address of RA Capital Nexus Fund II, L.P., and RA Capital Healthcare Fund, L.P., is 200 Berkeley Street, 18th Floor, Boston MA 02116.</w:t>
      </w:r>
    </w:p>
    <w:p>
      <w:pPr>
        <w:ind w:left="540" w:right="40" w:hanging="424"/>
        <w:spacing w:after="0" w:line="265" w:lineRule="auto"/>
        <w:tabs>
          <w:tab w:leader="none" w:pos="540"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4,478,315 shares of Parent common stock held by entities affiliated with Atlas Venture Fund. The general partner of Atlas I is Atlas Venture Associates Opportunity I, L.P., or AVAO I, and the general partner of AVAO I is Atlas Venture Associates Opportunity I, LLC, or AVAO I LLC. The general partner of Atlas II is Atlas Venture Associates Opportunity II, L.P., or AVAO II, and the general partner of AVAO II is Atlas Venture Associates Opportunity II, LLC, or AVAO II LLC. The general partner of Atlas X is Atlas Venture Associates X, L.P., or AVA X, and the general partner of AVA X is Atlas Venture Associates X, LLC, or AVA X LLC. Kevin Bitterman, Ph.D., is a member of AVAO I LLC and AVAO II LLC. Michael Gladstone is a member of AVAO II LLC. Bruce Booth, D.Phil., David Grayzel, M.D., Jean-Francois Formela, M.D. and Jason Rhodes are members of AVA X LLC, AVAO I LLC and AVAO II LLC. Dr. Peter Barrett is a member of AVA X LLC. By virtue of these relationships, each of AVA X, AVA X LLC, AVAO I, AVAO I LLC, AVAO II, AVAO II LLC may be deemed to beneficially own the shares held by Atlas I or Atlas II or Atlas X. Dr. Bitterman, Dr. Booth, Dr. Grayzel, Dr. Formela and Mr. Rhodes may be deemed to beneficially own the shares held by Atlas I and Atlas II. Mr. Gladstone may be deemed to beneficially own the shares held by Atlas II. Dr. Barrett, Dr. Booth, Dr. Grayzel, Dr. Formela and Mr. Rhodes may be deemed to beneficially own the shares held by Atlas X. The address of Atlas I, Atlas II, Atlas X, AVAO I, AVAO I LLC, AVAO II, AVAO II LLC, AVA X and AVA X LLC is 300 Technology Square, 8th Floor, Cambridge, MA 02139.</w:t>
      </w:r>
    </w:p>
    <w:p>
      <w:pPr>
        <w:spacing w:after="0" w:line="1" w:lineRule="exact"/>
        <w:rPr>
          <w:rFonts w:ascii="Times New Roman" w:cs="Times New Roman" w:eastAsia="Times New Roman" w:hAnsi="Times New Roman"/>
          <w:sz w:val="17"/>
          <w:szCs w:val="17"/>
          <w:color w:val="auto"/>
        </w:rPr>
      </w:pPr>
    </w:p>
    <w:p>
      <w:pPr>
        <w:ind w:left="540" w:right="60" w:hanging="424"/>
        <w:spacing w:after="0" w:line="250"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3,301,283 shares of Parent common stock held by Deep Track Biotechnology Master Fund, Ltd. (“Deep Track”). The address of Deep Track is 200 Greenwich Avenue, 3rd Floor, Greenwich, CT 06830.</w:t>
      </w:r>
    </w:p>
    <w:p>
      <w:pPr>
        <w:ind w:left="540" w:hanging="424"/>
        <w:spacing w:after="0" w:line="250" w:lineRule="auto"/>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3,115,637 shares of Parent common stock held by Novo Holdings A/S. The address of Novo Holdings A/S is Tuborg Havnevej 19, DK 2900, Hellerup, Denmark.</w:t>
      </w:r>
    </w:p>
    <w:p>
      <w:pPr>
        <w:ind w:left="540" w:hanging="424"/>
        <w:spacing w:after="0"/>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1,183,220 shares of Parent common stock that are exercisable within 60 days of May 19,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318,028 shares of Parent common stock that are exercisable within 60 days of May 19, 2026.</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318</w:t>
      </w:r>
    </w:p>
    <w:p>
      <w:pPr>
        <w:sectPr>
          <w:pgSz w:w="11900" w:h="16838" w:orient="portrait"/>
          <w:cols w:equalWidth="0" w:num="1">
            <w:col w:w="11120"/>
          </w:cols>
          <w:pgMar w:left="320" w:top="455" w:right="45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183,896 shares of Parent common stock that are exercisable within 60 days of May 19, 2026.</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133,891 shares of Parent common stock that are exercisable within 60 days of May 19, 2026.</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47,953 shares of Parent common stock that are exercisable within 60 days of May 19, 2026.</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4,254 shares of Parent common stock and (ii) options to purchase 21,527 shares of Parent common stock that are exercisable within 60 days of May 19, 2026.</w:t>
      </w:r>
    </w:p>
    <w:p>
      <w:pPr>
        <w:ind w:left="540" w:hanging="424"/>
        <w:spacing w:after="0"/>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options to purchase 59,984 shares of Parent common stock that are exercisable within 60 days of May 19, 2026.</w:t>
      </w:r>
    </w:p>
    <w:p>
      <w:pPr>
        <w:spacing w:after="0" w:line="9" w:lineRule="exact"/>
        <w:rPr>
          <w:rFonts w:ascii="Times New Roman" w:cs="Times New Roman" w:eastAsia="Times New Roman" w:hAnsi="Times New Roman"/>
          <w:sz w:val="18"/>
          <w:szCs w:val="18"/>
          <w:color w:val="auto"/>
        </w:rPr>
      </w:pPr>
    </w:p>
    <w:p>
      <w:pPr>
        <w:ind w:left="540" w:right="660" w:hanging="424"/>
        <w:spacing w:after="0" w:line="250" w:lineRule="auto"/>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4,478,315 shares of Parent common stock held by entities affiliated with Atlas Venture Fund. Dr. Barrett disclaims Section 16 beneficial ownership of the securities held by Atlas X, except to the extent of his pecuniary interest therein, if any.</w:t>
      </w:r>
    </w:p>
    <w:p>
      <w:pPr>
        <w:ind w:left="540" w:right="780" w:hanging="424"/>
        <w:spacing w:after="0" w:line="260" w:lineRule="auto"/>
        <w:tabs>
          <w:tab w:leader="none" w:pos="5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4,478,315 shares of Parent common stock and (vi) options to purchase 1,952,753 shares of Parent common stock that are exercisable within 60 days of May 19, 2026.</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319</w:t>
      </w:r>
    </w:p>
    <w:p>
      <w:pPr>
        <w:sectPr>
          <w:pgSz w:w="11900" w:h="16838" w:orient="portrait"/>
          <w:cols w:equalWidth="0" w:num="1">
            <w:col w:w="11100"/>
          </w:cols>
          <w:pgMar w:left="320" w:top="455" w:right="47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April 14, 2026, Galera, Parent, Obsidian, Merger Sub 1 and Merger Sub 2 entered into the merger agreement, providing for (1) the merger of Merger Sub 1 with and into Obsidian, with Obsidian surviving the Obsidian merger as the surviving corporation and a wholly-owned subsidiary of Parent and (2) immediately following the effective time of the Obsidian merger, the merger of Merger Sub 2 with and into Galera, with Galera surviving the Galera merger as the surviving corporation and a wholly-owned subsidiary of Parent.</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Also on April 14, 2026, Galera entered into the subscription agreement with certain investors, pursuant to which Galera has agreed to sell, and such investors have agreed to purchase, shares of Galera’s Series C preferred stock for an aggregate purchase price of approximately $350.0 million (less any proceeds received by Obsidian in connection with a Permitted Obsidian Bridge Financing), prior to the closing of the mergers. The closing of the concurrent financing is conditioned upon the satisfaction or waiver of each of the conditions to the closing of the mergers (other than those conditions which, by their nature, are to be satisfied at the closing of the transactions contemplated by the merger agreement), as well as certain other conditions.</w:t>
      </w:r>
    </w:p>
    <w:p>
      <w:pPr>
        <w:spacing w:after="0" w:line="187"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merger agreement provides that, (1) prior to the effective time of the Galera merger, all of the outstanding shares of Galera preferred stock, as well as the Galera pre-funded warrants, will be converted into Galera common stock and (2) prior to the effective time of the Obsidian merger, all of the outstanding shares of Obsidian preferred stock, as well as the Obsidian Banc of California, Inc. warrants will be converted into Obsidian common stock.</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At the Obsidian merger effective time, each outstanding share of Obsidian common stock (including those resulting from the conversion of the Obsidian preferred stock, the Obsidian Banc of California, Inc. warrants, and Obsidian common stock issued in connection with any interim permitted financings, but excluding dissenting shares and certain excluded shares as described in this information statement/prospectus) will be converted into the right to receive a number of shares of Parent common stock calculated as described in this information statement/prospectus.</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Immediately following the effective time of the Obsidian merger, at the Galera merger effective time, each outstanding share of Galera common stock (including those resulting from the conversion of the Galera preferred stock and the Galera pre-funded warrants, but excluding dissenting shares and certain excluded shares as described in this information statement/prospectus) will be converted into the right to receive a number of shares of Parent common stock calculated as described in this information statement/prospectus.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Galera Reverse Stock Split</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Prior to the closing of the mergers and after the effectiveness of the registration statement of which this information statement/prospectus forms a part, Galera will effect a Galera Reverse Stock Split to be effective at such time and date, if at all, as determined by the Galera Board in its sole discretion. For presentation purposes only, the unaudited pro forma condensed combined financial statements assume a Galera Reverse Stock Split at a ratio of 1-for-200.</w:t>
      </w:r>
    </w:p>
    <w:p>
      <w:pPr>
        <w:spacing w:after="0" w:line="180" w:lineRule="exact"/>
        <w:rPr>
          <w:sz w:val="20"/>
          <w:szCs w:val="20"/>
          <w:color w:val="auto"/>
        </w:rPr>
      </w:pPr>
    </w:p>
    <w:p>
      <w:pPr>
        <w:ind w:left="120" w:right="460" w:firstLine="440"/>
        <w:spacing w:after="0" w:line="258" w:lineRule="auto"/>
        <w:rPr>
          <w:sz w:val="20"/>
          <w:szCs w:val="20"/>
          <w:color w:val="auto"/>
        </w:rPr>
      </w:pPr>
      <w:r>
        <w:rPr>
          <w:rFonts w:ascii="Times New Roman" w:cs="Times New Roman" w:eastAsia="Times New Roman" w:hAnsi="Times New Roman"/>
          <w:sz w:val="18"/>
          <w:szCs w:val="18"/>
          <w:color w:val="auto"/>
        </w:rPr>
        <w:t>While Parent will be the legal acquirer, Obsidian will be deemed to be the accounting acquirer of Galera. The acquisition of Galera will be accounted for as an asset acquisition as it is anticipated that Galera will not meet the definition of business as defined within Accounting Standard Codification Topic 805, Business Combinations (“ASC 805”) as Galera only has inputs and no substantive processes or outputs at the time of acquisition. The Galera assets acquired will be measured based on the estimated fair value of the consideration to be paid, inclusive of direct transactions costs. The Galera IPR&amp;D is expected to have no alternative future use to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320</w:t>
      </w:r>
    </w:p>
    <w:p>
      <w:pPr>
        <w:sectPr>
          <w:pgSz w:w="11900" w:h="16838" w:orient="portrait"/>
          <w:cols w:equalWidth="0" w:num="1">
            <w:col w:w="11080"/>
          </w:cols>
          <w:pgMar w:left="320" w:top="455" w:right="49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the continuing company and will be immediately expensed upon completion of the mergers. The unaudited pro forma condensed combined financial information set forth below primarily gives effect to the following:</w:t>
      </w:r>
    </w:p>
    <w:p>
      <w:pPr>
        <w:spacing w:after="0" w:line="67" w:lineRule="exact"/>
        <w:rPr>
          <w:sz w:val="20"/>
          <w:szCs w:val="20"/>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Galera Reverse Stock Split by Galera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concurrent financing immediately prior to the closing;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merger between Obsidian and Merger Sub 1 at the closing;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the merger between Galera and Merger Sub 2 at the closing;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Galera common stock and Galera preferred stock into Parent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Obsidian common stock and Obsidian preferred stock into Parent common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asset acquisition accounting in connection with the mergers.</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percentage of the combined company that pre-closing Galera security holders will own as of the closing of the Mergers is subject to adjustment based on the valuation of Galera immediately prior to the closing. The valuation of Galera is subject to a dollar-for-dollar adjustment if Final Galera net cash (as defined in the merger agreement) is above or below the Galera target net cash of $1.8 million, provided that any Permitted Galera Bridge Financing will not cause the Final Galera net cash (as defined in the merger agreement) to exceed $1.8 million.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every $200,000 decrease in the Final Galera net cash (as defined in the merger agreement) below $(2.00) million, pre-closing Galera security holders (other than those investors participating in the concurrent financing) would own approximately 2.5 basis points (or two and one half hundredths of a percentage point) less, and pre-closing Obsidian security holders and investors in the concurrent financing, collectively, would own approximately 2.5 basis points (or two and one half hundredths of a percentage point) more, of the outstanding shares of Parent common stock at closing. Final Galera net cash as defined in the merger agreement can be, and likely will be, a negative number and the amount of the adjustment described above is not capped. As an illustration, if the Final Galera net cash is ($2.00) million, the valuation of Galera would be $10.00 million, and (assuming gross proceeds of $350.0 million from the concurrent financing), the pre-closing Galera security holders (other than the investors participating in the concurrent financing) would own approximately 1.29% of the combined company, the pre-closing Obsidian security holders would own approximately 53.46% of the combined company, and investors in the concurrent financing would own approximately 45.25% of the combined company.</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assumes that the mergers and concurrent financing took place on March 31, 2026, and combines the historical balance sheets of Galera and Obsidian as of such date. The unaudited pro forma condensed combined statements of operations for the three months ended March 31, 2026 and the year ended December 31, 2025 assume that the mergers took place as of January 1, 2025, and combines the historical results of Galera and Obsidian for the three months ended March 31, 2026 and the year ended December 31, 2025. The unaudited pro forma condensed combined financial information was prepared pursuant to the rules and regulations of Rule 8-05 and Article 11 of SEC Regulation S-X.</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including the notes thereto, should be read in conjunction with the separate historical financial statements of Galera and Obsidian, and their respective management’s discussion and analysis of financial condition and results of operations, included elsewhere in this information statement/prospectus.</w:t>
      </w:r>
    </w:p>
    <w:p>
      <w:pPr>
        <w:spacing w:after="0" w:line="176"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The unaudited pro forma condensed combined financial information is based on the assumptions and adjustments that are described in the accompanying notes. The pro forma adjustments are preliminary, subject to further revision as additional information becomes available and additional analyses are performed including but not limited to changes in Galera’s assets and liabilities, additional financing, additional direct and incremental</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321</w:t>
      </w:r>
    </w:p>
    <w:p>
      <w:pPr>
        <w:sectPr>
          <w:pgSz w:w="11900" w:h="16838" w:orient="portrait"/>
          <w:cols w:equalWidth="0" w:num="1">
            <w:col w:w="11080"/>
          </w:cols>
          <w:pgMar w:left="320" w:top="455" w:right="49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offering costs and the contemplated Galera Reverse Stock Split. Adjustments have been made solely for the purpose of providing unaudited pro forma condensed combined financial information. Differences between these preliminary estimates and the final accounting expected to be completed after the closing may occur, and these differences could have a material impact on the accompanying unaudited pro forma condensed combined financial information.</w:t>
      </w:r>
    </w:p>
    <w:p>
      <w:pPr>
        <w:spacing w:after="0" w:line="18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the potential impact of current financial conditions, regulatory matters, operating efficiencies or other savings or expenses that may be associated with the integration of the two companies. The unaudited pro forma condensed combined financial information is not necessarily indicative of the financial position or results of operations in the future periods or the result that actually would have been realized had Galera and Obsidian been a combined organization during the specified period. The actual results reported in periods following the mergers may differ significantly from those reflected in the unaudited condensed combined pro forma financial information presented herein for a number of reasons, including, but not limited to, differences in the assumptions used to prepare this unaudited pro forma condensed combined financial information.</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322</w:t>
      </w:r>
    </w:p>
    <w:p>
      <w:pPr>
        <w:sectPr>
          <w:pgSz w:w="11900" w:h="16838" w:orient="portrait"/>
          <w:cols w:equalWidth="0" w:num="1">
            <w:col w:w="11080"/>
          </w:cols>
          <w:pgMar w:left="320" w:top="455" w:right="49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Obsidian</w:t>
            </w:r>
          </w:p>
        </w:tc>
        <w:tc>
          <w:tcPr>
            <w:tcW w:w="80" w:type="dxa"/>
            <w:vAlign w:val="bottom"/>
          </w:tcPr>
          <w:p>
            <w:pPr>
              <w:spacing w:after="0"/>
              <w:rPr>
                <w:sz w:val="13"/>
                <w:szCs w:val="13"/>
                <w:color w:val="auto"/>
              </w:rPr>
            </w:pPr>
          </w:p>
        </w:tc>
        <w:tc>
          <w:tcPr>
            <w:tcW w:w="12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Galera</w:t>
            </w:r>
          </w:p>
        </w:tc>
        <w:tc>
          <w:tcPr>
            <w:tcW w:w="1280" w:type="dxa"/>
            <w:vAlign w:val="bottom"/>
            <w:gridSpan w:val="3"/>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13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1280" w:type="dxa"/>
            <w:vAlign w:val="bottom"/>
            <w:gridSpan w:val="3"/>
            <w:vMerge w:val="continue"/>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173"/>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Inc.</w:t>
            </w:r>
          </w:p>
        </w:tc>
        <w:tc>
          <w:tcPr>
            <w:tcW w:w="46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4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26,439</w:t>
            </w:r>
          </w:p>
        </w:tc>
        <w:tc>
          <w:tcPr>
            <w:tcW w:w="4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4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329,423</w:t>
            </w:r>
          </w:p>
        </w:tc>
        <w:tc>
          <w:tcPr>
            <w:tcW w:w="48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(1,668)</w:t>
            </w:r>
          </w:p>
        </w:tc>
        <w:tc>
          <w:tcPr>
            <w:tcW w:w="7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(8,121)</w:t>
            </w: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86"/>
              </w:rPr>
              <w:t>C</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32,317</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(2,465)</w:t>
            </w: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86"/>
              </w:rPr>
              <w:t>D</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64,040</w:t>
            </w:r>
          </w:p>
        </w:tc>
        <w:tc>
          <w:tcPr>
            <w:tcW w:w="4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4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317,169</w:t>
            </w: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387,272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 and other assets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70,136</w:t>
            </w:r>
          </w:p>
        </w:tc>
        <w:tc>
          <w:tcPr>
            <w:tcW w:w="4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4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317,169</w:t>
            </w: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REDEEMABLE CONVERTIBLE</w:t>
            </w: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PREFERRED STOCK AND STOCKHOLDERS’</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(DEFICIT)</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480" w:type="dxa"/>
            <w:vAlign w:val="bottom"/>
          </w:tcPr>
          <w:p>
            <w:pPr>
              <w:spacing w:after="0"/>
              <w:rPr>
                <w:sz w:val="17"/>
                <w:szCs w:val="1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4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(274)</w:t>
            </w: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3"/>
              </w:rPr>
              <w:t>E</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11,960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(2,138)</w:t>
            </w:r>
          </w:p>
        </w:tc>
        <w:tc>
          <w:tcPr>
            <w:tcW w:w="7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Financing lease liabilities</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15,228</w:t>
            </w:r>
          </w:p>
        </w:tc>
        <w:tc>
          <w:tcPr>
            <w:tcW w:w="4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G</w:t>
            </w:r>
          </w:p>
        </w:tc>
        <w:tc>
          <w:tcPr>
            <w:tcW w:w="8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16,305</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(2,415)</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Redeemable convertible preferred stock</w:t>
            </w: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330,028</w:t>
            </w:r>
          </w:p>
        </w:tc>
        <w:tc>
          <w:tcPr>
            <w:tcW w:w="4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4,295</w:t>
            </w:r>
          </w:p>
        </w:tc>
        <w:tc>
          <w:tcPr>
            <w:tcW w:w="4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(330,028)</w:t>
            </w:r>
          </w:p>
        </w:tc>
        <w:tc>
          <w:tcPr>
            <w:tcW w:w="48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H</w:t>
            </w: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(4,295)</w:t>
            </w:r>
          </w:p>
        </w:tc>
        <w:tc>
          <w:tcPr>
            <w:tcW w:w="7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(75)</w:t>
            </w:r>
          </w:p>
        </w:tc>
        <w:tc>
          <w:tcPr>
            <w:tcW w:w="7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8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H</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8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K</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39,374</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309,573</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(304,550)</w:t>
            </w: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710,114</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329,999</w:t>
            </w: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H</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48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G</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w:t>
            </w:r>
          </w:p>
        </w:tc>
        <w:tc>
          <w:tcPr>
            <w:tcW w:w="780" w:type="dxa"/>
            <w:vAlign w:val="bottom"/>
            <w:gridSpan w:val="2"/>
            <w:shd w:val="clear" w:color="auto" w:fill="CCEEFF"/>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J</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8,787</w:t>
            </w:r>
          </w:p>
        </w:tc>
        <w:tc>
          <w:tcPr>
            <w:tcW w:w="48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K</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329,394</w:t>
            </w: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(2,465)</w:t>
            </w: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86"/>
              </w:rPr>
              <w:t>D</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2"/>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8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(315,568)</w:t>
            </w:r>
          </w:p>
        </w:tc>
        <w:tc>
          <w:tcPr>
            <w:tcW w:w="8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(308,920)</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308,920</w:t>
            </w:r>
          </w:p>
        </w:tc>
        <w:tc>
          <w:tcPr>
            <w:tcW w:w="480" w:type="dxa"/>
            <w:vAlign w:val="bottom"/>
          </w:tcPr>
          <w:p>
            <w:pPr>
              <w:spacing w:after="0"/>
              <w:rPr>
                <w:sz w:val="17"/>
                <w:szCs w:val="17"/>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5"/>
              </w:rPr>
              <w:t>I</w:t>
            </w:r>
          </w:p>
        </w:tc>
        <w:tc>
          <w:tcPr>
            <w:tcW w:w="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98"/>
              </w:rPr>
              <w:t>(331,733)</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(1,668)</w:t>
            </w:r>
          </w:p>
        </w:tc>
        <w:tc>
          <w:tcPr>
            <w:tcW w:w="7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3"/>
              </w:rPr>
              <w:t>B</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(5,709)</w:t>
            </w: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86"/>
              </w:rPr>
              <w:t>C</w:t>
            </w: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(8,788)</w:t>
            </w:r>
          </w:p>
        </w:tc>
        <w:tc>
          <w:tcPr>
            <w:tcW w:w="78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K</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60" w:type="dxa"/>
            <w:vAlign w:val="bottom"/>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(276,197)</w:t>
            </w:r>
          </w:p>
        </w:tc>
        <w:tc>
          <w:tcPr>
            <w:tcW w:w="4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4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653,907</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liabilities, redeemable convertible preferred stock and stockholders’</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equity (deficit)</w:t>
            </w: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70,136</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6,164</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317,169</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pro forma condensed combined financial statements.</w:t>
      </w:r>
    </w:p>
    <w:p>
      <w:pPr>
        <w:spacing w:after="0" w:line="16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323</w:t>
      </w:r>
    </w:p>
    <w:p>
      <w:pPr>
        <w:sectPr>
          <w:pgSz w:w="11900" w:h="16838" w:orient="portrait"/>
          <w:cols w:equalWidth="0" w:num="1">
            <w:col w:w="11140"/>
          </w:cols>
          <w:pgMar w:left="320" w:top="455" w:right="4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Obsidian</w:t>
            </w:r>
          </w:p>
        </w:tc>
        <w:tc>
          <w:tcPr>
            <w:tcW w:w="100" w:type="dxa"/>
            <w:vAlign w:val="bottom"/>
          </w:tcPr>
          <w:p>
            <w:pPr>
              <w:spacing w:after="0"/>
              <w:rPr>
                <w:sz w:val="13"/>
                <w:szCs w:val="13"/>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Galera</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42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12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5"/>
              </w:rPr>
              <w:t>Notes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Inc.</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15,732</w:t>
            </w: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15,747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4,548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6,188</w:t>
            </w:r>
          </w:p>
        </w:tc>
        <w:tc>
          <w:tcPr>
            <w:tcW w:w="0" w:type="dxa"/>
            <w:vAlign w:val="bottom"/>
          </w:tcPr>
          <w:p>
            <w:pPr>
              <w:spacing w:after="0"/>
              <w:rPr>
                <w:sz w:val="1"/>
                <w:szCs w:val="1"/>
                <w:color w:val="auto"/>
              </w:rPr>
            </w:pPr>
          </w:p>
        </w:tc>
      </w:tr>
      <w:tr>
        <w:trPr>
          <w:trHeight w:val="230"/>
        </w:trPr>
        <w:tc>
          <w:tcPr>
            <w:tcW w:w="4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(20,280)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(21,935)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(19,633)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(21,239)</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BB</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(19,633)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(880)</w:t>
            </w:r>
          </w:p>
        </w:tc>
        <w:tc>
          <w:tcPr>
            <w:tcW w:w="600" w:type="dxa"/>
            <w:vAlign w:val="bottom"/>
            <w:gridSpan w:val="2"/>
            <w:vMerge w:val="continue"/>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(21,239)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CC</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8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98"/>
              </w:rPr>
              <w:t>17,672,957</w:t>
            </w: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8"/>
              </w:rPr>
              <w:t>98,503,430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w w:val="98"/>
              </w:rPr>
              <w:t>(55,204,554)</w:t>
            </w:r>
          </w:p>
        </w:tc>
        <w:tc>
          <w:tcPr>
            <w:tcW w:w="6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60,971,833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attributable to Series B redeemable convertible</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DD</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stockholders, basic and diluted</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(880)</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880</w:t>
            </w:r>
          </w:p>
        </w:tc>
        <w:tc>
          <w:tcPr>
            <w:tcW w:w="600" w:type="dxa"/>
            <w:vAlign w:val="bottom"/>
            <w:gridSpan w:val="2"/>
            <w:vMerge w:val="continue"/>
            <w:shd w:val="clear" w:color="auto" w:fill="CCEEFF"/>
          </w:tcPr>
          <w:p>
            <w:pPr>
              <w:spacing w:after="0"/>
              <w:rPr>
                <w:sz w:val="20"/>
                <w:szCs w:val="20"/>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of Series B redeemable convertible</w:t>
            </w: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DD</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basic and diluted</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7.37</w:t>
            </w:r>
          </w:p>
        </w:tc>
        <w:tc>
          <w:tcPr>
            <w:tcW w:w="600" w:type="dxa"/>
            <w:vAlign w:val="bottom"/>
            <w:gridSpan w:val="2"/>
            <w:vMerge w:val="continue"/>
          </w:tcPr>
          <w:p>
            <w:pPr>
              <w:spacing w:after="0"/>
              <w:rPr>
                <w:sz w:val="20"/>
                <w:szCs w:val="20"/>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7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of Series B redeemable</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DD</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 outstanding, basic and diluted</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119,318</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(119,318)</w:t>
            </w:r>
          </w:p>
        </w:tc>
        <w:tc>
          <w:tcPr>
            <w:tcW w:w="600" w:type="dxa"/>
            <w:vAlign w:val="bottom"/>
            <w:gridSpan w:val="2"/>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324</w:t>
      </w:r>
    </w:p>
    <w:p>
      <w:pPr>
        <w:sectPr>
          <w:pgSz w:w="11900" w:h="16838" w:orient="portrait"/>
          <w:cols w:equalWidth="0" w:num="1">
            <w:col w:w="11140"/>
          </w:cols>
          <w:pgMar w:left="320" w:top="455" w:right="4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Obsidian</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Galera</w:t>
            </w:r>
          </w:p>
        </w:tc>
        <w:tc>
          <w:tcPr>
            <w:tcW w:w="100" w:type="dxa"/>
            <w:vAlign w:val="bottom"/>
          </w:tcPr>
          <w:p>
            <w:pPr>
              <w:spacing w:after="0"/>
              <w:rPr>
                <w:sz w:val="13"/>
                <w:szCs w:val="13"/>
                <w:color w:val="auto"/>
              </w:rPr>
            </w:pP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180" w:type="dxa"/>
            <w:vAlign w:val="bottom"/>
            <w:gridSpan w:val="3"/>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220" w:type="dxa"/>
            <w:vAlign w:val="bottom"/>
          </w:tcPr>
          <w:p>
            <w:pPr>
              <w:spacing w:after="0"/>
              <w:rPr>
                <w:sz w:val="12"/>
                <w:szCs w:val="12"/>
                <w:color w:val="auto"/>
              </w:rPr>
            </w:pPr>
          </w:p>
        </w:tc>
        <w:tc>
          <w:tcPr>
            <w:tcW w:w="13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Therapeutics,</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Inc.</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Inc.</w:t>
            </w:r>
          </w:p>
        </w:tc>
        <w:tc>
          <w:tcPr>
            <w:tcW w:w="100" w:type="dxa"/>
            <w:vAlign w:val="bottom"/>
          </w:tcPr>
          <w:p>
            <w:pPr>
              <w:spacing w:after="0"/>
              <w:rPr>
                <w:sz w:val="15"/>
                <w:szCs w:val="15"/>
                <w:color w:val="auto"/>
              </w:rPr>
            </w:pPr>
          </w:p>
        </w:tc>
        <w:tc>
          <w:tcPr>
            <w:tcW w:w="13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5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86,113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86,462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19,554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25,178</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dismutase mimetics assets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105,667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2,542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108,140</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00" w:type="dxa"/>
            <w:vAlign w:val="bottom"/>
          </w:tcPr>
          <w:p>
            <w:pPr>
              <w:spacing w:after="0"/>
              <w:rPr>
                <w:sz w:val="18"/>
                <w:szCs w:val="18"/>
                <w:color w:val="auto"/>
              </w:rPr>
            </w:pPr>
          </w:p>
        </w:tc>
        <w:tc>
          <w:tcPr>
            <w:tcW w:w="108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5,060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5,308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151,049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151,049</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5,060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151,591</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156,651</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(100,607</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income (loss) attributable to common stockholders, basic</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BB</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(100,607)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63,524</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76,948</w:t>
            </w:r>
          </w:p>
        </w:tc>
        <w:tc>
          <w:tcPr>
            <w:tcW w:w="580" w:type="dxa"/>
            <w:vAlign w:val="bottom"/>
            <w:gridSpan w:val="2"/>
            <w:vMerge w:val="continue"/>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39,865</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of common,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CC</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w w:val="96"/>
              </w:rPr>
              <w:t>13,935,769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98,503,430</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(51,007,003)</w:t>
            </w:r>
          </w:p>
        </w:tc>
        <w:tc>
          <w:tcPr>
            <w:tcW w:w="58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61,432,196</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attributable to Series B redeemable convertible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stockholders, basic and diluted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76,948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(76,948)</w:t>
            </w:r>
          </w:p>
        </w:tc>
        <w:tc>
          <w:tcPr>
            <w:tcW w:w="580" w:type="dxa"/>
            <w:vAlign w:val="bottom"/>
            <w:gridSpan w:val="2"/>
            <w:vMerge w:val="continue"/>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income per share of Series B redeemable convertible</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basic and diluted</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644.89</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(644.89)</w:t>
            </w:r>
          </w:p>
        </w:tc>
        <w:tc>
          <w:tcPr>
            <w:tcW w:w="580" w:type="dxa"/>
            <w:vAlign w:val="bottom"/>
            <w:gridSpan w:val="2"/>
            <w:vMerge w:val="continue"/>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Series B redeemable convertible</w:t>
            </w: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DD</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outstanding, basic and diluted</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119,318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(119,318)</w:t>
            </w:r>
          </w:p>
        </w:tc>
        <w:tc>
          <w:tcPr>
            <w:tcW w:w="58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325</w:t>
      </w:r>
    </w:p>
    <w:p>
      <w:pPr>
        <w:sectPr>
          <w:pgSz w:w="11900" w:h="16838" w:orient="portrait"/>
          <w:cols w:equalWidth="0" w:num="1">
            <w:col w:w="11140"/>
          </w:cols>
          <w:pgMar w:left="320" w:top="455" w:right="4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760" w:firstLine="1755"/>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NOTES TO UNAUDITED PRO FORMA CONDENSED COMBINED FINANCIAL STATEMENTS </w:t>
      </w:r>
      <w:r>
        <w:rPr>
          <w:rFonts w:ascii="Times New Roman" w:cs="Times New Roman" w:eastAsia="Times New Roman" w:hAnsi="Times New Roman"/>
          <w:sz w:val="18"/>
          <w:szCs w:val="18"/>
          <w:b w:val="1"/>
          <w:bCs w:val="1"/>
          <w:color w:val="auto"/>
        </w:rPr>
        <w:t>Note 1—Description of the Transactions</w:t>
      </w:r>
    </w:p>
    <w:p>
      <w:pPr>
        <w:spacing w:after="0" w:line="1"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On April 14, 2026, Galera, Obsidian, Merger Sub 1, Merger Sub 2, and Parent entered into the merger agreement, pursuant to which (i) Merger Sub 1 will merge with and into Obsidian and Obsidian will become a wholly-owned subsidiary of Parent and (ii) Merger Sub 2 will merge with and into Galera and Galera will become a wholly-owned subsidiary of Parent, with Parent acting as the parent company for the combined businesses of Obsidian and Galera. Obsidian and Galera have historical operating businesses, and Parent was incorporated to be the parent company, following the closing.</w:t>
      </w:r>
    </w:p>
    <w:p>
      <w:pPr>
        <w:spacing w:after="0" w:line="16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While Parent will be the legal acquirer, Obsidian will be deemed to be the accounting acquirer of Galera. The acquisition of Galera will be accounted for as an asset acquisition as it is anticipated that Galera will not meet the definition of business as Obsidian will only be acquiring inputs from Galera and no substantive processes or outputs at the time of acquisition. In addition, it is anticipated that the estimated fair value of any acquired rights from Galera to future regulatory or sales milestones payments, as discussed in more detail below, will be immaterial at the time of acquisition. The Galera assets acquired will be measured based on the estimated fair value of the consideration to be paid, inclusive of direct transactions costs. The Galera IPR&amp;D is expected to have no alternative future use to the continuing company and will be immediately expensed upon completion of the mergers.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Anticipated Galera Reverse Stock Split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Prior to the closing of the mergers and after the effectiveness of the registration statement of which this information statement/prospectus forms a part, Galera will effect the Galera Reverse Stock Split to be effective at such time and date, if at all, as determined by the Galera Board in its sole discretion. For presentation purposes only, the unaudited pro forma condensed combined financial statements assume a Galera Reverse Stock Split at a ratio of 1-for-200. The final Galera Reverse Stock Split ratio, when determined, may materially affect per share data, capitalization and pro forma ownership.</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a pro forma summary of the Parent common stock that would be outstanding, on a fully diluted basis, under each of the following Galera Reverse Stock Split scenarios. The following table is presented for illustrative purposes only and the resulting number of outstanding shares of Parent common stock may be different from that achieved by the final Galera Reverse Stock Split that is determined in connection with the closing of the mergers.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1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75-to-1</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100-to-1</w:t>
            </w:r>
          </w:p>
        </w:tc>
        <w:tc>
          <w:tcPr>
            <w:tcW w:w="4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200-to-1</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4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gridSpan w:val="2"/>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Galera stockholders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2,423,859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1,817,894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908,947</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Obsidian stockholders</w:t>
            </w: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98,566,704</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73,925,028</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36,962,514</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Investors in concurrent financing</w:t>
            </w:r>
          </w:p>
        </w:tc>
        <w:tc>
          <w:tcPr>
            <w:tcW w:w="11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77,777,779</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58,333,334</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29,166,667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shares of Parent common stock outstanding, fully diluted</w:t>
            </w:r>
          </w:p>
        </w:tc>
        <w:tc>
          <w:tcPr>
            <w:tcW w:w="9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178,768,342</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134,076,256</w:t>
            </w:r>
          </w:p>
        </w:tc>
        <w:tc>
          <w:tcPr>
            <w:tcW w:w="160" w:type="dxa"/>
            <w:vAlign w:val="bottom"/>
            <w:vMerge w:val="continue"/>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67,038,128</w:t>
            </w:r>
          </w:p>
        </w:tc>
        <w:tc>
          <w:tcPr>
            <w:tcW w:w="180" w:type="dxa"/>
            <w:vAlign w:val="bottom"/>
            <w:vMerge w:val="continue"/>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Anticipated Concurrent Financing</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Concurrent with the execution and delivery of the merger agreement, Galera and certain investors executed the subscription agreement, pursuant to which such investors agreed to purchase shares of Galera Series C preferred stock immediately prior to the closing, for aggregate gross cash proceeds of $350.0 million (less any proceeds received by Obsidian in connection with a Permitted Obsidian Bridge Financing) before commissions and estimated expenses.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326</w:t>
      </w:r>
    </w:p>
    <w:p>
      <w:pPr>
        <w:sectPr>
          <w:pgSz w:w="11900" w:h="16838" w:orient="portrait"/>
          <w:cols w:equalWidth="0" w:num="1">
            <w:col w:w="11140"/>
          </w:cols>
          <w:pgMar w:left="320" w:top="455" w:right="4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employment agreements for Galera employees include entitlement to change in control payments for certain executives and severance for certain non-executives, which is expected to be treated as pre-merger compensation expense of Galera and reflected as a reduction in cash of Galera. To the extent such severance costs and any other termination costs are not settled in cash by Galera prior to closing, they will be assumed by the combined company at closing and adjusted through Galera’s valuation.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CVRs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Prior to the Galera merger effective time, Parent and Obsidian will enter into the CVR agreement with the Rights Agent, pursuant to which Galera stockholders of record as of the close of business on the last business day prior to the Galera merger effective time (but, for clarity, after the conversion of all Galera Series B preferred stock into Galera common stock and before the issuance of any Galera Series C preferred stock) will receive CVRs representing the right to receive contingent cash payments upon the occurrence of certain events. There are two types of CVRs: (i) one CVR with respect to the Legacy Product Agreement and (ii) one CVR with respect to the Supportive-Care Product Agreement, for each such share of Galera common stock. The CVRs with respect to the Legacy Product Agreement relate to tilarginine, Galera’s legacy product candidate, and entitle holders to receive a pro rata portion of 80% of the net proceeds received by Parent or its affiliates under any Legacy Product Agreement during the applicable CVR period, with such period expiring on the fifth anniversary of the closing. The CVRs with respect to the Supportive-Care Product Agreement relate to GC4419, GC4711 and related compounds, and entitle holders to receive a pro rata portion of 95% of the CVR Proceeds received by Parent or its affiliates under the Supportive-Care Agreement during the applicable CVR period, with such period expiring on the tenth anniversary of the closing. In each case, each holder will be entitled to receive its pro rata portion of the applicable percentage of CVR Proceeds, calculated by multiplying such percentage by a fraction equal to the total number of CVRs of the applicable type held by such holder divided by the total number of CVRs of the applicable type held by all holders, less applicable tax withholding.</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Obsidian concluded that the CVRs represent contingent consideration in connection with an asset acquisition. Due to the contingent nature and uncertainties associated with future payments to holders of the CVRs, Obsidian anticipates it will account for CVRs when such future payments become probable and are payable to the CVR holders. The unaudited pro forma condensed combined financial statements assume CVR payments are not probable and not payable upon completion of the mergers to which no pro forma adjustments have been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Extinguishment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October 2025 Galera entered into an asset purchase agreement with Biossil pursuant to which Galera sold its dismutase mimetics assets and assigned its royalty purchase agreement with Blackstone Life Sciences (“Blackstone”) to Biossil. In connection with this transaction, Biossil assumed all rights and obligations under the royalty purchase agreement, and Blackstone executed a notice of assignment releasing Galera from further obligations. As a result, Galera extinguished the royalty purchase liability of approximately $151.0 million and recorded a gain on extinguishment of debt during the year ended December 31, 2025. The unaudited pro forma condensed combined financial statements do not include any adjustments to reflect this non-recurring gain which is not anticipated to provide a benefit to the continuing company.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2—Basis of Pro Forma Presentation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Article 11 of Regulation S-X depicts the proposed Galera Reverse Stock Split and accounting for the mergers and concurrent financing. The unaudited pro forma condensed combined balance sheet as of March 31, 2026 assumes that the Galera Reverse Stock Split, mergers and concurrent financing had been approved or consummated 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327</w:t>
      </w:r>
    </w:p>
    <w:p>
      <w:pPr>
        <w:sectPr>
          <w:pgSz w:w="11900" w:h="16838" w:orient="portrait"/>
          <w:cols w:equalWidth="0" w:num="1">
            <w:col w:w="11120"/>
          </w:cols>
          <w:pgMar w:left="320" w:top="455" w:right="45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March 31, 2026. The unaudited pro forma condensed combined statement of operations for the three months ended March 31, 2026 and the year ended December 31, 2025 assumes that the Galera Reverse Stock Split, the mergers and concurrent financing took place as of January 1, 2025, and combines the historical results of Galera and Obsidian for the three months ended March 31, 2026 and the year ended December 31, 2025, respectively.</w:t>
      </w:r>
    </w:p>
    <w:p>
      <w:pPr>
        <w:spacing w:after="0" w:line="158"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based on the assumptions and adjustments that are described in the accompanying notes. The pro forma adjustments are subject to further revision as additional information becomes available and additional analyses are performed, including but not limited to changes in Galera’s assets and liabilities, additional financing, additional direct and incremental offering costs and the final determination of the Galera Reverse Stock Split. Adjustments have been made solely for the purpose of providing unaudited pro forma condensed combined financial information. There will be differences between the pro forma adjustments and the final accounting expected to be completed after the closing, and such differences could be material.</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acquisition of Galera will be accounted for as an asset acquisition as it is anticipated that Galera will not meet the definition of business as Obsidian will only be acquiring inputs from Galera and no substantive processes or outputs at the time of acquisition. The Galera assets acquired will be measured based on the estimated fair value of the consideration to be paid, inclusive of direct transactions costs. The Galera IPR&amp;D is expected to have no alternative future use to the continuing company and will be immediately expensed upon completion of the mergers.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Obsidian is considered to be the accounting acquirer in the mergers primarily based on the following considerations:</w:t>
      </w:r>
    </w:p>
    <w:p>
      <w:pPr>
        <w:spacing w:after="0" w:line="131" w:lineRule="exact"/>
        <w:rPr>
          <w:sz w:val="20"/>
          <w:szCs w:val="20"/>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stockholders will own a majority of the voting rights of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will designate all initial members of the board of directors of the combined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Obsidian’s executive management team will become the executive management team of the combined company.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Parent will be renamed Obsidian Therapeutics, Inc. and its headquarters will be Obsidian’s current headquarters, in Cambridge, Massachusetts.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the transaction is an asset acquisition, Obsidian’s assets and liabilities will be carried into the books of Parent at their pre-combination carrying amounts. Obsidian’s historical equity carrying values will become the equity of the combined company, with the number of shares outstanding and the common stock aggregate par value. For periods prior to the closing, the historical financial statements of Obsidian will become the historical financial statements of the combined company.</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assets and liabilities of Galera will be adjusted upon completion of the mergers to their fair values, which are expected to approximate their carrying values. No goodwill is recognized.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3—Estimated Consideration and Preliminary Purchase Price Allocation</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preliminary fair value of the consideration totaled approximately $13.8 million, inclusive of the estimated Obsidian transaction costs to be incurred after March 31, 2026 in connection with the asset acquisition, and is summarized as follows (in thousands):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common stock issued to Galera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Galera share-based equity awards allocated to consideration paid</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Galera warrants allocated to consideration paid</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Obsidian transaction costs</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13,811</w:t>
            </w: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283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Obsidian concluded that the CVRs represent contingent consideration in connection with an asset acquisition. Due to the contingent nature and uncertainties associated with future payments to holders of the CVRs, Obsidian anticipates it will account for CVRs when such future payments become probable and are payable to the CVR holders. The unaudited pro forma condensed combined financial statements assume CVR payments are not probable and not payable upon completion of the mergers to which no pro forma adjustments have been presented.</w:t>
      </w:r>
    </w:p>
    <w:p>
      <w:pPr>
        <w:spacing w:after="0" w:line="180" w:lineRule="exact"/>
        <w:rPr>
          <w:sz w:val="20"/>
          <w:szCs w:val="20"/>
          <w:color w:val="auto"/>
        </w:rPr>
      </w:pPr>
    </w:p>
    <w:p>
      <w:pPr>
        <w:jc w:val="both"/>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For pro forma purposes, the preliminary fair value of the consideration transferred was calculated based on the estimated stock price of Parent common stock of $12.00 per share. The value of the consideration transferred will change based on fluctuations in the share price of Parent common stock, the number of common shares of Galera’s outstanding on the closing date of the mergers and the number of Galera’s warrants and share-based payment arrangements outstanding and related vesting terms on the closing date of the mergers.</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Allocation of the preliminary consideration transferred to the net assets acquired and based upon the net assets of Galera as of March 31, 2026, was as follows (in thousands):</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664</w:t>
            </w:r>
          </w:p>
        </w:tc>
      </w:tr>
      <w:tr>
        <w:trPr>
          <w:trHeight w:val="230"/>
        </w:trPr>
        <w:tc>
          <w:tcPr>
            <w:tcW w:w="20" w:type="dxa"/>
            <w:vAlign w:val="bottom"/>
          </w:tcPr>
          <w:p>
            <w:pPr>
              <w:spacing w:after="0"/>
              <w:rPr>
                <w:sz w:val="20"/>
                <w:szCs w:val="20"/>
                <w:color w:val="auto"/>
              </w:rPr>
            </w:pPr>
          </w:p>
        </w:tc>
        <w:tc>
          <w:tcPr>
            <w:tcW w:w="6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442</w:t>
            </w:r>
          </w:p>
        </w:tc>
      </w:tr>
      <w:tr>
        <w:trPr>
          <w:trHeight w:val="230"/>
        </w:trPr>
        <w:tc>
          <w:tcPr>
            <w:tcW w:w="20" w:type="dxa"/>
            <w:vAlign w:val="bottom"/>
          </w:tcPr>
          <w:p>
            <w:pPr>
              <w:spacing w:after="0"/>
              <w:rPr>
                <w:sz w:val="20"/>
                <w:szCs w:val="20"/>
                <w:color w:val="auto"/>
              </w:rPr>
            </w:pPr>
          </w:p>
        </w:tc>
        <w:tc>
          <w:tcPr>
            <w:tcW w:w="67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5,023</w:t>
            </w: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13,811</w:t>
            </w: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above allocation of the purchase price is based upon certain preliminary valuations and other analyses that have not been completed as of the date of this filing. Any changes in the estimated fair values of the net assets recorded for this asset acquisition upon the finalization of more detailed analyses of the facts and circumstances that existed at the date of the mergers will change the allocation of the purchase price. As such, the purchase price allocations for the acquisition are preliminary estimates, which are subject to change until the mergers are completed. In addition, it is anticipated that the estimated fair value of any acquired rights from Galera to future regulatory or sales milestones payments will be immaterial at the time of acquisition due to the significant uncertainty in achieving the regulatory milestones and the subsequent commercial success required to achieve the commercial milestones.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4—Pro Forma Adjustments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mergers based on preliminary estimates that could change materially as additional information is obtained. Adjustments to the historical consolidated financial statements of Galera to conform to the accounting policies of Obsidian are not expected to be significant.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Adjustments to Unaudited Pro Forma Condensed Combined Balance Sheet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March 31, 2026, were as follows:</w:t>
      </w:r>
    </w:p>
    <w:p>
      <w:pPr>
        <w:spacing w:after="0" w:line="131" w:lineRule="exact"/>
        <w:rPr>
          <w:sz w:val="20"/>
          <w:szCs w:val="20"/>
          <w:color w:val="auto"/>
        </w:rPr>
      </w:pPr>
    </w:p>
    <w:p>
      <w:pPr>
        <w:ind w:left="5480" w:right="2680" w:hanging="4932"/>
        <w:spacing w:after="0" w:line="454" w:lineRule="auto"/>
        <w:tabs>
          <w:tab w:leader="none" w:pos="107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net proceeds from concurrent financing less transaction costs paid at the time of closing 329</w:t>
      </w:r>
    </w:p>
    <w:p>
      <w:pPr>
        <w:sectPr>
          <w:pgSz w:w="11900" w:h="16838" w:orient="portrait"/>
          <w:cols w:equalWidth="0" w:num="1">
            <w:col w:w="11080"/>
          </w:cols>
          <w:pgMar w:left="320" w:top="455" w:right="49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Galera severance payments at the time of closing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transaction costs for Obsidian and Galera of $4.9 million and $3.2 million, respectively, at the time of closing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reclassification of Obsidian deferred costs to additional paid-in capital at the time of closing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transaction costs within accounts payable at March 31, 2026 for Galera of $0.3 million at the time of closing</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transaction costs within accrued expenses at March 31, 2026 for Obsidian of $2.1 million at the time of closing</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reclassification of Obsidian’s liability classified warrants to equity classified warrants for Parent common stock at the time of closing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conversion of Obsidian’s preferred stock into shares of Parent common stock at the time of closing</w:t>
      </w:r>
    </w:p>
    <w:p>
      <w:pPr>
        <w:spacing w:after="0" w:line="130" w:lineRule="exact"/>
        <w:rPr>
          <w:rFonts w:ascii="Times New Roman" w:cs="Times New Roman" w:eastAsia="Times New Roman" w:hAnsi="Times New Roman"/>
          <w:sz w:val="18"/>
          <w:szCs w:val="18"/>
          <w:color w:val="auto"/>
        </w:rPr>
      </w:pPr>
    </w:p>
    <w:p>
      <w:pPr>
        <w:ind w:left="1080" w:right="280" w:hanging="532"/>
        <w:spacing w:after="0" w:line="282" w:lineRule="auto"/>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 the elimination of Galera’s historical equity balances at March 31, 2026 and (ii) an increase to additional paid-in capital of $5.0 million to reflect the net assets acquired from Galera at the time of closing</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adjustment of Obsidian’s par value to Parent’s stated par value at time of closing</w:t>
      </w:r>
    </w:p>
    <w:p>
      <w:pPr>
        <w:spacing w:after="0" w:line="130" w:lineRule="exact"/>
        <w:rPr>
          <w:rFonts w:ascii="Times New Roman" w:cs="Times New Roman" w:eastAsia="Times New Roman" w:hAnsi="Times New Roman"/>
          <w:sz w:val="18"/>
          <w:szCs w:val="18"/>
          <w:color w:val="auto"/>
        </w:rPr>
      </w:pPr>
    </w:p>
    <w:p>
      <w:pPr>
        <w:ind w:left="1080" w:right="800" w:hanging="532"/>
        <w:spacing w:after="0" w:line="312" w:lineRule="auto"/>
        <w:tabs>
          <w:tab w:leader="none" w:pos="1080" w:val="left"/>
        </w:tabs>
        <w:numPr>
          <w:ilvl w:val="0"/>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the equity issued by Parent to Galera stockholders in connection with the mergers, inclusive of the immediate expense recognition of the acquired Galera IPR&amp;D asset that is anticipated to have no alternative future use at the time of closing</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 Forma Adjustments to Unaudited Pro Forma Condensed Combined Statement of Operations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adjustments included in the unaudited pro forma condensed combined statement for the three months ended March 31, 2026 and the year ended December 31, 2025, were as follows:</w:t>
      </w:r>
    </w:p>
    <w:p>
      <w:pPr>
        <w:spacing w:after="0" w:line="67" w:lineRule="exact"/>
        <w:rPr>
          <w:sz w:val="20"/>
          <w:szCs w:val="20"/>
          <w:color w:val="auto"/>
        </w:rPr>
      </w:pPr>
    </w:p>
    <w:p>
      <w:pPr>
        <w:ind w:left="660" w:right="120" w:hanging="544"/>
        <w:spacing w:after="0" w:line="282"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elimination of the non-recurring Obsidian transaction costs incurred during the year ended December 31, 2025 in connection with the mergers at the time of Closing</w:t>
      </w:r>
    </w:p>
    <w:p>
      <w:pPr>
        <w:spacing w:after="0" w:line="67" w:lineRule="exact"/>
        <w:rPr>
          <w:rFonts w:ascii="Times New Roman" w:cs="Times New Roman" w:eastAsia="Times New Roman" w:hAnsi="Times New Roman"/>
          <w:sz w:val="18"/>
          <w:szCs w:val="18"/>
          <w:color w:val="auto"/>
        </w:rPr>
      </w:pPr>
    </w:p>
    <w:p>
      <w:pPr>
        <w:ind w:left="660" w:right="180" w:hanging="544"/>
        <w:spacing w:after="0" w:line="282"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allocation of net income attributable to Galera Series B redeemable convertible preferred stock upon conversion into common stock at the time of Closing</w:t>
      </w:r>
    </w:p>
    <w:p>
      <w:pPr>
        <w:spacing w:after="0" w:line="67" w:lineRule="exact"/>
        <w:rPr>
          <w:rFonts w:ascii="Times New Roman" w:cs="Times New Roman" w:eastAsia="Times New Roman" w:hAnsi="Times New Roman"/>
          <w:sz w:val="18"/>
          <w:szCs w:val="18"/>
          <w:color w:val="auto"/>
        </w:rPr>
      </w:pPr>
    </w:p>
    <w:p>
      <w:pPr>
        <w:ind w:left="660" w:hanging="544"/>
        <w:spacing w:after="0" w:line="258" w:lineRule="auto"/>
        <w:tabs>
          <w:tab w:leader="none" w:pos="66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and diluted net loss per common share have been adjusted to reflect the pro forma net loss for the three months ended March 31, 2026 and the year ended December 31, 2025. In addition, the number of shares used to calculate the pro forma basic and diluted net loss per common share has been adjusted to reflect the estimated total number of shares of Parent common stock that would be outstanding as of the date of the closing, as if they have been outstanding for the entirety of the period presented. For the three months ended March 31, 2026 and the year ended December 31, 2025, the pro forma weighted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330</w:t>
      </w:r>
    </w:p>
    <w:p>
      <w:pPr>
        <w:sectPr>
          <w:pgSz w:w="11900" w:h="16838" w:orient="portrait"/>
          <w:cols w:equalWidth="0" w:num="1">
            <w:col w:w="11120"/>
          </w:cols>
          <w:pgMar w:left="320" w:top="455" w:right="4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average common shares outstanding and pro forma net loss per common share, basic and diluted, were based on the following adjustments: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166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2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660" w:type="dxa"/>
            <w:vAlign w:val="bottom"/>
            <w:gridSpan w:val="3"/>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20" w:type="dxa"/>
            <w:vAlign w:val="bottom"/>
          </w:tcPr>
          <w:p>
            <w:pPr>
              <w:spacing w:after="0"/>
              <w:rPr>
                <w:sz w:val="15"/>
                <w:szCs w:val="15"/>
                <w:color w:val="auto"/>
              </w:rPr>
            </w:pPr>
          </w:p>
        </w:tc>
        <w:tc>
          <w:tcPr>
            <w:tcW w:w="166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78"/>
        </w:trPr>
        <w:tc>
          <w:tcPr>
            <w:tcW w:w="54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Elimination of Galera historical weighted average shares</w:t>
            </w: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166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(98,503,430)</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(98,503,430)</w:t>
            </w:r>
          </w:p>
        </w:tc>
        <w:tc>
          <w:tcPr>
            <w:tcW w:w="0" w:type="dxa"/>
            <w:vAlign w:val="bottom"/>
          </w:tcPr>
          <w:p>
            <w:pPr>
              <w:spacing w:after="0"/>
              <w:rPr>
                <w:sz w:val="1"/>
                <w:szCs w:val="1"/>
                <w:color w:val="auto"/>
              </w:rPr>
            </w:pPr>
          </w:p>
        </w:tc>
      </w:tr>
      <w:tr>
        <w:trPr>
          <w:trHeight w:val="198"/>
        </w:trPr>
        <w:tc>
          <w:tcPr>
            <w:tcW w:w="5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Adjustment to Obsidian weighted average shares outstanding for</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Obsidian exchange ratio</w:t>
            </w:r>
          </w:p>
        </w:tc>
        <w:tc>
          <w:tcPr>
            <w:tcW w:w="16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(15,242,926)</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(12,019,602)</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to Galera securityholders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781,642</w:t>
            </w:r>
          </w:p>
        </w:tc>
        <w:tc>
          <w:tcPr>
            <w:tcW w:w="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781,642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Obsidian preferred stock into Parent common stock</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28,593,493</w:t>
            </w:r>
          </w:p>
        </w:tc>
        <w:tc>
          <w:tcPr>
            <w:tcW w:w="6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29,567,720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in connection with concurrent financing</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29,166,667</w:t>
            </w:r>
          </w:p>
        </w:tc>
        <w:tc>
          <w:tcPr>
            <w:tcW w:w="6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29,166,667</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Pro forma adjustment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(55,204,554</w:t>
            </w:r>
          </w:p>
        </w:tc>
        <w:tc>
          <w:tcPr>
            <w:tcW w:w="70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(51,007,003)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right="120"/>
        <w:spacing w:after="0" w:line="258" w:lineRule="auto"/>
        <w:rPr>
          <w:sz w:val="20"/>
          <w:szCs w:val="20"/>
          <w:color w:val="auto"/>
        </w:rPr>
      </w:pPr>
      <w:r>
        <w:rPr>
          <w:rFonts w:ascii="Times New Roman" w:cs="Times New Roman" w:eastAsia="Times New Roman" w:hAnsi="Times New Roman"/>
          <w:sz w:val="18"/>
          <w:szCs w:val="18"/>
          <w:color w:val="auto"/>
        </w:rPr>
        <w:t>Pro forma basic and diluted net loss per common share assumes a 1-to-200 Galera Reverse Stock Split. The final ratio, when determined, may materially affect per share data, capitalization and pro forma ownership. The following table provides a pro forma net loss per share summary under each of the following Galera Reverse Stock Split scenarios. The following table is presented for illustrative purposes only and the resulting number of outstanding shares of Parent common stock may be different from that achieved by the final Galera Reverse Stock Split that is determined in connection with the closing of the mergers.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gridSpan w:val="9"/>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gridSpan w:val="9"/>
          </w:tcPr>
          <w:p>
            <w:pPr>
              <w:ind w:left="60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r>
      <w:tr>
        <w:trPr>
          <w:trHeight w:val="142"/>
        </w:trPr>
        <w:tc>
          <w:tcPr>
            <w:tcW w:w="3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75-to-1</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100-to-1</w:t>
            </w: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200-to-1</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75-to-1</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100-to-1</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200-to-1</w:t>
            </w:r>
          </w:p>
        </w:tc>
        <w:tc>
          <w:tcPr>
            <w:tcW w:w="40" w:type="dxa"/>
            <w:vAlign w:val="bottom"/>
          </w:tcPr>
          <w:p>
            <w:pPr>
              <w:spacing w:after="0"/>
              <w:rPr>
                <w:sz w:val="12"/>
                <w:szCs w:val="12"/>
                <w:color w:val="auto"/>
              </w:rPr>
            </w:pPr>
          </w:p>
        </w:tc>
      </w:tr>
      <w:tr>
        <w:trPr>
          <w:trHeight w:val="196"/>
        </w:trPr>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pro forma</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(21,239)</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(21,239)</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(21,239)</w:t>
            </w:r>
          </w:p>
        </w:tc>
        <w:tc>
          <w:tcPr>
            <w:tcW w:w="4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39,865</w:t>
            </w: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39,865</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39,865</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Obsidian weighted average shares outstanding</w:t>
            </w: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6,480,083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4,860,062</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2,430,031</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5,109,779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3,832,334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1,916,167</w:t>
            </w:r>
          </w:p>
        </w:tc>
        <w:tc>
          <w:tcPr>
            <w:tcW w:w="40" w:type="dxa"/>
            <w:vAlign w:val="bottom"/>
          </w:tcPr>
          <w:p>
            <w:pPr>
              <w:spacing w:after="0"/>
              <w:rPr>
                <w:sz w:val="17"/>
                <w:szCs w:val="17"/>
                <w:color w:val="auto"/>
              </w:rPr>
            </w:pPr>
          </w:p>
        </w:tc>
      </w:tr>
      <w:tr>
        <w:trPr>
          <w:trHeight w:val="18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issued to Galera common</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stockholders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2,084,379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1,563,284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rPr>
              <w:t>781,642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2,084,379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1,563,284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781,642</w:t>
            </w:r>
          </w:p>
        </w:tc>
        <w:tc>
          <w:tcPr>
            <w:tcW w:w="40" w:type="dxa"/>
            <w:vAlign w:val="bottom"/>
            <w:shd w:val="clear" w:color="auto" w:fill="CCEEFF"/>
          </w:tcPr>
          <w:p>
            <w:pPr>
              <w:spacing w:after="0"/>
              <w:rPr>
                <w:sz w:val="18"/>
                <w:szCs w:val="18"/>
                <w:color w:val="auto"/>
              </w:rPr>
            </w:pPr>
          </w:p>
        </w:tc>
      </w:tr>
      <w:tr>
        <w:trPr>
          <w:trHeight w:val="189"/>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Conversion of Obsidian convertible preferred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into common stock</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76,249,315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57,186,986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w w:val="99"/>
              </w:rPr>
              <w:t>28,593,493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78,847,253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59,135,440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29,567,720</w:t>
            </w:r>
          </w:p>
        </w:tc>
        <w:tc>
          <w:tcPr>
            <w:tcW w:w="40" w:type="dxa"/>
            <w:vAlign w:val="bottom"/>
          </w:tcPr>
          <w:p>
            <w:pPr>
              <w:spacing w:after="0"/>
              <w:rPr>
                <w:sz w:val="18"/>
                <w:szCs w:val="18"/>
                <w:color w:val="auto"/>
              </w:rPr>
            </w:pPr>
          </w:p>
        </w:tc>
      </w:tr>
      <w:tr>
        <w:trPr>
          <w:trHeight w:val="192"/>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issued in connection with PIPE</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3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transaction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77,777,779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58,333,334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6"/>
                <w:szCs w:val="16"/>
                <w:color w:val="auto"/>
                <w:w w:val="99"/>
              </w:rPr>
              <w:t>29,166,667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77,777,779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58,333,334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29,166,667</w:t>
            </w:r>
          </w:p>
        </w:tc>
        <w:tc>
          <w:tcPr>
            <w:tcW w:w="40" w:type="dxa"/>
            <w:vAlign w:val="bottom"/>
            <w:shd w:val="clear" w:color="auto" w:fill="CCEEFF"/>
          </w:tcPr>
          <w:p>
            <w:pPr>
              <w:spacing w:after="0"/>
              <w:rPr>
                <w:sz w:val="18"/>
                <w:szCs w:val="18"/>
                <w:color w:val="auto"/>
              </w:rPr>
            </w:pPr>
          </w:p>
        </w:tc>
      </w:tr>
      <w:tr>
        <w:trPr>
          <w:trHeight w:val="19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outstanding, basic and</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35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 pro forma</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99"/>
              </w:rPr>
              <w:t>162,591,556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121,943,666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w w:val="99"/>
              </w:rPr>
              <w:t>60,971,833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163,819,190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7"/>
              </w:rPr>
              <w:t>122,864,392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61,432,196</w:t>
            </w:r>
          </w:p>
        </w:tc>
        <w:tc>
          <w:tcPr>
            <w:tcW w:w="40" w:type="dxa"/>
            <w:vAlign w:val="bottom"/>
          </w:tcPr>
          <w:p>
            <w:pPr>
              <w:spacing w:after="0"/>
              <w:rPr>
                <w:sz w:val="18"/>
                <w:szCs w:val="18"/>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(0.13)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(0.17)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(0.35)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0.32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40" w:type="dxa"/>
            <w:vAlign w:val="bottom"/>
            <w:shd w:val="clear" w:color="auto" w:fill="CCEEFF"/>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-1610995</wp:posOffset>
            </wp:positionV>
            <wp:extent cx="254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-1508125</wp:posOffset>
            </wp:positionV>
            <wp:extent cx="254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-462280</wp:posOffset>
            </wp:positionV>
            <wp:extent cx="254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-187960</wp:posOffset>
            </wp:positionV>
            <wp:extent cx="254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254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-24765</wp:posOffset>
            </wp:positionV>
            <wp:extent cx="2540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2540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18" w:lineRule="exact"/>
        <w:rPr>
          <w:sz w:val="20"/>
          <w:szCs w:val="20"/>
          <w:color w:val="auto"/>
        </w:rPr>
      </w:pPr>
    </w:p>
    <w:p>
      <w:pPr>
        <w:ind w:left="660" w:right="200" w:hanging="544"/>
        <w:spacing w:after="0" w:line="282" w:lineRule="auto"/>
        <w:tabs>
          <w:tab w:leader="none" w:pos="66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the historical net loss per share attributable to the Galera Series B redeemable convertible preferred stockholders upon conversion of all outstanding Galera Series B redeemable convertible preferred stock at the time of the closing.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331</w:t>
      </w:r>
    </w:p>
    <w:p>
      <w:pPr>
        <w:sectPr>
          <w:pgSz w:w="11900" w:h="16838" w:orient="portrait"/>
          <w:cols w:equalWidth="0" w:num="1">
            <w:col w:w="11140"/>
          </w:cols>
          <w:pgMar w:left="320" w:top="455" w:right="4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PARENT CAPITAL STOCK</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material terms of the common stock and preferred stock of Parent is not complete and is qualified in its entirety by reference to the Parent Charter and the Parent Bylaws, in each case that will be in effect as of the closing of the mergers. This description is subject to the detailed provisions of, and is qualified by reference to, the Parent Charter and Parent Bylaws attached as exhibits to the registration statement of which this information statement/prospectus forms a part and are incorporated herein by reference.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total number of shares of capital stock which Parent will have authority to issue is 510,000,000 shares. This authorized capital stock consists of 500,000,000 shares of common stock and 10,000,000 shares of preferred stock, each having a par value of $0.001 per share.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completion of the mergers, Parent expects that there will be 61,595,784 shares of Parent common stock outstanding.</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Parent Common Stock</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shares of Parent common stock to be issued in the mergers will be duly authorized, validly issued, fully paid and non-assessable. Each holder of a share of Parent common stock will be entitled to one vote for each share upon all questions presented to the holders of Parent common stock, and the common stock will have the exclusive right to vote for the election of directors and for all other purposes (subject to the express terms of the preferred stock). Parent stockholders will have no preemptive rights and no rights to convert their common stock into any other securities.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Parent stockholders will be entitled to receive dividends as may be declared from time to time by the Parent Board out of funds legally available therefor. Parent stockholders are entitled to share pro rata, upon any liquidation or dissolution of Parent, in all remaining assets available for distribution to stockholders after payment or providing for Parent’s liabilities and the liquidation preference of any outstanding Parent preferred stock. The rights, preferences and privileges of Parent stockholders are subject to and may be adversely affected by the rights of holders of any series of Parent preferred stock that Parent may designate and issue at the effective time and in the future.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consummation of the merger, application will be made to list the Parent common stock on Nasdaq under the symbol “OBX.”</w:t>
      </w:r>
    </w:p>
    <w:p>
      <w:pPr>
        <w:spacing w:after="0" w:line="3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Additional Classes or Series of Parent Preferred Stock</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Parent Charter will permit the Parent Board, without further action by the stockholders, to issue up to 10,000,000 shares of preferred stock in one or more series of preferred stock with such designations, powers, preferences, special rights, qualifications, limitations and restrictions as the Parent board may determine from time to time. Accordingly, without action by the stockholders, the Parent Board may designate and authorize the issuance of additional classes or series of Parent preferred stock having voting rights, dividend rights, conversion rights, redemption provisions and rights in liquidation, dissolution or winding up that are superior to those of Parent common stock.</w:t>
      </w:r>
    </w:p>
    <w:p>
      <w:pPr>
        <w:spacing w:after="0" w:line="2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Charter and Bylaw Provisions; Takeover Statutes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 number of provisions in the Parent Charter, the Parent Bylaws and the DGCL may make it more difficult to acquire control of Parent or remove its management. For additional detail on these provisions, please see “</w:t>
      </w:r>
      <w:r>
        <w:rPr>
          <w:rFonts w:ascii="Times New Roman" w:cs="Times New Roman" w:eastAsia="Times New Roman" w:hAnsi="Times New Roman"/>
          <w:sz w:val="18"/>
          <w:szCs w:val="18"/>
          <w:i w:val="1"/>
          <w:iCs w:val="1"/>
          <w:color w:val="auto"/>
        </w:rPr>
        <w:t>Comparison of Stockholders’ Rights</w:t>
      </w:r>
      <w:r>
        <w:rPr>
          <w:rFonts w:ascii="Times New Roman" w:cs="Times New Roman" w:eastAsia="Times New Roman" w:hAnsi="Times New Roman"/>
          <w:sz w:val="18"/>
          <w:szCs w:val="18"/>
          <w:color w:val="auto"/>
        </w:rPr>
        <w:t>” beginning on page 332 of this information statement/prospectus.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332</w:t>
      </w:r>
    </w:p>
    <w:p>
      <w:pPr>
        <w:sectPr>
          <w:pgSz w:w="11900" w:h="16838" w:orient="portrait"/>
          <w:cols w:equalWidth="0" w:num="1">
            <w:col w:w="11120"/>
          </w:cols>
          <w:pgMar w:left="320" w:top="455" w:right="45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Structure of Board</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Parent’s Charter and Parent’s Bylaws the Parent Board is divided into three classes with staggered, three-year terms. At each annual meeting of stockholders, the successors to directors whose terms then expire will be elected to serve from the time of election and qualification until the third annual meeting following election. The Parent Charter and the Parent Bylaws provide that the authorized number of directors may be changed only by resolution of the Parent Board. Any additional directorships resulting from an increase in the number of directors will be distributed among the three classes so that, as nearly as possible, each class will consist of one-third of the directors. The division of the Parent Board into three classes with staggered three-year terms may delay or prevent a change of Parent’s management or a change in control of Parent. Parent directors may be removed only for cause by the affirmative vote of the holders of at least a majority of the shares of stock entitled to vote in the election of the director or directors to be so removed.</w:t>
      </w:r>
    </w:p>
    <w:p>
      <w:pPr>
        <w:spacing w:after="0" w:line="29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DGCL and subject to the rights of the holders of any class or series of preferred stock, the entire Parent Board or any individual director may be removed only for cause by the affirmative vote of the holders of at least two-thirds of the votes that all of Parent’s stockholders would be entitled to cast in an annual election of directors, and that any vacancy on its board of directors, including a vacancy resulting from an enlargement of Parent’s board of directors, may be filled only by vote of a majority of Parent’s directors then in office.</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of Proposals and Nominations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Parent Bylaws establish advance notice procedures with regard to stockholder proposals relating to the nomination of candidates for election as directors or new business to be brought before meetings of Parent stockholders. These procedures provide that notice of stockholder proposals must be timely given in writing to Parent’s corporate secretary prior to the meeting at which the action is to be taken. Generally, to be timely, notice must be received at Parent’s principal executive offices not less than 90 days nor more than 120 days prior to the first anniversary date of the annual meeting for the preceding year. Parent’s Bylaws specify the requirements as to form and content of all stockholders’ notices. These requirements may preclude stockholders from bringing matters before the stockholders at an annual or special meeting.</w:t>
      </w:r>
    </w:p>
    <w:p>
      <w:pPr>
        <w:spacing w:after="0" w:line="185"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For additional detail on these provisions, please see “</w:t>
      </w:r>
      <w:r>
        <w:rPr>
          <w:rFonts w:ascii="Times New Roman" w:cs="Times New Roman" w:eastAsia="Times New Roman" w:hAnsi="Times New Roman"/>
          <w:sz w:val="18"/>
          <w:szCs w:val="18"/>
          <w:i w:val="1"/>
          <w:iCs w:val="1"/>
          <w:color w:val="auto"/>
        </w:rPr>
        <w:t>Comparison of Stockholders’ Rights—Parent —Advance Notice Requirements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Nominations and Other Provisions</w:t>
      </w:r>
      <w:r>
        <w:rPr>
          <w:rFonts w:ascii="Times New Roman" w:cs="Times New Roman" w:eastAsia="Times New Roman" w:hAnsi="Times New Roman"/>
          <w:sz w:val="18"/>
          <w:szCs w:val="18"/>
          <w:color w:val="auto"/>
        </w:rPr>
        <w:t>” beginning on page 341 of this information statement/prospectus. These provisions may prevent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from bringing matters before an annual meeting of stockholders or from nominating candidates for election as directors at an annual meeting of stockholders.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Limits on Special Meetings</w:t>
      </w:r>
    </w:p>
    <w:p>
      <w:pPr>
        <w:spacing w:after="0" w:line="121"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The Parent Charter and Parent Bylaws provide that only a majority of the members of Parent’s Board then in office may call special meetings of stockholders and only those matters set forth in the notice of the special meeting may be considered or acted upon at a special meeting of stockholders.</w:t>
      </w:r>
    </w:p>
    <w:p>
      <w:pPr>
        <w:spacing w:after="0" w:line="2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Amendment of the Parent Bylaws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Parent Bylaws may be amended by the affirmative vote of a majority of the directors then in office, subject to any limitations set forth therein;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the Parent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333</w:t>
      </w:r>
    </w:p>
    <w:p>
      <w:pPr>
        <w:sectPr>
          <w:pgSz w:w="11900" w:h="16838" w:orient="portrait"/>
          <w:cols w:equalWidth="0" w:num="1">
            <w:col w:w="11120"/>
          </w:cols>
          <w:pgMar w:left="320" w:top="455" w:right="45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recommends that the stockholders approve the amendment, by the affirmative vote of the majority of the outstanding shares entitled to vote on the amendment, in each case voting together as a single class.</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9"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color w:val="auto"/>
        </w:rPr>
        <w:t>Please see “—</w:t>
      </w:r>
      <w:r>
        <w:rPr>
          <w:rFonts w:ascii="Times New Roman" w:cs="Times New Roman" w:eastAsia="Times New Roman" w:hAnsi="Times New Roman"/>
          <w:sz w:val="18"/>
          <w:szCs w:val="18"/>
          <w:i w:val="1"/>
          <w:iCs w:val="1"/>
          <w:color w:val="auto"/>
        </w:rPr>
        <w:t>Additional Classes or Series of Preferred Stock</w:t>
      </w:r>
      <w:r>
        <w:rPr>
          <w:rFonts w:ascii="Times New Roman" w:cs="Times New Roman" w:eastAsia="Times New Roman" w:hAnsi="Times New Roman"/>
          <w:sz w:val="18"/>
          <w:szCs w:val="18"/>
          <w:color w:val="auto"/>
        </w:rPr>
        <w:t>” above. Parent’s ability to issue an indeterminate number of shares of the authorized shares of preferred stock with such rights, privileges and preferences as the Parent Board may fix may have the effect of delaying or preventing a takeover or other change of control of Parent.</w:t>
      </w:r>
    </w:p>
    <w:p>
      <w:pPr>
        <w:spacing w:after="0" w:line="2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Takeover Statutes</w:t>
      </w:r>
    </w:p>
    <w:p>
      <w:pPr>
        <w:spacing w:after="0" w:line="121" w:lineRule="exact"/>
        <w:rPr>
          <w:sz w:val="20"/>
          <w:szCs w:val="20"/>
          <w:color w:val="auto"/>
        </w:rPr>
      </w:pPr>
    </w:p>
    <w:p>
      <w:pPr>
        <w:ind w:left="120" w:right="100" w:firstLine="440"/>
        <w:spacing w:after="0" w:line="270" w:lineRule="auto"/>
        <w:rPr>
          <w:sz w:val="20"/>
          <w:szCs w:val="20"/>
          <w:color w:val="auto"/>
        </w:rPr>
      </w:pPr>
      <w:r>
        <w:rPr>
          <w:rFonts w:ascii="Times New Roman" w:cs="Times New Roman" w:eastAsia="Times New Roman" w:hAnsi="Times New Roman"/>
          <w:sz w:val="17"/>
          <w:szCs w:val="17"/>
          <w:color w:val="auto"/>
        </w:rPr>
        <w:t>Section 203 of the DGCL generally prohibits “business combinations,” including mergers, sales and leases of assets, issuances of securities and similar transactions by a corporation or a subsidiary with an interested stockholder who beneficially owns 15% or more of a corporation’s voting stock, within three (3) years after the person or entity becomes an interested stockholder, unless: (i) the board of directors of the target corporation has approved, before the acquisition time, either the business combination or the transaction that resulted in the person becoming an interested stockholder,</w:t>
      </w:r>
    </w:p>
    <w:p>
      <w:pPr>
        <w:spacing w:after="0" w:line="3" w:lineRule="exact"/>
        <w:rPr>
          <w:sz w:val="20"/>
          <w:szCs w:val="20"/>
          <w:color w:val="auto"/>
        </w:rPr>
      </w:pPr>
    </w:p>
    <w:p>
      <w:pPr>
        <w:ind w:left="120" w:right="20" w:hanging="4"/>
        <w:spacing w:after="0" w:line="233" w:lineRule="auto"/>
        <w:tabs>
          <w:tab w:leader="none" w:pos="3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person becoming an interested stockholder, the person owns at least 85% of the corporation’s voting stock (excluding shares owned by directors who are officers and shares owned by employee stock plans in which participants do not have the right to determine confidentially whether shares will be tendered in a tender or exchange offer) or (iii) after the person or entity becomes an interested stockholder, the business combination is approved by the board of directors and authorized at a meeting of stockholders by the affirmative vote of at least 66</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∕3% of the outstanding voting stock not owned by the interested stockholder. Parent does not expect to opt out of the protections of Section 203 of the DGCL. As a result, the statute will apply to Parent.</w:t>
      </w:r>
    </w:p>
    <w:p>
      <w:pPr>
        <w:spacing w:after="0" w:line="30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Parent Bylaws provide that the Court of Chancery of the State of Delaware is the sole and exclusive forum for the following claims or causes of action under the Delaware statutory or common law: (i) any derivative action or proceeding brought on Parent’s behalf, (ii) any action asserting a claim of, or a claim based on, a breach of a fiduciary duty owed by any of Parent’s current or former directors, officers, or other employees or stockholders to Parent or Parent’s stockholders, (iii) any action asserting a claim arising pursuant to any provision of the DGCL, or the Parent Charter or Parent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83"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the Parent Bylaws will provide that, unless Parent consents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334</w:t>
      </w:r>
    </w:p>
    <w:p>
      <w:pPr>
        <w:sectPr>
          <w:pgSz w:w="11900" w:h="16838" w:orient="portrait"/>
          <w:cols w:equalWidth="0" w:num="1">
            <w:col w:w="11100"/>
          </w:cols>
          <w:pgMar w:left="320" w:top="455" w:right="47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provisions, and there can be no assurance that such provisions will be enforced by a court in those other jurisdictions. Investors cannot waive compliance with the federal securities laws and the rules and regulations thereunder.</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Parent Bylaws provide that any person or entity holding, owning or otherwise acquiring any interest in any of Parent’s securities shall be deemed to have notice of and consented to these provisions.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335</w:t>
      </w:r>
    </w:p>
    <w:p>
      <w:pPr>
        <w:sectPr>
          <w:pgSz w:w="11900" w:h="16838" w:orient="portrait"/>
          <w:cols w:equalWidth="0" w:num="1">
            <w:col w:w="11040"/>
          </w:cols>
          <w:pgMar w:left="320" w:top="455" w:right="5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COMPARISON OF STOCKHOLDERS’ RIGHTS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transactions are completed, Galera stockholders will receive shares of Parent common stock in connection with the Galera merger and become stockholders of Parent. The following is a summary of certain differences between (i) the current rights of Galera stockholders under Delaware law, the Galera Charter and the Galera Bylaws, and (ii) the rights of Parent common stockholders under Delaware law, the Parent Charter and the Parent Bylaws.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is not a complete statement of the rights of stockholders of the two companies or a complete description of the specific provisions referred to below. This summary is qualified in its entirety by reference to the DGCL and Galera’s and Parent’s governing documents (which Parent and Galera urge you to read carefully and in their entirety). To find out where copies of these documents can be obtained,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356 of this information statement/prospectus.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identification of some of the differences in the rights of Parent and Galera stockholders is not intended to indicate that other differences that are equally important do not exist. Parent and Galera urge you to carefully read this entire information statement/prospectus, the relevant provisions of the DGCL and the other documents to which Parent and Galera refer in this information statement/prospectus for a more complete understanding of the differences between the rights of a Parent stockholder and the rights of a Galera stockholder.</w:t>
      </w:r>
    </w:p>
    <w:p>
      <w:pPr>
        <w:spacing w:after="0" w:line="18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Parent and Galera are each incorporated under the laws of the State of Delaware and, accordingly, the rights of Parent stockholders and Galera stockholders are both governed by the DGCL and other applicable Delaware law. Thus, following the Galera merger, the rights of Galera stockholders who become Parent common stockholders in connection with the Galera merger will continue to be governed by the DGCL and other applicable Delaware law.</w:t>
      </w:r>
    </w:p>
    <w:p>
      <w:pPr>
        <w:sectPr>
          <w:pgSz w:w="11900" w:h="16838" w:orient="portrait"/>
          <w:cols w:equalWidth="0" w:num="1">
            <w:col w:w="11120"/>
          </w:cols>
          <w:pgMar w:left="320" w:top="455" w:right="459" w:bottom="1440" w:gutter="0" w:footer="0" w:header="0"/>
        </w:sectPr>
      </w:pPr>
    </w:p>
    <w:p>
      <w:pPr>
        <w:spacing w:after="0" w:line="36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841"/>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13284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
        <w:spacing w:after="0" w:line="266" w:lineRule="auto"/>
        <w:rPr>
          <w:sz w:val="20"/>
          <w:szCs w:val="20"/>
          <w:color w:val="auto"/>
        </w:rPr>
      </w:pPr>
      <w:r>
        <w:rPr>
          <w:rFonts w:ascii="Times New Roman" w:cs="Times New Roman" w:eastAsia="Times New Roman" w:hAnsi="Times New Roman"/>
          <w:sz w:val="17"/>
          <w:szCs w:val="17"/>
          <w:color w:val="auto"/>
        </w:rPr>
        <w:t>The aggregate number of shares which Galera has the authority to issue is 410,000,000 shares consisting of (i) 400,000,000 shares of common stock, par value $0.001 per share, and</w:t>
      </w:r>
    </w:p>
    <w:p>
      <w:pPr>
        <w:spacing w:after="0" w:line="5" w:lineRule="exact"/>
        <w:rPr>
          <w:sz w:val="20"/>
          <w:szCs w:val="20"/>
          <w:color w:val="auto"/>
        </w:rPr>
      </w:pPr>
    </w:p>
    <w:p>
      <w:pPr>
        <w:ind w:left="1" w:right="240" w:hanging="1"/>
        <w:spacing w:after="0" w:line="255" w:lineRule="auto"/>
        <w:tabs>
          <w:tab w:leader="none" w:pos="26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$0.001 each.</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Parent’s authorized capital stock consists of 500,000,000 shares of common stock, par value $0.0001 per share, and 10,000,000 shares of preferred stock, par value $0.0001 per share, all of which shares of preferred stock are undesignated.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336</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Obsidian is authorized to issue two classes of capital stock, which are designated “common stock” and “preferred stock.” The total number of shares that Obsidian is authorized to issue is 489,380,447 shares, of which 274,320,131 shares are common stock, par value $0.0001 per share, and 215,060,316 shares are preferred stock, par value $0.0001 per share.</w:t>
      </w:r>
    </w:p>
    <w:p>
      <w:pPr>
        <w:spacing w:after="0" w:line="9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33,222,339 shares of the authorized Preferred Stock of the Corporation are designated “Series A-1 Preferred Stock,” 14,936,323 shares of the authorized Preferred Stock of the Corporation are designated</w:t>
      </w:r>
    </w:p>
    <w:p>
      <w:pPr>
        <w:sectPr>
          <w:pgSz w:w="11900" w:h="16838" w:orient="portrait"/>
          <w:cols w:equalWidth="0" w:num="4">
            <w:col w:w="1600" w:space="379"/>
            <w:col w:w="2081" w:space="220"/>
            <w:col w:w="3460" w:space="200"/>
            <w:col w:w="3180"/>
          </w:cols>
          <w:pgMar w:left="320" w:top="455" w:right="459" w:bottom="1440" w:gutter="0" w:footer="0" w:header="0"/>
          <w:type w:val="continuous"/>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b w:val="1"/>
          <w:bCs w:val="1"/>
          <w:color w:val="auto"/>
        </w:rPr>
        <w:t>Parent</w:t>
      </w:r>
      <w:r>
        <w:rPr>
          <w:sz w:val="20"/>
          <w:szCs w:val="20"/>
          <w:color w:val="auto"/>
        </w:rPr>
        <w:tab/>
      </w: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-634365</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16510</wp:posOffset>
            </wp:positionV>
            <wp:extent cx="434594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“Series A-2 Preferred Stock,” 6,146,592</w:t>
      </w:r>
    </w:p>
    <w:p>
      <w:pPr>
        <w:spacing w:after="0" w:line="1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shares of the authorized Preferred Stock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7"/>
          <w:szCs w:val="17"/>
          <w:color w:val="auto"/>
        </w:rPr>
        <w:t>the Corporation are designated “Series A-3</w:t>
      </w:r>
    </w:p>
    <w:p>
      <w:pPr>
        <w:spacing w:after="0" w:line="21"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Preferred Stock,” 76,187,917 shares of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authorized Preferred Stock of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Corporation are designated “Series B</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Preferred Stock,” and 84,567,145 shares of</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the authorized Preferred Stock of the</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Corporation are designated “Series C</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Preferred Stock.”</w:t>
      </w:r>
    </w:p>
    <w:p>
      <w:pPr>
        <w:spacing w:after="0" w:line="95" w:lineRule="exact"/>
        <w:rPr>
          <w:sz w:val="20"/>
          <w:szCs w:val="20"/>
          <w:color w:val="auto"/>
        </w:rPr>
      </w:pPr>
    </w:p>
    <w:p>
      <w:pPr>
        <w:sectPr>
          <w:pgSz w:w="11900" w:h="16838" w:orient="portrait"/>
          <w:cols w:equalWidth="0" w:num="2">
            <w:col w:w="5120" w:space="720"/>
            <w:col w:w="5280"/>
          </w:cols>
          <w:pgMar w:left="320" w:top="455" w:right="459" w:bottom="1440" w:gutter="0" w:footer="0" w:header="0"/>
        </w:sect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Rights of Common</w:t>
      </w:r>
      <w:r>
        <w:rPr>
          <w:sz w:val="20"/>
          <w:szCs w:val="20"/>
          <w:color w:val="auto"/>
        </w:rPr>
        <w:tab/>
      </w:r>
      <w:r>
        <w:rPr>
          <w:rFonts w:ascii="Times New Roman" w:cs="Times New Roman" w:eastAsia="Times New Roman" w:hAnsi="Times New Roman"/>
          <w:sz w:val="17"/>
          <w:szCs w:val="17"/>
          <w:color w:val="auto"/>
        </w:rPr>
        <w:t>Subject to the rights of the</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Stock</w:t>
      </w:r>
      <w:r>
        <w:rPr>
          <w:sz w:val="20"/>
          <w:szCs w:val="20"/>
          <w:color w:val="auto"/>
        </w:rPr>
        <w:tab/>
      </w:r>
      <w:r>
        <w:rPr>
          <w:rFonts w:ascii="Times New Roman" w:cs="Times New Roman" w:eastAsia="Times New Roman" w:hAnsi="Times New Roman"/>
          <w:sz w:val="18"/>
          <w:szCs w:val="18"/>
          <w:color w:val="auto"/>
        </w:rPr>
        <w:t>holders of Galera preferred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 and except 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otherwise required by law,</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holders of Galera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common stock are entitled to</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one vote for each share held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 all meetings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There is no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Rights of Preferred</w:t>
      </w:r>
      <w:r>
        <w:rPr>
          <w:sz w:val="20"/>
          <w:szCs w:val="20"/>
          <w:color w:val="auto"/>
        </w:rPr>
        <w:tab/>
      </w:r>
      <w:r>
        <w:rPr>
          <w:rFonts w:ascii="Times New Roman" w:cs="Times New Roman" w:eastAsia="Times New Roman" w:hAnsi="Times New Roman"/>
          <w:sz w:val="18"/>
          <w:szCs w:val="18"/>
          <w:color w:val="auto"/>
        </w:rPr>
        <w:t>The Galera Board is</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Stock</w:t>
      </w:r>
      <w:r>
        <w:rPr>
          <w:sz w:val="20"/>
          <w:szCs w:val="20"/>
          <w:color w:val="auto"/>
        </w:rPr>
        <w:tab/>
      </w:r>
      <w:r>
        <w:rPr>
          <w:rFonts w:ascii="Times New Roman" w:cs="Times New Roman" w:eastAsia="Times New Roman" w:hAnsi="Times New Roman"/>
          <w:sz w:val="18"/>
          <w:szCs w:val="18"/>
          <w:color w:val="auto"/>
        </w:rPr>
        <w:t>authorized to from time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time issue one or more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series of preferred stock in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series and to establish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terms of such series.</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Holders of Parent’s common stock are entitled to one vote for each share held on all matters submitted to a vote of the stockholders. The holders of Parent’s common stock do not have any cumulative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Parent’s board has the authority, without further action by its stockholders, to issue up to    shares of preferred stock in one or more series and to fix the rights, preferences, privileges and restrictions thereof.</w:t>
      </w:r>
    </w:p>
    <w:p>
      <w:pPr>
        <w:spacing w:after="0" w:line="200" w:lineRule="exact"/>
        <w:rPr>
          <w:sz w:val="20"/>
          <w:szCs w:val="20"/>
          <w:color w:val="auto"/>
        </w:rPr>
      </w:pPr>
    </w:p>
    <w:p>
      <w:pPr>
        <w:spacing w:after="0" w:line="34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337</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The holders of shares of Obsidian’s common stock are entitled to one vote for each share held with respect to all matters voted on by the stockholders of Obsidian. The holders of common stock are also entitled to receive dividends whenever funds are legally available and when declared by the board of directors, subject to the prior rights of holders of all classes of stock outstanding. In a Deemed Liquidation Event, after the payment in full of all preferential amounts required to be paid to the holder of shares of Preferred Stock, the holders of the then outstanding common stock are entitled to receive that portion of the remaining funds to be distributed to holders of common stock.</w:t>
      </w:r>
    </w:p>
    <w:p>
      <w:pPr>
        <w:spacing w:after="0" w:line="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Preferred Stockholders vote on an as-converted basis with holders of common stock on all general matters. Additionally, holders of Series A Preferred Stock, Series B Preferred Stock, and Series C Preferred Stock each have the exclusive right to elect one</w:t>
      </w:r>
    </w:p>
    <w:p>
      <w:pPr>
        <w:sectPr>
          <w:pgSz w:w="11900" w:h="16838" w:orient="portrait"/>
          <w:cols w:equalWidth="0" w:num="3">
            <w:col w:w="4060" w:space="220"/>
            <w:col w:w="3540" w:space="120"/>
            <w:col w:w="3180"/>
          </w:cols>
          <w:pgMar w:left="320" w:top="455" w:right="459" w:bottom="1440" w:gutter="0" w:footer="0" w:header="0"/>
          <w:type w:val="continuous"/>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2820"/>
        <w:spacing w:after="0"/>
        <w:tabs>
          <w:tab w:leader="none" w:pos="5820" w:val="left"/>
          <w:tab w:leader="none" w:pos="9240" w:val="left"/>
        </w:tabs>
        <w:rPr>
          <w:sz w:val="20"/>
          <w:szCs w:val="20"/>
          <w:color w:val="auto"/>
        </w:rPr>
      </w:pPr>
      <w:r>
        <w:rPr>
          <w:rFonts w:ascii="Times New Roman" w:cs="Times New Roman" w:eastAsia="Times New Roman" w:hAnsi="Times New Roman"/>
          <w:sz w:val="14"/>
          <w:szCs w:val="14"/>
          <w:b w:val="1"/>
          <w:bCs w:val="1"/>
          <w:color w:val="auto"/>
        </w:rPr>
        <w:t>Galera</w:t>
      </w:r>
      <w:r>
        <w:rPr>
          <w:sz w:val="20"/>
          <w:szCs w:val="20"/>
          <w:color w:val="auto"/>
        </w:rPr>
        <w:tab/>
      </w:r>
      <w:r>
        <w:rPr>
          <w:rFonts w:ascii="Times New Roman" w:cs="Times New Roman" w:eastAsia="Times New Roman" w:hAnsi="Times New Roman"/>
          <w:sz w:val="14"/>
          <w:szCs w:val="14"/>
          <w:b w:val="1"/>
          <w:bCs w:val="1"/>
          <w:color w:val="auto"/>
        </w:rPr>
        <w:t>Parent</w:t>
      </w:r>
      <w:r>
        <w:rPr>
          <w:sz w:val="20"/>
          <w:szCs w:val="20"/>
          <w:color w:val="auto"/>
        </w:rPr>
        <w:tab/>
      </w: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58121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ectPr>
          <w:pgSz w:w="11900" w:h="16838" w:orient="portrait"/>
          <w:cols w:equalWidth="0" w:num="1">
            <w:col w:w="10880"/>
          </w:cols>
          <w:pgMar w:left="320" w:top="455" w:right="699" w:bottom="1440" w:gutter="0" w:footer="0" w:header="0"/>
        </w:sectPr>
      </w:pPr>
    </w:p>
    <w:p>
      <w:pPr>
        <w:spacing w:after="0" w:line="14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Each holder of shares of the</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Series A Preferred Stock</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shall be entitled to 1,000</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votes per share on all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matters submitted to a vote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the stockholders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 subject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adjustment as set forth in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Certificate of Designation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Series A Junior Participating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Preferred Stock, $0.001 par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value per share. The holders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shares of Series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Preferred Stock and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holders of shares of Galera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common stock shall vote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collectively as one class 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all matters submitted to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vote of stockholders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w:t>
      </w:r>
    </w:p>
    <w:p>
      <w:pPr>
        <w:spacing w:after="0" w:line="1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Except as otherwise</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provided in the Certificate of</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Designation of Series B</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Non-Voting Convertible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Preferred Stock or 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otherwise required by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DGCL, the Series B</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Non-Voting Convertible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Preferred Stock, $0.001 par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value per share, shall have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 voting rights. However,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as long as any shares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Series B Non-Voting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Convertible Preferred Stock</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are outstanding, Galera shall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not, without the affirmative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vote of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per series, voting separately as 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w:t>
      </w:r>
    </w:p>
    <w:p>
      <w:pPr>
        <w:spacing w:after="0" w:line="7956" w:lineRule="exact"/>
        <w:rPr>
          <w:sz w:val="20"/>
          <w:szCs w:val="20"/>
          <w:color w:val="auto"/>
        </w:rPr>
      </w:pPr>
    </w:p>
    <w:p>
      <w:pPr>
        <w:sectPr>
          <w:pgSz w:w="11900" w:h="16838" w:orient="portrait"/>
          <w:cols w:equalWidth="0" w:num="2">
            <w:col w:w="7220" w:space="720"/>
            <w:col w:w="2940"/>
          </w:cols>
          <w:pgMar w:left="320" w:top="455" w:right="699" w:bottom="1440" w:gutter="0" w:footer="0" w:header="0"/>
          <w:type w:val="continuous"/>
        </w:sectPr>
      </w:pPr>
    </w:p>
    <w:p>
      <w:pPr>
        <w:jc w:val="center"/>
        <w:ind w:right="-359"/>
        <w:spacing w:after="0"/>
        <w:rPr>
          <w:sz w:val="20"/>
          <w:szCs w:val="20"/>
          <w:color w:val="auto"/>
        </w:rPr>
      </w:pPr>
      <w:r>
        <w:rPr>
          <w:rFonts w:ascii="Times New Roman" w:cs="Times New Roman" w:eastAsia="Times New Roman" w:hAnsi="Times New Roman"/>
          <w:sz w:val="18"/>
          <w:szCs w:val="18"/>
          <w:color w:val="auto"/>
        </w:rPr>
        <w:t>338</w:t>
      </w:r>
    </w:p>
    <w:p>
      <w:pPr>
        <w:sectPr>
          <w:pgSz w:w="11900" w:h="16838" w:orient="portrait"/>
          <w:cols w:equalWidth="0" w:num="1">
            <w:col w:w="10880"/>
          </w:cols>
          <w:pgMar w:left="320" w:top="455" w:right="699" w:bottom="1440" w:gutter="0" w:footer="0" w:header="0"/>
          <w:type w:val="continuous"/>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860" w:type="dxa"/>
            <w:vAlign w:val="bottom"/>
          </w:tcPr>
          <w:p>
            <w:pPr>
              <w:spacing w:after="0"/>
              <w:rPr>
                <w:sz w:val="16"/>
                <w:szCs w:val="16"/>
                <w:color w:val="auto"/>
              </w:rPr>
            </w:pPr>
          </w:p>
        </w:tc>
        <w:tc>
          <w:tcPr>
            <w:tcW w:w="2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Galera</w:t>
            </w:r>
          </w:p>
        </w:tc>
      </w:tr>
      <w:tr>
        <w:trPr>
          <w:trHeight w:val="191"/>
        </w:trPr>
        <w:tc>
          <w:tcPr>
            <w:tcW w:w="1860" w:type="dxa"/>
            <w:vAlign w:val="bottom"/>
          </w:tcPr>
          <w:p>
            <w:pPr>
              <w:spacing w:after="0"/>
              <w:rPr>
                <w:sz w:val="16"/>
                <w:szCs w:val="16"/>
                <w:color w:val="auto"/>
              </w:rPr>
            </w:pPr>
          </w:p>
        </w:tc>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the holders of a majority of</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the then outstanding shares</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of the Series B Non-Voting</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 alter or change adversely</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the powers, preferences or</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rights given to the Series B</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Non-Voting Convertible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(ii) issue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further shares of Series B</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Non-Voting Convertible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or increase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or decrease (other than by</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conversion) the number of</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shares of Series</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 Non-Voting Convertible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(iii) prior to</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 approval of the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conversion, or at any time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while at least 30% of the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originally issued Series B</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Non-Voting Convertible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remains</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consummate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certain fundamental</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transactions, or (iv) enter</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into any agreement with</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respect to any of the</w:t>
            </w:r>
          </w:p>
        </w:tc>
      </w:tr>
      <w:tr>
        <w:trPr>
          <w:trHeight w:val="234"/>
        </w:trPr>
        <w:tc>
          <w:tcPr>
            <w:tcW w:w="186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foregoing.</w:t>
            </w:r>
          </w:p>
        </w:tc>
      </w:tr>
      <w:tr>
        <w:trPr>
          <w:trHeight w:val="302"/>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 and</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Subject to the rights of</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Qualification of</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holders of any series of</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to elect</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directors, the number of</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directors of Galera shall be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established from time to</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time by the Galera Board.</w:t>
            </w:r>
          </w:p>
        </w:tc>
      </w:tr>
      <w:tr>
        <w:trPr>
          <w:trHeight w:val="234"/>
        </w:trPr>
        <w:tc>
          <w:tcPr>
            <w:tcW w:w="186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Galera’s bylaws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Parent’s certificate of incorporation and bylaws provide that the number of Parent’s directors shall be fixed from time to time by a resolution of the majority of Parent’s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Subject to the rights of holders of any series of Preferred Stock to elect directors as provided in the Certificate of Incorporation, Obsidian’s Bylaws provide that the number of directors which shall constitute the whole board of Obsidian is determined from time to time</w:t>
      </w:r>
    </w:p>
    <w:p>
      <w:pPr>
        <w:sectPr>
          <w:pgSz w:w="11900" w:h="16838" w:orient="portrait"/>
          <w:cols w:equalWidth="0" w:num="3">
            <w:col w:w="4080" w:space="200"/>
            <w:col w:w="3420" w:space="240"/>
            <w:col w:w="3180"/>
          </w:cols>
          <w:pgMar w:left="320" w:top="455" w:right="45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provide that the authorized</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number of directors shall be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determined from time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time by resolution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 Board, provided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Galera Board shall consist of</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 least one member. No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reduction of the authorized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number of directors shall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have the effect of removing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any director before that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director’s term of office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expires. Directors need not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be stockholders unless so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required by the Galera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Charter or the bylaws.</w:t>
      </w:r>
    </w:p>
    <w:p>
      <w:pPr>
        <w:spacing w:after="0" w:line="9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Structure of Board </w:t>
      </w:r>
      <w:r>
        <w:rPr>
          <w:rFonts w:ascii="Times New Roman" w:cs="Times New Roman" w:eastAsia="Times New Roman" w:hAnsi="Times New Roman"/>
          <w:sz w:val="18"/>
          <w:szCs w:val="18"/>
          <w:color w:val="auto"/>
        </w:rPr>
        <w:t>The Galera Charter provides</w:t>
      </w:r>
      <w:r>
        <w:rPr>
          <w:rFonts w:ascii="Times New Roman" w:cs="Times New Roman" w:eastAsia="Times New Roman" w:hAnsi="Times New Roman"/>
          <w:sz w:val="18"/>
          <w:szCs w:val="18"/>
          <w:b w:val="1"/>
          <w:bCs w:val="1"/>
          <w:color w:val="auto"/>
        </w:rPr>
        <w:t xml:space="preserve"> of Directors; Term of </w:t>
      </w:r>
      <w:r>
        <w:rPr>
          <w:rFonts w:ascii="Times New Roman" w:cs="Times New Roman" w:eastAsia="Times New Roman" w:hAnsi="Times New Roman"/>
          <w:sz w:val="18"/>
          <w:szCs w:val="18"/>
          <w:color w:val="auto"/>
        </w:rPr>
        <w:t>that the Galera Board shall</w:t>
      </w:r>
      <w:r>
        <w:rPr>
          <w:rFonts w:ascii="Times New Roman" w:cs="Times New Roman" w:eastAsia="Times New Roman" w:hAnsi="Times New Roman"/>
          <w:sz w:val="18"/>
          <w:szCs w:val="18"/>
          <w:b w:val="1"/>
          <w:bCs w:val="1"/>
          <w:color w:val="auto"/>
        </w:rPr>
        <w:t xml:space="preserve"> Directors; Election of </w:t>
      </w:r>
      <w:r>
        <w:rPr>
          <w:rFonts w:ascii="Times New Roman" w:cs="Times New Roman" w:eastAsia="Times New Roman" w:hAnsi="Times New Roman"/>
          <w:sz w:val="18"/>
          <w:szCs w:val="18"/>
          <w:color w:val="auto"/>
        </w:rPr>
        <w:t>be divided into three classes,</w:t>
      </w: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Directors</w:t>
      </w:r>
      <w:r>
        <w:rPr>
          <w:sz w:val="20"/>
          <w:szCs w:val="20"/>
          <w:color w:val="auto"/>
        </w:rPr>
        <w:tab/>
      </w:r>
      <w:r>
        <w:rPr>
          <w:rFonts w:ascii="Times New Roman" w:cs="Times New Roman" w:eastAsia="Times New Roman" w:hAnsi="Times New Roman"/>
          <w:sz w:val="18"/>
          <w:szCs w:val="18"/>
          <w:color w:val="auto"/>
        </w:rPr>
        <w:t>designated as Class I,</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Class II and Class III. Each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class shall consist, as nearly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as may be possible,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one-third of the total number</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directors constituting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entire Galera Board. Each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 shall serve for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term ending on the date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third annual meeting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following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annual meeting at which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such director was elected,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 until the election and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qualification of his or her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successor, subject to such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director’s earlier death,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Parent’s board of directors is divided into three staggered classes of directors and each is assigned to one of the three classes. At each annual meeting of the stockholders, a class of directors is elected for a three-year term to succeed the directors of the same class whose terms are then expiring. Parent’s directors hold office until their successors have been elected and qualified or until the earlier of their resignation or removal. Parent’s certificate of incorporation provides that its directors may be removed only for cause by the affirmative vote of the holders of at least two-thirds of the votes that all of Parent’s stockholders would be entitled to cast in an annual election of directors, and that any vacancy on its board of directors, including a vacancy resulting from an enlargement of Parent’s board of directors, may be filled only by vote of a</w:t>
      </w:r>
    </w:p>
    <w:p>
      <w:pPr>
        <w:spacing w:after="0" w:line="33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340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resolution of the Board of Directors.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need not be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Obsidian’s certificate of incorporation provides that the holders of record of the shares of Series A Preferred Stock, exclusively and as a separate class on an as converted to Common Stock basis, shall be entitled to elect one (1) director; the holders of record of the shares of Series B Preferred Stock, exclusively and as a separate class on an as converted to Common Stock basis, shall be entitled to elect one (1) director; and the holders of record of the shares of Series C Preferred Stock, exclusively and as a separate class on an as converted to Common Stock basis, shall be entitled to elect one (1) director (together, the “Preferred Directors”). The holders of record of the shares of Common Stock and Preferred Stock, exclusively and voting together as a single class on an as-converted basis,</w:t>
      </w:r>
    </w:p>
    <w:p>
      <w:pPr>
        <w:sectPr>
          <w:pgSz w:w="11900" w:h="16838" w:orient="portrait"/>
          <w:cols w:equalWidth="0" w:num="3">
            <w:col w:w="4060" w:space="220"/>
            <w:col w:w="3500" w:space="160"/>
            <w:col w:w="3180"/>
          </w:cols>
          <w:pgMar w:left="320" w:top="455" w:right="45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resignation or removal. At</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all meetings of stockholders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the election of directors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 which a quorum is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present, a plurality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votes cast shall be sufficient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to elect. Election of directors</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need not be by written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ballot, except as and to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extent provided in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bylaws.</w:t>
      </w:r>
    </w:p>
    <w:p>
      <w:pPr>
        <w:spacing w:after="0" w:line="95"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Removal of Directors</w:t>
      </w:r>
      <w:r>
        <w:rPr>
          <w:sz w:val="20"/>
          <w:szCs w:val="20"/>
          <w:color w:val="auto"/>
        </w:rPr>
        <w:tab/>
      </w:r>
      <w:r>
        <w:rPr>
          <w:rFonts w:ascii="Times New Roman" w:cs="Times New Roman" w:eastAsia="Times New Roman" w:hAnsi="Times New Roman"/>
          <w:sz w:val="17"/>
          <w:szCs w:val="17"/>
          <w:color w:val="auto"/>
        </w:rPr>
        <w:t>Subject to the rights of</w:t>
      </w:r>
    </w:p>
    <w:p>
      <w:pPr>
        <w:spacing w:after="0" w:line="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holders of any series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Preferred Stock, directors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Galera may be removed only</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cause and only by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affirmative vote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holders of at least two-thirds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 voting power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outstanding shares of capital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 of Galera entitled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vote at an election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Parent’s directors then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Parent’s certificate of incorporation provides that directors may be removed only for cause and then only by the affirmative vote of the holders of two-thirds or more of the shares then entitled to vote at an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shall be entitled to elect the balance of the total number of directors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Obsidian’s certificate of incorporation provides that the Preferred Directors may be removed without cause by, and only by, the affirmative vote of the holders of a majority of the shares of the class or series of capital stock entitled to elect such directors, given either at a special meeting of such stockholders duly called for that purpose or pursuant to a written consent of stockholders. Obsidian’s bylaws provide that to the extent permitted by law, a director may be removed from office with or without cause by vote of the holders of a majority of the shares of stock entitled to vote in the election of directors.</w:t>
      </w:r>
    </w:p>
    <w:p>
      <w:pPr>
        <w:spacing w:after="0" w:line="84" w:lineRule="exact"/>
        <w:rPr>
          <w:sz w:val="20"/>
          <w:szCs w:val="20"/>
          <w:color w:val="auto"/>
        </w:rPr>
      </w:pPr>
    </w:p>
    <w:p>
      <w:pPr>
        <w:sectPr>
          <w:pgSz w:w="11900" w:h="16838" w:orient="portrait"/>
          <w:cols w:equalWidth="0" w:num="3">
            <w:col w:w="4060" w:space="220"/>
            <w:col w:w="3440" w:space="220"/>
            <w:col w:w="3140"/>
          </w:cols>
          <w:pgMar w:left="320" w:top="455" w:right="499" w:bottom="1440" w:gutter="0" w:footer="0" w:header="0"/>
        </w:sect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Vacancies on the</w:t>
      </w:r>
      <w:r>
        <w:rPr>
          <w:sz w:val="20"/>
          <w:szCs w:val="20"/>
          <w:color w:val="auto"/>
        </w:rPr>
        <w:tab/>
      </w:r>
      <w:r>
        <w:rPr>
          <w:rFonts w:ascii="Times New Roman" w:cs="Times New Roman" w:eastAsia="Times New Roman" w:hAnsi="Times New Roman"/>
          <w:sz w:val="17"/>
          <w:szCs w:val="17"/>
          <w:color w:val="auto"/>
        </w:rPr>
        <w:t>Subject to the rights of</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Board of Directors</w:t>
      </w:r>
      <w:r>
        <w:rPr>
          <w:sz w:val="20"/>
          <w:szCs w:val="20"/>
          <w:color w:val="auto"/>
        </w:rPr>
        <w:tab/>
      </w:r>
      <w:r>
        <w:rPr>
          <w:rFonts w:ascii="Times New Roman" w:cs="Times New Roman" w:eastAsia="Times New Roman" w:hAnsi="Times New Roman"/>
          <w:sz w:val="17"/>
          <w:szCs w:val="17"/>
          <w:color w:val="auto"/>
        </w:rPr>
        <w:t>holders of any series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Preferred Stock,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vacancy or newly created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directorship in the Galera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Board, however occurring,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shall be filled only by vote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of a majority of the directors</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then in office, although less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than a quorum, or by</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Any vacancy on Parent’s board of directors, however occurring, including a vacancy resulting from an increase in the size of Parent’s board, may only be filled by the affirmative vote of a majority of Parent’s directors then in office even if less than a quorum.</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Obsidian’s bylaws provide that a majority of the directors then in office, although less than a quorum, or a sole remaining Director, may fill vacancies in the Board of Directors occurring for any reason and newly created directorships resulting from any increase in the authorized number of directors. In lieu of filling any vacancy, the Board</w:t>
      </w:r>
    </w:p>
    <w:p>
      <w:pPr>
        <w:spacing w:after="0" w:line="336" w:lineRule="exact"/>
        <w:rPr>
          <w:sz w:val="20"/>
          <w:szCs w:val="20"/>
          <w:color w:val="auto"/>
        </w:rPr>
      </w:pPr>
    </w:p>
    <w:p>
      <w:pPr>
        <w:sectPr>
          <w:pgSz w:w="11900" w:h="16838" w:orient="portrait"/>
          <w:cols w:equalWidth="0" w:num="3">
            <w:col w:w="4040" w:space="240"/>
            <w:col w:w="3500" w:space="160"/>
            <w:col w:w="3140"/>
          </w:cols>
          <w:pgMar w:left="320" w:top="455"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color w:val="auto"/>
        </w:rPr>
        <w:t>341</w:t>
      </w:r>
    </w:p>
    <w:p>
      <w:pPr>
        <w:sectPr>
          <w:pgSz w:w="11900" w:h="16838" w:orient="portrait"/>
          <w:cols w:equalWidth="0" w:num="1">
            <w:col w:w="11080"/>
          </w:cols>
          <w:pgMar w:left="320" w:top="455" w:right="499" w:bottom="1440" w:gutter="0" w:footer="0" w:header="0"/>
          <w:type w:val="continuous"/>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 sole remaining director,</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 shall not be filled by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unless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 Board determines by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resolution that any such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vacancy or newly created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directorship shall be filled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by the stockholders.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 elected to fill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vacancy shall hold office for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remainder of the full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term of the class for which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such director shall have been</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chosen, subject to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election and qualification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 successor and to such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director’s earlier death,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resignation or removal.</w:t>
      </w:r>
    </w:p>
    <w:p>
      <w:pPr>
        <w:spacing w:after="0" w:line="95"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Special Meeting of</w:t>
      </w:r>
      <w:r>
        <w:rPr>
          <w:sz w:val="20"/>
          <w:szCs w:val="20"/>
          <w:color w:val="auto"/>
        </w:rPr>
        <w:tab/>
      </w:r>
      <w:r>
        <w:rPr>
          <w:rFonts w:ascii="Times New Roman" w:cs="Times New Roman" w:eastAsia="Times New Roman" w:hAnsi="Times New Roman"/>
          <w:sz w:val="18"/>
          <w:szCs w:val="18"/>
          <w:color w:val="auto"/>
        </w:rPr>
        <w:t>The Galera Charter provides</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the Stockholders</w:t>
      </w:r>
      <w:r>
        <w:rPr>
          <w:sz w:val="20"/>
          <w:szCs w:val="20"/>
          <w:color w:val="auto"/>
        </w:rPr>
        <w:tab/>
      </w:r>
      <w:r>
        <w:rPr>
          <w:rFonts w:ascii="Times New Roman" w:cs="Times New Roman" w:eastAsia="Times New Roman" w:hAnsi="Times New Roman"/>
          <w:sz w:val="17"/>
          <w:szCs w:val="17"/>
          <w:color w:val="auto"/>
        </w:rPr>
        <w:t>that special meetings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stockholders for any purpose</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purposes may be called at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any time only by the Galera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Board, the chairperson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Galera Board, the chief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executive officer or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president (in the absence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 chief executive officer)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 and may not be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called by any other person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persons. Business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transacted at any special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meeting of stockholders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shall be limited to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Parent’s certificate of incorporation and bylaws provide that only a majority of the members of Parent’s board of directors then in office may call special meetings of stockholders and only those matters set forth in the notice of the special meeting may be considered or acted upon at a special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340"/>
        <w:spacing w:after="0" w:line="272" w:lineRule="auto"/>
        <w:rPr>
          <w:sz w:val="20"/>
          <w:szCs w:val="20"/>
          <w:color w:val="auto"/>
        </w:rPr>
      </w:pPr>
      <w:r>
        <w:rPr>
          <w:rFonts w:ascii="Times New Roman" w:cs="Times New Roman" w:eastAsia="Times New Roman" w:hAnsi="Times New Roman"/>
          <w:sz w:val="18"/>
          <w:szCs w:val="18"/>
          <w:color w:val="auto"/>
        </w:rPr>
        <w:t>of Directors may reduce the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Obsidian’s bylaws provide that special meetings of stockholders may be called by the Chief Executive Officer, if one is elected, or, if there is no Chief Executive Officer, a President, or by the Board of Directors, but such special meetings may not be called by any other person or persons. The call for the meeting shall state the place, date, hour and purposes of the meeting. Only the purposes specified in the notice of special meeting shall be considered or dealt with at such special meeting. Obsidian’s certificate of incorporation Provides that at any meeting held for the purpose of electing a director, the presence in person or by proxy of the holders of a</w:t>
      </w:r>
    </w:p>
    <w:p>
      <w:pPr>
        <w:sectPr>
          <w:pgSz w:w="11900" w:h="16838" w:orient="portrait"/>
          <w:cols w:equalWidth="0" w:num="3">
            <w:col w:w="4060" w:space="220"/>
            <w:col w:w="3420" w:space="240"/>
            <w:col w:w="3140"/>
          </w:cols>
          <w:pgMar w:left="320" w:top="455" w:right="49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purposes stated in the</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notice of meeting.</w:t>
      </w:r>
    </w:p>
    <w:p>
      <w:pPr>
        <w:spacing w:after="0" w:line="200" w:lineRule="exact"/>
        <w:rPr>
          <w:sz w:val="20"/>
          <w:szCs w:val="20"/>
          <w:color w:val="auto"/>
        </w:rPr>
      </w:pPr>
    </w:p>
    <w:p>
      <w:pPr>
        <w:spacing w:after="0" w:line="327" w:lineRule="exact"/>
        <w:rPr>
          <w:sz w:val="20"/>
          <w:szCs w:val="20"/>
          <w:color w:val="auto"/>
        </w:rPr>
      </w:pPr>
    </w:p>
    <w:p>
      <w:pPr>
        <w:ind w:left="120" w:right="4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Stockholder Action </w:t>
      </w:r>
      <w:r>
        <w:rPr>
          <w:rFonts w:ascii="Times New Roman" w:cs="Times New Roman" w:eastAsia="Times New Roman" w:hAnsi="Times New Roman"/>
          <w:sz w:val="18"/>
          <w:szCs w:val="18"/>
          <w:color w:val="auto"/>
        </w:rPr>
        <w:t>The Galera Charter permits</w:t>
      </w:r>
      <w:r>
        <w:rPr>
          <w:rFonts w:ascii="Times New Roman" w:cs="Times New Roman" w:eastAsia="Times New Roman" w:hAnsi="Times New Roman"/>
          <w:sz w:val="18"/>
          <w:szCs w:val="18"/>
          <w:b w:val="1"/>
          <w:bCs w:val="1"/>
          <w:color w:val="auto"/>
        </w:rPr>
        <w:t xml:space="preserve"> by Written Consent </w:t>
      </w:r>
      <w:r>
        <w:rPr>
          <w:rFonts w:ascii="Times New Roman" w:cs="Times New Roman" w:eastAsia="Times New Roman" w:hAnsi="Times New Roman"/>
          <w:sz w:val="18"/>
          <w:szCs w:val="18"/>
          <w:color w:val="auto"/>
        </w:rPr>
        <w:t>Galera stockholders to act</w:t>
      </w:r>
    </w:p>
    <w:p>
      <w:pPr>
        <w:spacing w:after="0" w:line="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by written consent in lieu of</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Quorum</w:t>
      </w:r>
      <w:r>
        <w:rPr>
          <w:sz w:val="20"/>
          <w:szCs w:val="20"/>
          <w:color w:val="auto"/>
        </w:rPr>
        <w:tab/>
      </w:r>
      <w:r>
        <w:rPr>
          <w:rFonts w:ascii="Times New Roman" w:cs="Times New Roman" w:eastAsia="Times New Roman" w:hAnsi="Times New Roman"/>
          <w:sz w:val="18"/>
          <w:szCs w:val="18"/>
          <w:i w:val="1"/>
          <w:iCs w:val="1"/>
          <w:color w:val="auto"/>
        </w:rPr>
        <w:t xml:space="preserve">Galera Board. </w:t>
      </w:r>
      <w:r>
        <w:rPr>
          <w:rFonts w:ascii="Times New Roman" w:cs="Times New Roman" w:eastAsia="Times New Roman" w:hAnsi="Times New Roman"/>
          <w:sz w:val="18"/>
          <w:szCs w:val="18"/>
          <w:color w:val="auto"/>
        </w:rPr>
        <w:t>The Galera</w:t>
      </w:r>
    </w:p>
    <w:p>
      <w:pPr>
        <w:spacing w:after="0" w:line="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Charter and bylaws provide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that the greater of (a)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majority of the directors at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any time in office and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 one-third of the number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directors established by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Galera Board shall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constitute a quorum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 Board for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transaction of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Parent’s certificate of incorporation provides that all stockholder actions are required to be taken by a vote of the stockholders at an annual or special meeting, and that stockholders may not take any action by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Parent Board. </w:t>
      </w:r>
      <w:r>
        <w:rPr>
          <w:rFonts w:ascii="Times New Roman" w:cs="Times New Roman" w:eastAsia="Times New Roman" w:hAnsi="Times New Roman"/>
          <w:sz w:val="18"/>
          <w:szCs w:val="18"/>
          <w:color w:val="auto"/>
        </w:rPr>
        <w:t>Parent’s bylaws provide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total number of directors shall constitute a quorum.</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Parent’s bylaws provide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in interest of all stock issued, outstanding and entitled to vote at a meeting, present in person or represented by proxy, shall constitute a quorum.</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majority of the outstanding shares of the class or series entitled to elect such director shall constitute a quorum for the purpose of electing such director.</w:t>
      </w:r>
    </w:p>
    <w:p>
      <w:pPr>
        <w:spacing w:after="0" w:line="7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Obsidian’s bylaws provide that any action required or permitted by law to be taken at any annual or special meeting of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Obsidian by delivery to its registered office, by hand or by certified mail, return receipt requested, or to Obsidian’s principal place of business or to the officer of Obsidian having custody of the minute book.</w:t>
      </w:r>
    </w:p>
    <w:p>
      <w:pPr>
        <w:spacing w:after="0" w:line="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Obsidian Board. </w:t>
      </w:r>
      <w:r>
        <w:rPr>
          <w:rFonts w:ascii="Times New Roman" w:cs="Times New Roman" w:eastAsia="Times New Roman" w:hAnsi="Times New Roman"/>
          <w:sz w:val="18"/>
          <w:szCs w:val="18"/>
          <w:color w:val="auto"/>
        </w:rPr>
        <w:t>Obsidian’s bylaws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at any meeting of the Board of Directors, a majority of the total number of directors shall constitute a quorum for the transaction of business.</w:t>
      </w:r>
    </w:p>
    <w:p>
      <w:pPr>
        <w:spacing w:after="0" w:line="8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Obsidian’s bylaws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holders of a majority in interest of all stock issued, outstanding and entitled to vote at a meeting, present in person or represented by proxy, shall constitute a quorum.</w:t>
      </w:r>
    </w:p>
    <w:p>
      <w:pPr>
        <w:sectPr>
          <w:pgSz w:w="11900" w:h="16838" w:orient="portrait"/>
          <w:cols w:equalWidth="0" w:num="3">
            <w:col w:w="4000" w:space="280"/>
            <w:col w:w="3440" w:space="220"/>
            <w:col w:w="3180"/>
          </w:cols>
          <w:pgMar w:left="320" w:top="455" w:right="45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2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i w:val="1"/>
          <w:iCs w:val="1"/>
          <w:color w:val="auto"/>
        </w:rPr>
        <w:t xml:space="preserve">Stockholders. </w:t>
      </w:r>
      <w:r>
        <w:rPr>
          <w:rFonts w:ascii="Times New Roman" w:cs="Times New Roman" w:eastAsia="Times New Roman" w:hAnsi="Times New Roman"/>
          <w:sz w:val="18"/>
          <w:szCs w:val="18"/>
          <w:color w:val="auto"/>
        </w:rPr>
        <w:t>Galera’s</w:t>
      </w:r>
    </w:p>
    <w:p>
      <w:pPr>
        <w:spacing w:after="0" w:line="2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bylaws provide that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holders of a majority in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voting power of the capital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 issued and outstanding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 entitled to vote, present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 person, or by remote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communication, if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applicable, or represented by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proxy, shall constitute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quorum for the transaction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business at all meetings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the stockholders.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b w:val="1"/>
          <w:bCs w:val="1"/>
          <w:color w:val="auto"/>
        </w:rPr>
        <w:t>Parent</w:t>
      </w:r>
      <w:r>
        <w:rPr>
          <w:sz w:val="20"/>
          <w:szCs w:val="20"/>
          <w:color w:val="auto"/>
        </w:rPr>
        <w:tab/>
      </w: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-634365</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16510</wp:posOffset>
            </wp:positionV>
            <wp:extent cx="434594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3067" w:lineRule="exact"/>
        <w:rPr>
          <w:sz w:val="20"/>
          <w:szCs w:val="20"/>
          <w:color w:val="auto"/>
        </w:rPr>
      </w:pPr>
    </w:p>
    <w:p>
      <w:pPr>
        <w:sectPr>
          <w:pgSz w:w="11900" w:h="16838" w:orient="portrait"/>
          <w:cols w:equalWidth="0" w:num="2">
            <w:col w:w="5120" w:space="720"/>
            <w:col w:w="5280"/>
          </w:cols>
          <w:pgMar w:left="320" w:top="455" w:right="459" w:bottom="1440" w:gutter="0" w:footer="0" w:header="0"/>
        </w:sect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Notice of</w:t>
      </w:r>
      <w:r>
        <w:rPr>
          <w:sz w:val="20"/>
          <w:szCs w:val="20"/>
          <w:color w:val="auto"/>
        </w:rPr>
        <w:tab/>
      </w:r>
      <w:r>
        <w:rPr>
          <w:rFonts w:ascii="Times New Roman" w:cs="Times New Roman" w:eastAsia="Times New Roman" w:hAnsi="Times New Roman"/>
          <w:sz w:val="17"/>
          <w:szCs w:val="17"/>
          <w:color w:val="auto"/>
        </w:rPr>
        <w:t>Galera’s bylaws provide that</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Stockholder</w:t>
      </w:r>
      <w:r>
        <w:rPr>
          <w:sz w:val="20"/>
          <w:szCs w:val="20"/>
          <w:color w:val="auto"/>
        </w:rPr>
        <w:tab/>
      </w:r>
      <w:r>
        <w:rPr>
          <w:rFonts w:ascii="Times New Roman" w:cs="Times New Roman" w:eastAsia="Times New Roman" w:hAnsi="Times New Roman"/>
          <w:sz w:val="18"/>
          <w:szCs w:val="18"/>
          <w:color w:val="auto"/>
        </w:rPr>
        <w:t>notice of any meeting of</w:t>
      </w:r>
    </w:p>
    <w:p>
      <w:pPr>
        <w:spacing w:after="0" w:line="9"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Meetings</w:t>
      </w:r>
      <w:r>
        <w:rPr>
          <w:sz w:val="20"/>
          <w:szCs w:val="20"/>
          <w:color w:val="auto"/>
        </w:rPr>
        <w:tab/>
      </w:r>
      <w:r>
        <w:rPr>
          <w:rFonts w:ascii="Times New Roman" w:cs="Times New Roman" w:eastAsia="Times New Roman" w:hAnsi="Times New Roman"/>
          <w:sz w:val="18"/>
          <w:szCs w:val="18"/>
          <w:color w:val="auto"/>
        </w:rPr>
        <w:t>stockholders shall be given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not less than ten (10) nor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more than sixty (60) days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before the date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meeting to each stockholder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entitled to vote at such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meeting as of the record date</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determining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entitled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notice of the meeting.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notice shall specify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place, if any, date and hour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the meeting, the record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date for determining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entitled to vote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 the meeting, the means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remote communication, if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any, by which stockholders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 proxy holders may be</w:t>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Parent’s bylaws specify the requirements as to form and content of all stockholders’ notices. These requirements may preclude stockholders from bringing matters before the stockholders at an annual or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344</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Obsidian’s bylaws provide that whenever stockholders are required or permitted to take any action at a meeting, a notice stating the place, if any, date and hour of the meeting, the means of remote communications, if any, by which stockholders and proxyholders may be deemed to be present and vote at such meeting, and, in the case of a special meeting, the purpose or purposes of the meeting, shall be given by the Secretary (or other person authorized by Obsidian’s bylaws) not less than ten (10) nor more than sixty (60) days before the meeting.</w:t>
      </w:r>
    </w:p>
    <w:p>
      <w:pPr>
        <w:spacing w:after="0" w:line="1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 meeting is adjourned to another time or place, notice need not be given of the adjourned meeting if the time and place, if any, and the means of remote communications, if any, by which stockholders and proxyholders may be deemed to be present in person and</w:t>
      </w:r>
    </w:p>
    <w:p>
      <w:pPr>
        <w:sectPr>
          <w:pgSz w:w="11900" w:h="16838" w:orient="portrait"/>
          <w:cols w:equalWidth="0" w:num="3">
            <w:col w:w="4060" w:space="220"/>
            <w:col w:w="3480" w:space="180"/>
            <w:col w:w="3180"/>
          </w:cols>
          <w:pgMar w:left="320" w:top="455" w:right="459" w:bottom="1440" w:gutter="0" w:footer="0" w:header="0"/>
          <w:type w:val="continuous"/>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deemed to be present in</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person and vote at such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meeting, and, in the case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 special meeting,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purpose or purposes for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which the meeting is called.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Advance Notice</w:t>
      </w:r>
      <w:r>
        <w:rPr>
          <w:sz w:val="20"/>
          <w:szCs w:val="20"/>
          <w:color w:val="auto"/>
        </w:rPr>
        <w:tab/>
      </w:r>
      <w:r>
        <w:rPr>
          <w:rFonts w:ascii="Times New Roman" w:cs="Times New Roman" w:eastAsia="Times New Roman" w:hAnsi="Times New Roman"/>
          <w:sz w:val="17"/>
          <w:szCs w:val="17"/>
          <w:color w:val="auto"/>
        </w:rPr>
        <w:t>Galera’s bylaws provide that</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Requirements for</w:t>
      </w:r>
      <w:r>
        <w:rPr>
          <w:sz w:val="20"/>
          <w:szCs w:val="20"/>
          <w:color w:val="auto"/>
        </w:rPr>
        <w:tab/>
      </w:r>
      <w:r>
        <w:rPr>
          <w:rFonts w:ascii="Times New Roman" w:cs="Times New Roman" w:eastAsia="Times New Roman" w:hAnsi="Times New Roman"/>
          <w:sz w:val="17"/>
          <w:szCs w:val="17"/>
          <w:color w:val="auto"/>
        </w:rPr>
        <w:t>for business to be properly</w:t>
      </w:r>
    </w:p>
    <w:p>
      <w:pPr>
        <w:spacing w:after="0" w:line="9"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Stockholder</w:t>
      </w:r>
      <w:r>
        <w:rPr>
          <w:sz w:val="20"/>
          <w:szCs w:val="20"/>
          <w:color w:val="auto"/>
        </w:rPr>
        <w:tab/>
      </w:r>
      <w:r>
        <w:rPr>
          <w:rFonts w:ascii="Times New Roman" w:cs="Times New Roman" w:eastAsia="Times New Roman" w:hAnsi="Times New Roman"/>
          <w:sz w:val="18"/>
          <w:szCs w:val="18"/>
          <w:color w:val="auto"/>
        </w:rPr>
        <w:t>brought before an annual</w:t>
      </w:r>
    </w:p>
    <w:p>
      <w:pPr>
        <w:spacing w:after="0" w:line="9"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Nominations and</w:t>
      </w:r>
      <w:r>
        <w:rPr>
          <w:sz w:val="20"/>
          <w:szCs w:val="20"/>
          <w:color w:val="auto"/>
        </w:rPr>
        <w:tab/>
      </w:r>
      <w:r>
        <w:rPr>
          <w:rFonts w:ascii="Times New Roman" w:cs="Times New Roman" w:eastAsia="Times New Roman" w:hAnsi="Times New Roman"/>
          <w:sz w:val="17"/>
          <w:szCs w:val="17"/>
          <w:color w:val="auto"/>
        </w:rPr>
        <w:t>meeting by a stockholder,</w:t>
      </w:r>
    </w:p>
    <w:p>
      <w:pPr>
        <w:spacing w:after="0" w:line="9"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Other Provisions</w:t>
      </w:r>
      <w:r>
        <w:rPr>
          <w:sz w:val="20"/>
          <w:szCs w:val="20"/>
          <w:color w:val="auto"/>
        </w:rPr>
        <w:tab/>
      </w:r>
      <w:r>
        <w:rPr>
          <w:rFonts w:ascii="Times New Roman" w:cs="Times New Roman" w:eastAsia="Times New Roman" w:hAnsi="Times New Roman"/>
          <w:sz w:val="17"/>
          <w:szCs w:val="17"/>
          <w:color w:val="auto"/>
        </w:rPr>
        <w:t>the stockholder must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provide timely notice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thereof in writing and in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proper form to the secretary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Galera. To be timely,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notice must be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delivered to, or mailed and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received by, the secretary at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principal executive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offices of Galera not later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than the close of business 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ninetieth (90th) day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earlier than the one hundred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twentieth (120th) day prior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to the first anniversary of the</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preceding year’s annual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meeting; provided, however,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that, if the date of the annual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meeting is more than thirty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(30) days before or more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than sixty (60) days after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such anniversary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Parent’s bylaws establish advance notice procedures with regard to stockholder proposals relating to the nomination of candidates for election as directors or new business to be brought before meetings of Parent’s stockholders. These procedures provide that notice of stockholder proposals must be timely given in writing to Parent’s corporate secretary prior to the meeting at which the action is to be taken. Generally, to be timely, notice must be received at Parent’s principal executive offices not less than 90 days nor more than 120 days prior to the first anniversary date of the annual meeting for the preceding year.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7"/>
          <w:szCs w:val="17"/>
          <w:color w:val="auto"/>
        </w:rPr>
        <w:t>vote at such adjourned meeting are announced at the meeting at which the adjournment is taken, except that if the adjournment is for more than thirty</w:t>
      </w:r>
    </w:p>
    <w:p>
      <w:pPr>
        <w:spacing w:after="0" w:line="1" w:lineRule="exact"/>
        <w:rPr>
          <w:sz w:val="20"/>
          <w:szCs w:val="20"/>
          <w:color w:val="auto"/>
        </w:rPr>
      </w:pPr>
    </w:p>
    <w:p>
      <w:pPr>
        <w:ind w:firstLine="6"/>
        <w:spacing w:after="0" w:line="253" w:lineRule="auto"/>
        <w:tabs>
          <w:tab w:leader="none" w:pos="34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 if after the adjournment a new record date is fixed for the adjourned meeting, notice of the adjourned meeting shall be given to each stockholder of record entitled to vote at the meeting.</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Notice of the time, date and place of all special meetings of the Board of Directors shall be given to each director by the Secretary, or Assistant Secretary, or in case of the death, absence, incapacity or refusal of such persons, by the officer or one of the directors calling the meeting. Notice shall be given to each director in person, by telephone, or by facsimile, electronic mail or other form of electronic communications, sent to such director’s business or home address at least twenty-four (24) hours in advance of the meeting, or by written notice mailed to such director’s business or home address at least forty-eight (48) hours in advance of the meeting.</w:t>
      </w:r>
    </w:p>
    <w:p>
      <w:pPr>
        <w:spacing w:after="0" w:line="2069" w:lineRule="exact"/>
        <w:rPr>
          <w:sz w:val="20"/>
          <w:szCs w:val="20"/>
          <w:color w:val="auto"/>
        </w:rPr>
      </w:pPr>
    </w:p>
    <w:p>
      <w:pPr>
        <w:sectPr>
          <w:pgSz w:w="11900" w:h="16838" w:orient="portrait"/>
          <w:cols w:equalWidth="0" w:num="3">
            <w:col w:w="4060" w:space="220"/>
            <w:col w:w="3480" w:space="180"/>
            <w:col w:w="3140"/>
          </w:cols>
          <w:pgMar w:left="320" w:top="455" w:right="499" w:bottom="1440" w:gutter="0" w:footer="0" w:header="0"/>
        </w:sectPr>
      </w:pPr>
    </w:p>
    <w:p>
      <w:pPr>
        <w:jc w:val="center"/>
        <w:ind w:right="-159"/>
        <w:spacing w:after="0"/>
        <w:rPr>
          <w:sz w:val="20"/>
          <w:szCs w:val="20"/>
          <w:color w:val="auto"/>
        </w:rPr>
      </w:pPr>
      <w:r>
        <w:rPr>
          <w:rFonts w:ascii="Times New Roman" w:cs="Times New Roman" w:eastAsia="Times New Roman" w:hAnsi="Times New Roman"/>
          <w:sz w:val="18"/>
          <w:szCs w:val="18"/>
          <w:color w:val="auto"/>
        </w:rPr>
        <w:t>345</w:t>
      </w:r>
    </w:p>
    <w:p>
      <w:pPr>
        <w:sectPr>
          <w:pgSz w:w="11900" w:h="16838" w:orient="portrait"/>
          <w:cols w:equalWidth="0" w:num="1">
            <w:col w:w="11080"/>
          </w:cols>
          <w:pgMar w:left="320" w:top="455" w:right="499" w:bottom="1440" w:gutter="0" w:footer="0" w:header="0"/>
          <w:type w:val="continuous"/>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2820"/>
        <w:spacing w:after="0"/>
        <w:tabs>
          <w:tab w:leader="none" w:pos="5820" w:val="left"/>
          <w:tab w:leader="none" w:pos="9240" w:val="left"/>
        </w:tabs>
        <w:rPr>
          <w:sz w:val="20"/>
          <w:szCs w:val="20"/>
          <w:color w:val="auto"/>
        </w:rPr>
      </w:pPr>
      <w:r>
        <w:rPr>
          <w:rFonts w:ascii="Times New Roman" w:cs="Times New Roman" w:eastAsia="Times New Roman" w:hAnsi="Times New Roman"/>
          <w:sz w:val="14"/>
          <w:szCs w:val="14"/>
          <w:b w:val="1"/>
          <w:bCs w:val="1"/>
          <w:color w:val="auto"/>
        </w:rPr>
        <w:t>Galera</w:t>
      </w:r>
      <w:r>
        <w:rPr>
          <w:sz w:val="20"/>
          <w:szCs w:val="20"/>
          <w:color w:val="auto"/>
        </w:rPr>
        <w:tab/>
      </w:r>
      <w:r>
        <w:rPr>
          <w:rFonts w:ascii="Times New Roman" w:cs="Times New Roman" w:eastAsia="Times New Roman" w:hAnsi="Times New Roman"/>
          <w:sz w:val="14"/>
          <w:szCs w:val="14"/>
          <w:b w:val="1"/>
          <w:bCs w:val="1"/>
          <w:color w:val="auto"/>
        </w:rPr>
        <w:t>Parent</w:t>
      </w:r>
      <w:r>
        <w:rPr>
          <w:sz w:val="20"/>
          <w:szCs w:val="20"/>
          <w:color w:val="auto"/>
        </w:rPr>
        <w:tab/>
      </w: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58121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date, notice by the</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 to be timely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must be so delivered,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mailed and received, not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earlier than the one hundred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twentieth (120th) day prior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to such annual meeting and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not later than the later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close of business on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ninetieth (90th) day prior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such annual meeting and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close of business on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tenth (10th) day following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day on which public</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disclosure of the date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such annual meeting was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first made.</w:t>
      </w:r>
    </w:p>
    <w:p>
      <w:pPr>
        <w:spacing w:after="0" w:line="1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a stockholder to make</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any nomination of a person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election to the Board at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special meeting (if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election of directors is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matter specified in the notice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meeting), the stockholder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must provide timely notice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 writing to the secretary,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delivered not earlier than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close of business on the one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hundred twentieth (120th)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day prior to such special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meeting and not later than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later of the close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business on the ninetieth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(90th) day prior to such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special meeting and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close of business on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tenth (10th) day following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day on which public</w:t>
      </w:r>
    </w:p>
    <w:p>
      <w:pPr>
        <w:spacing w:after="0" w:line="1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346</w:t>
      </w:r>
    </w:p>
    <w:p>
      <w:pPr>
        <w:sectPr>
          <w:pgSz w:w="11900" w:h="16838" w:orient="portrait"/>
          <w:cols w:equalWidth="0" w:num="1">
            <w:col w:w="10139"/>
          </w:cols>
          <w:pgMar w:left="320" w:top="455" w:right="1440"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disclosure of the date of</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such special meeting was</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first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b w:val="1"/>
          <w:bCs w:val="1"/>
          <w:color w:val="auto"/>
        </w:rPr>
        <w:t>Parent</w:t>
      </w:r>
      <w:r>
        <w:rPr>
          <w:sz w:val="20"/>
          <w:szCs w:val="20"/>
          <w:color w:val="auto"/>
        </w:rPr>
        <w:tab/>
      </w: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-634365</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16510</wp:posOffset>
            </wp:positionV>
            <wp:extent cx="434594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773" w:lineRule="exact"/>
        <w:rPr>
          <w:sz w:val="20"/>
          <w:szCs w:val="20"/>
          <w:color w:val="auto"/>
        </w:rPr>
      </w:pPr>
    </w:p>
    <w:p>
      <w:pPr>
        <w:sectPr>
          <w:pgSz w:w="11900" w:h="16838" w:orient="portrait"/>
          <w:cols w:equalWidth="0" w:num="2">
            <w:col w:w="5120" w:space="720"/>
            <w:col w:w="5280"/>
          </w:cols>
          <w:pgMar w:left="320" w:top="455" w:right="459" w:bottom="1440" w:gutter="0" w:footer="0" w:header="0"/>
        </w:sect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Charter</w:t>
      </w:r>
      <w:r>
        <w:rPr>
          <w:sz w:val="20"/>
          <w:szCs w:val="20"/>
          <w:color w:val="auto"/>
        </w:rPr>
        <w:tab/>
      </w:r>
      <w:r>
        <w:rPr>
          <w:rFonts w:ascii="Times New Roman" w:cs="Times New Roman" w:eastAsia="Times New Roman" w:hAnsi="Times New Roman"/>
          <w:sz w:val="18"/>
          <w:szCs w:val="18"/>
          <w:color w:val="auto"/>
        </w:rPr>
        <w:t>The Galera Charter provides</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Amendments</w:t>
      </w:r>
      <w:r>
        <w:rPr>
          <w:sz w:val="20"/>
          <w:szCs w:val="20"/>
          <w:color w:val="auto"/>
        </w:rPr>
        <w:tab/>
      </w:r>
      <w:r>
        <w:rPr>
          <w:rFonts w:ascii="Times New Roman" w:cs="Times New Roman" w:eastAsia="Times New Roman" w:hAnsi="Times New Roman"/>
          <w:sz w:val="18"/>
          <w:szCs w:val="18"/>
          <w:color w:val="auto"/>
        </w:rPr>
        <w:t>that Galera reserves the right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to amend, alter, change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repeal any provision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contained in the certificate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incorporation, in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manner now or hereafter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prescribed by statute and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and all rights conferred upon</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directors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any other persons therein are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granted subject to this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reservation.</w:t>
      </w:r>
    </w:p>
    <w:p>
      <w:pPr>
        <w:spacing w:after="0" w:line="1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 must amend the</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Charter pursuant to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DGCL. The DGCL provides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that an amendment to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corporation’s certificate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incorporation requires that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 the board of directors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adopt a resolution setting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forth the proposed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amendment and either call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special meeting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entitled to vote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 respect thereof for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consideration of such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amendment or direct that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amendment be considered at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next annual meeting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stockholders (provided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meeting or vote is required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pursuant to</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Any amendment of Parent’s certificate of incorporation must first be approved by a majority of its board of directors, and if required by law or its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Times New Roman" w:cs="Times New Roman" w:eastAsia="Times New Roman" w:hAnsi="Times New Roman"/>
          <w:sz w:val="18"/>
          <w:szCs w:val="18"/>
          <w:color w:val="auto"/>
        </w:rPr>
        <w:t>Any amendment to Obsidian’s certificate of incorporation must be approved by a majority of its board of directors and thereafter must be approved by a majority of capital stock, pursuant to the DGCL. Obsidian’s certificate of incorporation requires the consent of the (i) Required Vote (as defined in the certificate of incorporation) to amend, alter, waive or repeal an provision of the certificate of incorporation in a manner that adversely alters the rights, preferences or privileges of the preferred stock or any series thereof,</w:t>
      </w:r>
    </w:p>
    <w:p>
      <w:pPr>
        <w:spacing w:after="0" w:line="1" w:lineRule="exact"/>
        <w:rPr>
          <w:sz w:val="20"/>
          <w:szCs w:val="20"/>
          <w:color w:val="auto"/>
        </w:rPr>
      </w:pPr>
    </w:p>
    <w:p>
      <w:pPr>
        <w:ind w:right="40" w:firstLine="6"/>
        <w:spacing w:after="0" w:line="250" w:lineRule="auto"/>
        <w:tabs>
          <w:tab w:leader="none" w:pos="26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the outstanding shares of Series A-3 preferred stock to amend, alter, waive or repeal an provision of the certificate of incorporation in a manner that adversely alters the rights, preferences or privileges of the preferred stock or any series thereof, (iii) majority of the outstanding shares of Series B preferred stock to amend, alter, waive or repeal an provision of the certificate of incorporation in a manner that adversely alters the rights, preferences or privileges of the preferred stock or any series thereof, and</w:t>
      </w:r>
    </w:p>
    <w:p>
      <w:pPr>
        <w:spacing w:after="0" w:line="5" w:lineRule="exact"/>
        <w:rPr>
          <w:rFonts w:ascii="Times New Roman" w:cs="Times New Roman" w:eastAsia="Times New Roman" w:hAnsi="Times New Roman"/>
          <w:sz w:val="18"/>
          <w:szCs w:val="18"/>
          <w:color w:val="auto"/>
        </w:rPr>
      </w:pPr>
    </w:p>
    <w:p>
      <w:pPr>
        <w:ind w:right="40" w:firstLine="6"/>
        <w:spacing w:after="0" w:line="252" w:lineRule="auto"/>
        <w:tabs>
          <w:tab w:leader="none" w:pos="30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majority of the outstanding shares of Series C preferred stock to amend, alter, waive or repeal an provision of the certificate of incorporation in a manner that adversely alters the rights, preferences or privileges of</w:t>
      </w:r>
    </w:p>
    <w:p>
      <w:pPr>
        <w:spacing w:after="0" w:line="689" w:lineRule="exact"/>
        <w:rPr>
          <w:sz w:val="20"/>
          <w:szCs w:val="20"/>
          <w:color w:val="auto"/>
        </w:rPr>
      </w:pPr>
    </w:p>
    <w:p>
      <w:pPr>
        <w:sectPr>
          <w:pgSz w:w="11900" w:h="16838" w:orient="portrait"/>
          <w:cols w:equalWidth="0" w:num="3">
            <w:col w:w="4060" w:space="220"/>
            <w:col w:w="3500" w:space="160"/>
            <w:col w:w="318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347</w:t>
      </w:r>
    </w:p>
    <w:p>
      <w:pPr>
        <w:sectPr>
          <w:pgSz w:w="11900" w:h="16838" w:orient="portrait"/>
          <w:cols w:equalWidth="0" w:num="1">
            <w:col w:w="11120"/>
          </w:cols>
          <w:pgMar w:left="320" w:top="455" w:right="459" w:bottom="1440" w:gutter="0" w:footer="0" w:header="0"/>
          <w:type w:val="continuous"/>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860" w:type="dxa"/>
            <w:vAlign w:val="bottom"/>
          </w:tcPr>
          <w:p>
            <w:pPr>
              <w:spacing w:after="0"/>
              <w:rPr>
                <w:sz w:val="16"/>
                <w:szCs w:val="16"/>
                <w:color w:val="auto"/>
              </w:rPr>
            </w:pPr>
          </w:p>
        </w:tc>
        <w:tc>
          <w:tcPr>
            <w:tcW w:w="2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Galera</w:t>
            </w:r>
          </w:p>
        </w:tc>
      </w:tr>
      <w:tr>
        <w:trPr>
          <w:trHeight w:val="191"/>
        </w:trPr>
        <w:tc>
          <w:tcPr>
            <w:tcW w:w="1860" w:type="dxa"/>
            <w:vAlign w:val="bottom"/>
          </w:tcPr>
          <w:p>
            <w:pPr>
              <w:spacing w:after="0"/>
              <w:rPr>
                <w:sz w:val="16"/>
                <w:szCs w:val="16"/>
                <w:color w:val="auto"/>
              </w:rPr>
            </w:pPr>
          </w:p>
        </w:tc>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Section 242 of the DGCL)</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and (ii) the stockholders</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w w:val="99"/>
              </w:rPr>
              <w:t>approve the amendment by a</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outstanding</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shares entitled to vote (and a</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majority of the outstanding</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shares of each class entitled</w:t>
            </w:r>
          </w:p>
        </w:tc>
      </w:tr>
      <w:tr>
        <w:trPr>
          <w:trHeight w:val="234"/>
        </w:trPr>
        <w:tc>
          <w:tcPr>
            <w:tcW w:w="186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to vote, if any).</w:t>
            </w:r>
          </w:p>
        </w:tc>
      </w:tr>
      <w:tr>
        <w:trPr>
          <w:trHeight w:val="302"/>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Amendment of</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The Galera Charter provides</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Bylaws</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that the Galera Board shall</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have the power to adopt,</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amend, alter or repeal the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bylaws of Galera. The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may not adopt,</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amend, alter or repeal the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bylaws, or adopt any</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provision inconsistent</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w w:val="99"/>
              </w:rPr>
              <w:t>therewith, unless such action</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is approved by the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affirmative vote of the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holders of at least two-thirds</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in voting power of the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shares of capital</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stock of Galera entitled to</w:t>
            </w:r>
          </w:p>
        </w:tc>
      </w:tr>
      <w:tr>
        <w:trPr>
          <w:trHeight w:val="234"/>
        </w:trPr>
        <w:tc>
          <w:tcPr>
            <w:tcW w:w="186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vote thereon.</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Limitation on</w:t>
      </w:r>
      <w:r>
        <w:rPr>
          <w:sz w:val="20"/>
          <w:szCs w:val="20"/>
          <w:color w:val="auto"/>
        </w:rPr>
        <w:tab/>
      </w:r>
      <w:r>
        <w:rPr>
          <w:rFonts w:ascii="Times New Roman" w:cs="Times New Roman" w:eastAsia="Times New Roman" w:hAnsi="Times New Roman"/>
          <w:sz w:val="18"/>
          <w:szCs w:val="18"/>
          <w:color w:val="auto"/>
        </w:rPr>
        <w:t>The Galera Charter provides</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Director Liability</w:t>
      </w:r>
      <w:r>
        <w:rPr>
          <w:sz w:val="20"/>
          <w:szCs w:val="20"/>
          <w:color w:val="auto"/>
        </w:rPr>
        <w:tab/>
      </w:r>
      <w:r>
        <w:rPr>
          <w:rFonts w:ascii="Times New Roman" w:cs="Times New Roman" w:eastAsia="Times New Roman" w:hAnsi="Times New Roman"/>
          <w:sz w:val="17"/>
          <w:szCs w:val="17"/>
          <w:color w:val="auto"/>
        </w:rPr>
        <w:t>that, to the fullest extent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permitted by the DGCL, no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 of Galera shall be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personally liable to Galera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Parent’s bylaws may be amended by the affirmative vote of a majority of the directors then in office, subject to any limitations set forth in the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Parent’s board of directors recommends that the stockholders approve the amendment, by the affirmative vote of the majority of the outstanding shares entitled to vote on the amendment, in each case voting together as a single class.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permitted by Delaware law, provisions in Parent’s certificate of incorporation and bylaws limit or eliminate the personal liability of officers and directors for a breach of their fiduciary duty of care as a director. An officer or director will not be</w:t>
      </w:r>
    </w:p>
    <w:p>
      <w:pPr>
        <w:spacing w:after="0" w:line="120"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preferred stock or any series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Obsidian’s bylaws may be amended by the stockholders or by the Board of Directors; provided, that (a) the Board of Directors may not alter, amend or repeal any provision of the bylaws which by law, by Obsidian’s certificate of incorporation or by the bylaws requires action by the stockholders and (b) any alteration, amendment or repeal of these By laws by the Board of Directors and any new By law adopted by the Board of Directors may be altered, amended or repealed by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Obsidian’s certificate of incorporation provides that, to the fullest extent permitted by law, a director or officer of Obsidian shall not be personally liable to Obsidian or its stockholders for monetary damages for breach</w:t>
      </w:r>
    </w:p>
    <w:p>
      <w:pPr>
        <w:sectPr>
          <w:pgSz w:w="11900" w:h="16838" w:orient="portrait"/>
          <w:cols w:equalWidth="0" w:num="3">
            <w:col w:w="4080" w:space="200"/>
            <w:col w:w="3520" w:space="140"/>
            <w:col w:w="3160"/>
          </w:cols>
          <w:pgMar w:left="320" w:top="455" w:right="47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for monetary</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damages for any breach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fiduciary duty as a director.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If the DGCL is amended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permit further elimination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limitation of the personal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liability of directors, then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liability of a director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Galera shall be eliminated or</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limited to the fullest extent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permitted by the DGCL 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so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Indemnification</w:t>
      </w:r>
      <w:r>
        <w:rPr>
          <w:sz w:val="20"/>
          <w:szCs w:val="20"/>
          <w:color w:val="auto"/>
        </w:rPr>
        <w:tab/>
      </w:r>
      <w:r>
        <w:rPr>
          <w:rFonts w:ascii="Times New Roman" w:cs="Times New Roman" w:eastAsia="Times New Roman" w:hAnsi="Times New Roman"/>
          <w:sz w:val="18"/>
          <w:szCs w:val="18"/>
          <w:color w:val="auto"/>
        </w:rPr>
        <w:t>Galera’s Bylaws provide</w:t>
      </w:r>
    </w:p>
    <w:p>
      <w:pPr>
        <w:spacing w:after="0" w:line="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that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6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200" w:type="dxa"/>
            <w:vAlign w:val="bottom"/>
          </w:tcPr>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tc>
      </w:tr>
      <w:tr>
        <w:trPr>
          <w:trHeight w:val="191"/>
        </w:trPr>
        <w:tc>
          <w:tcPr>
            <w:tcW w:w="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personally liable to Parent or its stockholders for</w:t>
            </w:r>
          </w:p>
        </w:tc>
        <w:tc>
          <w:tcPr>
            <w:tcW w:w="1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of fiduciary duty as a director or officer.</w:t>
            </w:r>
          </w:p>
        </w:tc>
      </w:tr>
      <w:tr>
        <w:trPr>
          <w:trHeight w:val="216"/>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monetary damages or breach of fiduciary duty as</w:t>
            </w:r>
          </w:p>
        </w:tc>
        <w:tc>
          <w:tcPr>
            <w:tcW w:w="3200" w:type="dxa"/>
            <w:vAlign w:val="bottom"/>
          </w:tcPr>
          <w:p>
            <w:pPr>
              <w:spacing w:after="0"/>
              <w:rPr>
                <w:sz w:val="18"/>
                <w:szCs w:val="18"/>
                <w:color w:val="auto"/>
              </w:rPr>
            </w:pPr>
          </w:p>
        </w:tc>
      </w:tr>
      <w:tr>
        <w:trPr>
          <w:trHeight w:val="234"/>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 officer or director, except for liability for:</w:t>
            </w:r>
          </w:p>
        </w:tc>
        <w:tc>
          <w:tcPr>
            <w:tcW w:w="320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3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any breach of the officer or director’s duty</w:t>
            </w:r>
          </w:p>
        </w:tc>
        <w:tc>
          <w:tcPr>
            <w:tcW w:w="32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 loyalty to Parent or its stockholders;</w:t>
            </w:r>
          </w:p>
        </w:tc>
        <w:tc>
          <w:tcPr>
            <w:tcW w:w="320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3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any act or omission not in good faith or that</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involves intentional misconduct or a</w:t>
            </w:r>
          </w:p>
        </w:tc>
        <w:tc>
          <w:tcPr>
            <w:tcW w:w="32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knowing violation of law;</w:t>
            </w:r>
          </w:p>
        </w:tc>
        <w:tc>
          <w:tcPr>
            <w:tcW w:w="320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3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for Parent’s directors, unlawful payments</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 dividends or unlawful stock repurchases,</w:t>
            </w:r>
          </w:p>
        </w:tc>
        <w:tc>
          <w:tcPr>
            <w:tcW w:w="3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or redemptions as provided in Section 174</w:t>
            </w:r>
          </w:p>
        </w:tc>
        <w:tc>
          <w:tcPr>
            <w:tcW w:w="32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 the DGCL;</w:t>
            </w:r>
          </w:p>
        </w:tc>
        <w:tc>
          <w:tcPr>
            <w:tcW w:w="320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3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for Parent’s officers, any derivative action</w:t>
            </w:r>
          </w:p>
        </w:tc>
        <w:tc>
          <w:tcPr>
            <w:tcW w:w="32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by or in the right of the corporation;</w:t>
            </w:r>
          </w:p>
        </w:tc>
        <w:tc>
          <w:tcPr>
            <w:tcW w:w="320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3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any act by an officer or director related to</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unlawful stock repurchases, redemptions or</w:t>
            </w:r>
          </w:p>
        </w:tc>
        <w:tc>
          <w:tcPr>
            <w:tcW w:w="3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distributions or payments of</w:t>
            </w:r>
          </w:p>
        </w:tc>
        <w:tc>
          <w:tcPr>
            <w:tcW w:w="32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dividends; or</w:t>
            </w:r>
          </w:p>
        </w:tc>
        <w:tc>
          <w:tcPr>
            <w:tcW w:w="3200" w:type="dxa"/>
            <w:vAlign w:val="bottom"/>
          </w:tcPr>
          <w:p>
            <w:pPr>
              <w:spacing w:after="0"/>
              <w:rPr>
                <w:sz w:val="20"/>
                <w:szCs w:val="20"/>
                <w:color w:val="auto"/>
              </w:rPr>
            </w:pPr>
          </w:p>
        </w:tc>
      </w:tr>
      <w:tr>
        <w:trPr>
          <w:trHeight w:val="319"/>
        </w:trPr>
        <w:tc>
          <w:tcPr>
            <w:tcW w:w="20" w:type="dxa"/>
            <w:vAlign w:val="bottom"/>
          </w:tcPr>
          <w:p>
            <w:pPr>
              <w:spacing w:after="0"/>
              <w:rPr>
                <w:sz w:val="24"/>
                <w:szCs w:val="24"/>
                <w:color w:val="auto"/>
              </w:rPr>
            </w:pPr>
          </w:p>
        </w:tc>
        <w:tc>
          <w:tcPr>
            <w:tcW w:w="36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any transaction from which the director or</w:t>
            </w:r>
          </w:p>
        </w:tc>
        <w:tc>
          <w:tcPr>
            <w:tcW w:w="32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officer derived an improper personal</w:t>
            </w:r>
          </w:p>
        </w:tc>
        <w:tc>
          <w:tcPr>
            <w:tcW w:w="32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benefit.</w:t>
            </w:r>
          </w:p>
        </w:tc>
        <w:tc>
          <w:tcPr>
            <w:tcW w:w="3200" w:type="dxa"/>
            <w:vAlign w:val="bottom"/>
          </w:tcPr>
          <w:p>
            <w:pPr>
              <w:spacing w:after="0"/>
              <w:rPr>
                <w:sz w:val="20"/>
                <w:szCs w:val="20"/>
                <w:color w:val="auto"/>
              </w:rPr>
            </w:pPr>
          </w:p>
        </w:tc>
      </w:tr>
      <w:tr>
        <w:trPr>
          <w:trHeight w:val="319"/>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These limitations of liability do not limit or</w:t>
            </w:r>
          </w:p>
        </w:tc>
        <w:tc>
          <w:tcPr>
            <w:tcW w:w="3200" w:type="dxa"/>
            <w:vAlign w:val="bottom"/>
          </w:tcPr>
          <w:p>
            <w:pPr>
              <w:spacing w:after="0"/>
              <w:rPr>
                <w:sz w:val="24"/>
                <w:szCs w:val="24"/>
                <w:color w:val="auto"/>
              </w:rPr>
            </w:pPr>
          </w:p>
        </w:tc>
      </w:tr>
      <w:tr>
        <w:trPr>
          <w:trHeight w:val="216"/>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eliminate Parent’s rights or any stockholder’s</w:t>
            </w:r>
          </w:p>
        </w:tc>
        <w:tc>
          <w:tcPr>
            <w:tcW w:w="3200" w:type="dxa"/>
            <w:vAlign w:val="bottom"/>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rights to seek non-monetary relief, such as</w:t>
            </w:r>
          </w:p>
        </w:tc>
        <w:tc>
          <w:tcPr>
            <w:tcW w:w="3200" w:type="dxa"/>
            <w:vAlign w:val="bottom"/>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injunctive relief or rescission. These provisions</w:t>
            </w:r>
          </w:p>
        </w:tc>
        <w:tc>
          <w:tcPr>
            <w:tcW w:w="3200" w:type="dxa"/>
            <w:vAlign w:val="bottom"/>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 not alter an officer or director’s liability</w:t>
            </w:r>
          </w:p>
        </w:tc>
        <w:tc>
          <w:tcPr>
            <w:tcW w:w="3200" w:type="dxa"/>
            <w:vAlign w:val="bottom"/>
          </w:tcPr>
          <w:p>
            <w:pPr>
              <w:spacing w:after="0"/>
              <w:rPr>
                <w:sz w:val="18"/>
                <w:szCs w:val="18"/>
                <w:color w:val="auto"/>
              </w:rPr>
            </w:pPr>
          </w:p>
        </w:tc>
      </w:tr>
      <w:tr>
        <w:trPr>
          <w:trHeight w:val="216"/>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under other laws, such as the federal securities</w:t>
            </w:r>
          </w:p>
        </w:tc>
        <w:tc>
          <w:tcPr>
            <w:tcW w:w="3200" w:type="dxa"/>
            <w:vAlign w:val="bottom"/>
          </w:tcPr>
          <w:p>
            <w:pPr>
              <w:spacing w:after="0"/>
              <w:rPr>
                <w:sz w:val="18"/>
                <w:szCs w:val="18"/>
                <w:color w:val="auto"/>
              </w:rPr>
            </w:pPr>
          </w:p>
        </w:tc>
      </w:tr>
      <w:tr>
        <w:trPr>
          <w:trHeight w:val="234"/>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laws or other state or federal laws.</w:t>
            </w:r>
          </w:p>
        </w:tc>
        <w:tc>
          <w:tcPr>
            <w:tcW w:w="3200" w:type="dxa"/>
            <w:vAlign w:val="bottom"/>
          </w:tcPr>
          <w:p>
            <w:pPr>
              <w:spacing w:after="0"/>
              <w:rPr>
                <w:sz w:val="20"/>
                <w:szCs w:val="20"/>
                <w:color w:val="auto"/>
              </w:rPr>
            </w:pPr>
          </w:p>
        </w:tc>
      </w:tr>
      <w:tr>
        <w:trPr>
          <w:trHeight w:val="319"/>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Parent’s certificate of incorporation authorizes it</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Obsidian’s bylaws provide that each</w:t>
            </w:r>
          </w:p>
        </w:tc>
      </w:tr>
      <w:tr>
        <w:trPr>
          <w:trHeight w:val="234"/>
        </w:trPr>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Officer</w:t>
            </w:r>
          </w:p>
        </w:tc>
      </w:tr>
      <w:tr>
        <w:trPr>
          <w:trHeight w:val="365"/>
        </w:trPr>
        <w:tc>
          <w:tcPr>
            <w:tcW w:w="354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-5622925</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0" w:num="2">
            <w:col w:w="4060" w:space="220"/>
            <w:col w:w="6860"/>
          </w:cols>
          <w:pgMar w:left="320" w:top="455" w:right="43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jc w:val="center"/>
        <w:ind w:left="200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Corporation shall indemnify</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each person who was or is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party or threatened to be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made a party to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threatened, pending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completed action, suit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proceeding, whether civil,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criminal, administrative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investigative (other than an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action by or in the right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Corporation) by reason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the fact that he or she is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was, or has agreed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become, a director or officer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the Corporation, or, while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 director or officer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Corporation, is or was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serving, or has agreed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serve, at the request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Corporation, as a director,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officer, partner, employee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trustee of, or in a similar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capacity with, another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corporation, partnership,</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joint venture, trust or other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enterprise (including,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without limitation,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employee benefit plan) (all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such persons being referred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to hereafter as an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“Indemnitee”), or by reason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any action alleged to have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been taken or omitted in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such capacity, against all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expenses (including, without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limitation, attorneys’ fees),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liabilities, losses, judgments,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indemnify its officers, directors and other agents to the fullest extent permitted under Delaware law.</w:t>
      </w:r>
    </w:p>
    <w:p>
      <w:pPr>
        <w:spacing w:after="0" w:line="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permitted by Delaware law, Parent’s bylaws provide that:</w:t>
      </w:r>
    </w:p>
    <w:p>
      <w:pPr>
        <w:spacing w:after="0" w:line="67" w:lineRule="exact"/>
        <w:rPr>
          <w:sz w:val="20"/>
          <w:szCs w:val="20"/>
          <w:color w:val="auto"/>
        </w:rPr>
      </w:pPr>
    </w:p>
    <w:p>
      <w:pPr>
        <w:ind w:left="380" w:right="200" w:hanging="283"/>
        <w:spacing w:after="0" w:line="266" w:lineRule="auto"/>
        <w:tabs>
          <w:tab w:leader="none" w:pos="3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indemnifies directors, officers, employees and other agents to the fullest extent permitted by law;</w:t>
      </w:r>
    </w:p>
    <w:p>
      <w:pPr>
        <w:spacing w:after="0" w:line="81" w:lineRule="exact"/>
        <w:rPr>
          <w:rFonts w:ascii="Times New Roman" w:cs="Times New Roman" w:eastAsia="Times New Roman" w:hAnsi="Times New Roman"/>
          <w:sz w:val="18"/>
          <w:szCs w:val="18"/>
          <w:color w:val="auto"/>
        </w:rPr>
      </w:pPr>
    </w:p>
    <w:p>
      <w:pPr>
        <w:ind w:left="380" w:hanging="283"/>
        <w:spacing w:after="0" w:line="258" w:lineRule="auto"/>
        <w:tabs>
          <w:tab w:leader="none" w:pos="3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must advance expenses to its directors and officers, and may advance expenses to its employees and other agents, in connection with a legal proceeding to the fullest extent permitted by law; and</w:t>
      </w:r>
    </w:p>
    <w:p>
      <w:pPr>
        <w:spacing w:after="0" w:line="88" w:lineRule="exact"/>
        <w:rPr>
          <w:rFonts w:ascii="Times New Roman" w:cs="Times New Roman" w:eastAsia="Times New Roman" w:hAnsi="Times New Roman"/>
          <w:sz w:val="18"/>
          <w:szCs w:val="18"/>
          <w:color w:val="auto"/>
        </w:rPr>
      </w:pPr>
    </w:p>
    <w:p>
      <w:pPr>
        <w:ind w:left="380" w:right="300" w:hanging="283"/>
        <w:spacing w:after="0" w:line="282" w:lineRule="auto"/>
        <w:tabs>
          <w:tab w:leader="none" w:pos="38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provided in its bylaws are not exclusive.</w:t>
      </w:r>
    </w:p>
    <w:p>
      <w:pPr>
        <w:spacing w:after="0" w:line="6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If Delaware law is amended to authorize corporate action further eliminating or limiting the personal liability of a director or officer, then the liability of Parent’s directors or officers will be so eliminated or limited to the fullest extent permitted by Delaware law, as so amended. Parent’s bylaws will also permit it to secure insurance on behalf of any officer, director, employee or other agent for any liability arising out of his or her actions in connection with their services to Parent, regardless of whether its bylaws permit such indemnification. Parent has obtained such insurance.</w:t>
      </w:r>
    </w:p>
    <w:p>
      <w:pPr>
        <w:spacing w:after="0" w:line="30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to the indemnification that is provided for in the certificate of incorporation and bylaws, Parent has entered into separate indemnification agreements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shall be indemnified and held harmless by the Corporation to the fullest extent authorized by the DGCL Further, the investors’ rights agreement contains customary cross-indemnification provisions, under which Obsidian is obligated to indemnify holders of registrable securities in the event of material misstatements or omissions in the registration statement attributable to Obsidian, and they are obligated to indemnify Obsidian for material misstatements or omissions attributable to them.</w:t>
      </w:r>
    </w:p>
    <w:p>
      <w:pPr>
        <w:spacing w:after="0" w:line="5089" w:lineRule="exact"/>
        <w:rPr>
          <w:sz w:val="20"/>
          <w:szCs w:val="20"/>
          <w:color w:val="auto"/>
        </w:rPr>
      </w:pPr>
    </w:p>
    <w:p>
      <w:pPr>
        <w:sectPr>
          <w:pgSz w:w="11900" w:h="16838" w:orient="portrait"/>
          <w:cols w:equalWidth="0" w:num="3">
            <w:col w:w="4060" w:space="220"/>
            <w:col w:w="3520" w:space="140"/>
            <w:col w:w="3060"/>
          </w:cols>
          <w:pgMar w:left="320" w:top="455" w:right="579" w:bottom="1440" w:gutter="0" w:footer="0" w:header="0"/>
        </w:sectPr>
      </w:pPr>
    </w:p>
    <w:p>
      <w:pPr>
        <w:jc w:val="center"/>
        <w:ind w:right="-239"/>
        <w:spacing w:after="0"/>
        <w:rPr>
          <w:sz w:val="20"/>
          <w:szCs w:val="20"/>
          <w:color w:val="auto"/>
        </w:rPr>
      </w:pPr>
      <w:r>
        <w:rPr>
          <w:rFonts w:ascii="Times New Roman" w:cs="Times New Roman" w:eastAsia="Times New Roman" w:hAnsi="Times New Roman"/>
          <w:sz w:val="18"/>
          <w:szCs w:val="18"/>
          <w:color w:val="auto"/>
        </w:rPr>
        <w:t>350</w:t>
      </w:r>
    </w:p>
    <w:p>
      <w:pPr>
        <w:sectPr>
          <w:pgSz w:w="11900" w:h="16838" w:orient="portrait"/>
          <w:cols w:equalWidth="0" w:num="1">
            <w:col w:w="11000"/>
          </w:cols>
          <w:pgMar w:left="320" w:top="455" w:right="579" w:bottom="1440" w:gutter="0" w:footer="0" w:header="0"/>
          <w:type w:val="continuous"/>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fines (including, without</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limitation, excise taxes and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penalties arising under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Employee Retirement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Income Security Act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1974), and amounts paid in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settlement actually and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reasonably incurred by or 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behalf of Indemnitee in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connection with such action,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suit or proceeding and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appeal therefrom, if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Indemnitee acted in good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faith and in a manner which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Indemnitee reasonably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believed to be in, or not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opposed to, the best interests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of the Corporation, and, with</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respect to any criminal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action or proceeding, had no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reasonable cause to believe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his or her conduct was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unlawful. The termination of</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any action, suit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proceeding by judgment,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order, settlement, conviction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upon a plea of nolo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contendere or its equivalent,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shall not, of itself, create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presumption that Indemnitee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did not act in good faith and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 a manner which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Indemnitee reasonably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believed to be in, or not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opposed to, the best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both"/>
        <w:ind w:left="1560"/>
        <w:spacing w:after="0"/>
        <w:tabs>
          <w:tab w:leader="none" w:pos="4960" w:val="left"/>
        </w:tabs>
        <w:rPr>
          <w:sz w:val="20"/>
          <w:szCs w:val="20"/>
          <w:color w:val="auto"/>
        </w:rPr>
      </w:pPr>
      <w:r>
        <w:rPr>
          <w:rFonts w:ascii="Times New Roman" w:cs="Times New Roman" w:eastAsia="Times New Roman" w:hAnsi="Times New Roman"/>
          <w:sz w:val="14"/>
          <w:szCs w:val="14"/>
          <w:b w:val="1"/>
          <w:bCs w:val="1"/>
          <w:color w:val="auto"/>
        </w:rPr>
        <w:t>Parent</w:t>
      </w:r>
      <w:r>
        <w:rPr>
          <w:sz w:val="20"/>
          <w:szCs w:val="20"/>
          <w:color w:val="auto"/>
        </w:rPr>
        <w:tab/>
      </w: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434594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9" w:lineRule="exact"/>
        <w:rPr>
          <w:sz w:val="20"/>
          <w:szCs w:val="20"/>
          <w:color w:val="auto"/>
        </w:rPr>
      </w:pPr>
    </w:p>
    <w:p>
      <w:pPr>
        <w:ind w:right="2339"/>
        <w:spacing w:after="0" w:line="252" w:lineRule="auto"/>
        <w:rPr>
          <w:sz w:val="20"/>
          <w:szCs w:val="20"/>
          <w:color w:val="auto"/>
        </w:rPr>
      </w:pPr>
      <w:r>
        <w:rPr>
          <w:rFonts w:ascii="Times New Roman" w:cs="Times New Roman" w:eastAsia="Times New Roman" w:hAnsi="Times New Roman"/>
          <w:sz w:val="18"/>
          <w:szCs w:val="18"/>
          <w:color w:val="auto"/>
        </w:rPr>
        <w:t>with each of its directors and executive officers, which may be broader than the specific indemnification provisions contained in the DGCL. These indemnification agreements may require Parent, among other things, to indemnify its directors and executive officers for some expenses, including attorneys’ fees, expenses, judgments, fines and settlement amounts incurred by a director or executive officer in any action or proceeding arising out of his service as one of Parent’s directors or executive officers or any other company or enterprise to which the person provides services at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351</w:t>
      </w:r>
    </w:p>
    <w:p>
      <w:pPr>
        <w:sectPr>
          <w:pgSz w:w="11900" w:h="16838" w:orient="portrait"/>
          <w:cols w:equalWidth="0" w:num="2">
            <w:col w:w="4060" w:space="220"/>
            <w:col w:w="5859"/>
          </w:cols>
          <w:pgMar w:left="320" w:top="455" w:right="1440"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interests of the Corporation,</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 with respect to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criminal action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proceeding, had reasonable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cause to believe that his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her conduct was unlawful.</w:t>
      </w:r>
    </w:p>
    <w:p>
      <w:pPr>
        <w:spacing w:after="0" w:line="9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Corporation shall</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indemnify any Indemnitee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who was or is a party to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threatened to be made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party to any threatened,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pending or completed action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suit by or in the right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Corporation to procure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judgment in its favor by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reason of the fact that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Indemnitee is or was, or has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agreed to become, a director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or officer of the Corporation,</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or, while a director or officer</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the Corporation, is or was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serving, or has agreed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serve, at the request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Corporation, as a director,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officer, partner, employee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trustee of, or in a similar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capacity with, another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corporation, partnership,</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joint venture, trust or other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enterprise (including,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without limitation,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employee benefit plan),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by reason of any action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alleged to have been taken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omitted in such capacity,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against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Parents’ stockholders do not have preemptive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Major Investors (as defined in the investors rights agreement) are entitled to preemptive rights pursuant to the terms of the investors’ rights agreement. Such preemptive rights are not applicable to Exempted Securities (as defined in the certificate of incorporation) or shares of common stock issues in the initial public offering or any underwritten public offering.</w:t>
      </w:r>
    </w:p>
    <w:p>
      <w:pPr>
        <w:sectPr>
          <w:pgSz w:w="11900" w:h="16838" w:orient="portrait"/>
          <w:cols w:equalWidth="0" w:num="3">
            <w:col w:w="4060" w:space="220"/>
            <w:col w:w="3300" w:space="360"/>
            <w:col w:w="3180"/>
          </w:cols>
          <w:pgMar w:left="320" w:top="455" w:right="45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2820"/>
        <w:spacing w:after="0"/>
        <w:tabs>
          <w:tab w:leader="none" w:pos="5820" w:val="left"/>
          <w:tab w:leader="none" w:pos="9240" w:val="left"/>
        </w:tabs>
        <w:rPr>
          <w:sz w:val="20"/>
          <w:szCs w:val="20"/>
          <w:color w:val="auto"/>
        </w:rPr>
      </w:pPr>
      <w:r>
        <w:rPr>
          <w:rFonts w:ascii="Times New Roman" w:cs="Times New Roman" w:eastAsia="Times New Roman" w:hAnsi="Times New Roman"/>
          <w:sz w:val="14"/>
          <w:szCs w:val="14"/>
          <w:b w:val="1"/>
          <w:bCs w:val="1"/>
          <w:color w:val="auto"/>
        </w:rPr>
        <w:t>Galera</w:t>
      </w:r>
      <w:r>
        <w:rPr>
          <w:sz w:val="20"/>
          <w:szCs w:val="20"/>
          <w:color w:val="auto"/>
        </w:rPr>
        <w:tab/>
      </w:r>
      <w:r>
        <w:rPr>
          <w:rFonts w:ascii="Times New Roman" w:cs="Times New Roman" w:eastAsia="Times New Roman" w:hAnsi="Times New Roman"/>
          <w:sz w:val="14"/>
          <w:szCs w:val="14"/>
          <w:b w:val="1"/>
          <w:bCs w:val="1"/>
          <w:color w:val="auto"/>
        </w:rPr>
        <w:t>Parent</w:t>
      </w:r>
      <w:r>
        <w:rPr>
          <w:sz w:val="20"/>
          <w:szCs w:val="20"/>
          <w:color w:val="auto"/>
        </w:rPr>
        <w:tab/>
      </w: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58121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expenses (including, without</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limitation, attorneys’ fees)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actually and reasonably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incurred by or on behalf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Indemnitee in connection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 such action, suit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proceeding and any appeal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therefrom, if Indemnitee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acted in good faith and in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manner which Indemnitee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reasonably believed to be in,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not opposed to, the best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interests of the Corporation,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except that no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indemnification shall be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made in respect of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claim, issue or matter as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which Indemnitee shall have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been adjudged to be liable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Corporation, unless, and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only to the extent, that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Court of Chancery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Delaware or the court in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which such action or suit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was brought shall determine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upon application that,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despite the adjudication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such liability but in view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all the circumstances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case, Indemnitee is fairly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 reasonably entitled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indemnity for such expenses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(including, without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limitation, attorneys’ fees)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which the Court of Chancery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Delaware or such</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353</w:t>
      </w:r>
    </w:p>
    <w:p>
      <w:pPr>
        <w:sectPr>
          <w:pgSz w:w="11900" w:h="16838" w:orient="portrait"/>
          <w:cols w:equalWidth="0" w:num="1">
            <w:col w:w="10139"/>
          </w:cols>
          <w:pgMar w:left="320" w:top="455" w:right="1440"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2820"/>
        <w:spacing w:after="0"/>
        <w:tabs>
          <w:tab w:leader="none" w:pos="5820" w:val="left"/>
          <w:tab w:leader="none" w:pos="9240" w:val="left"/>
        </w:tabs>
        <w:rPr>
          <w:sz w:val="20"/>
          <w:szCs w:val="20"/>
          <w:color w:val="auto"/>
        </w:rPr>
      </w:pPr>
      <w:r>
        <w:rPr>
          <w:rFonts w:ascii="Times New Roman" w:cs="Times New Roman" w:eastAsia="Times New Roman" w:hAnsi="Times New Roman"/>
          <w:sz w:val="14"/>
          <w:szCs w:val="14"/>
          <w:b w:val="1"/>
          <w:bCs w:val="1"/>
          <w:color w:val="auto"/>
        </w:rPr>
        <w:t>Galera</w:t>
      </w:r>
      <w:r>
        <w:rPr>
          <w:sz w:val="20"/>
          <w:szCs w:val="20"/>
          <w:color w:val="auto"/>
        </w:rPr>
        <w:tab/>
      </w:r>
      <w:r>
        <w:rPr>
          <w:rFonts w:ascii="Times New Roman" w:cs="Times New Roman" w:eastAsia="Times New Roman" w:hAnsi="Times New Roman"/>
          <w:sz w:val="14"/>
          <w:szCs w:val="14"/>
          <w:b w:val="1"/>
          <w:bCs w:val="1"/>
          <w:color w:val="auto"/>
        </w:rPr>
        <w:t>Parent</w:t>
      </w:r>
      <w:r>
        <w:rPr>
          <w:sz w:val="20"/>
          <w:szCs w:val="20"/>
          <w:color w:val="auto"/>
        </w:rPr>
        <w:tab/>
      </w: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58121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812155" cy="8255"/>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other court shall deem</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proper.</w:t>
      </w:r>
    </w:p>
    <w:p>
      <w:pPr>
        <w:spacing w:after="0" w:line="1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Galera’s bylaws further</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provide that in the event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any threatened or pending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action, suit, proceeding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investigation of which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Corporation receives notice,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any expenses (including,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without limitation,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attorneys’ fees) incurred by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on behalf of Indemnitee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 defending an action, suit,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proceeding or investigation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any appeal therefrom</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shall be paid by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Corporation in advance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final disposition of such</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matter to the fullest extent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permitted by law; provided,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however, that, to the extent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required by law, the payment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such expenses incurred by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on behalf of Indemnitee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 advance of the final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disposition of such matter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shall be made only upon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receipt of an undertaking by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or on behalf of Indemnitee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to repay all amounts so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advanced in the event that it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shall ultimately be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determined by final judicial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decision from which there is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 further right to appeal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that Indemnitee is not</w:t>
      </w:r>
    </w:p>
    <w:p>
      <w:pPr>
        <w:spacing w:after="0" w:line="15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354</w:t>
      </w:r>
    </w:p>
    <w:p>
      <w:pPr>
        <w:sectPr>
          <w:pgSz w:w="11900" w:h="16838" w:orient="portrait"/>
          <w:cols w:equalWidth="0" w:num="1">
            <w:col w:w="10139"/>
          </w:cols>
          <w:pgMar w:left="320" w:top="455" w:right="1440"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entitled to be indemnified by</w:t>
      </w:r>
    </w:p>
    <w:p>
      <w:pPr>
        <w:spacing w:after="0" w:line="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Corporation 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authorized in Article IX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Galera bylaws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otherwise.</w:t>
      </w:r>
    </w:p>
    <w:p>
      <w:pPr>
        <w:spacing w:after="0" w:line="1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indemnification and</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advancement of expenses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shall not be deemed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exclusive of any other rights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to which an Indemnitee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seeking indemnification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advancement of expenses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may be entitled under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law (common or statutory),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agreement or vote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or disinterested</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14"/>
          <w:szCs w:val="14"/>
          <w:b w:val="1"/>
          <w:bCs w:val="1"/>
          <w:color w:val="auto"/>
        </w:rPr>
        <w:t>Parent</w:t>
      </w:r>
      <w:r>
        <w:rPr>
          <w:sz w:val="20"/>
          <w:szCs w:val="20"/>
          <w:color w:val="auto"/>
        </w:rPr>
        <w:tab/>
      </w: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-634365</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-985520</wp:posOffset>
            </wp:positionH>
            <wp:positionV relativeFrom="paragraph">
              <wp:posOffset>16510</wp:posOffset>
            </wp:positionV>
            <wp:extent cx="434594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3931" w:lineRule="exact"/>
        <w:rPr>
          <w:sz w:val="20"/>
          <w:szCs w:val="20"/>
          <w:color w:val="auto"/>
        </w:rPr>
      </w:pPr>
    </w:p>
    <w:p>
      <w:pPr>
        <w:sectPr>
          <w:pgSz w:w="11900" w:h="16838" w:orient="portrait"/>
          <w:cols w:equalWidth="0" w:num="2">
            <w:col w:w="5120" w:space="720"/>
            <w:col w:w="5280"/>
          </w:cols>
          <w:pgMar w:left="320" w:top="455" w:right="459" w:bottom="1440" w:gutter="0" w:footer="0" w:header="0"/>
        </w:sectPr>
      </w:pPr>
    </w:p>
    <w:p>
      <w:pPr>
        <w:ind w:left="1980" w:hanging="1862"/>
        <w:spacing w:after="0" w:line="282" w:lineRule="auto"/>
        <w:tabs>
          <w:tab w:leader="none" w:pos="1960" w:val="left"/>
        </w:tabs>
        <w:rPr>
          <w:sz w:val="20"/>
          <w:szCs w:val="20"/>
          <w:color w:val="auto"/>
        </w:rPr>
      </w:pPr>
      <w:r>
        <w:rPr>
          <w:rFonts w:ascii="Times New Roman" w:cs="Times New Roman" w:eastAsia="Times New Roman" w:hAnsi="Times New Roman"/>
          <w:sz w:val="18"/>
          <w:szCs w:val="18"/>
          <w:b w:val="1"/>
          <w:bCs w:val="1"/>
          <w:color w:val="auto"/>
        </w:rPr>
        <w:t>Preemptive Rights</w:t>
      </w:r>
      <w:r>
        <w:rPr>
          <w:sz w:val="20"/>
          <w:szCs w:val="20"/>
          <w:color w:val="auto"/>
        </w:rPr>
        <w:tab/>
      </w:r>
      <w:r>
        <w:rPr>
          <w:rFonts w:ascii="Times New Roman" w:cs="Times New Roman" w:eastAsia="Times New Roman" w:hAnsi="Times New Roman"/>
          <w:sz w:val="18"/>
          <w:szCs w:val="18"/>
          <w:color w:val="auto"/>
        </w:rPr>
        <w:t>Galera’s stockholders do not have preemptive rights.</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Parents’ stockholders do not have preemptive rights.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Times New Roman" w:cs="Times New Roman" w:eastAsia="Times New Roman" w:hAnsi="Times New Roman"/>
          <w:sz w:val="17"/>
          <w:szCs w:val="17"/>
          <w:color w:val="auto"/>
        </w:rPr>
        <w:t>Major Investors (as defined in the investors rights agreement) are entitled to preemptive rights pursuant to the terms of the investors’ rights agreement. Such preemptive rights are not applicable to Exempted Securities (as defined in the certificate of incorporation) or shares of common stock issues in the initial public offering or any underwritten public offering.</w:t>
      </w:r>
    </w:p>
    <w:p>
      <w:pPr>
        <w:spacing w:after="0" w:line="61" w:lineRule="exact"/>
        <w:rPr>
          <w:sz w:val="20"/>
          <w:szCs w:val="20"/>
          <w:color w:val="auto"/>
        </w:rPr>
      </w:pPr>
    </w:p>
    <w:p>
      <w:pPr>
        <w:sectPr>
          <w:pgSz w:w="11900" w:h="16838" w:orient="portrait"/>
          <w:cols w:equalWidth="0" w:num="3">
            <w:col w:w="4040" w:space="240"/>
            <w:col w:w="3300" w:space="360"/>
            <w:col w:w="3180"/>
          </w:cols>
          <w:pgMar w:left="320" w:top="455" w:right="459" w:bottom="1440" w:gutter="0" w:footer="0" w:header="0"/>
          <w:type w:val="continuous"/>
        </w:sect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Dividends and Share</w:t>
      </w:r>
      <w:r>
        <w:rPr>
          <w:sz w:val="20"/>
          <w:szCs w:val="20"/>
          <w:color w:val="auto"/>
        </w:rPr>
        <w:tab/>
      </w:r>
      <w:r>
        <w:rPr>
          <w:rFonts w:ascii="Times New Roman" w:cs="Times New Roman" w:eastAsia="Times New Roman" w:hAnsi="Times New Roman"/>
          <w:sz w:val="18"/>
          <w:szCs w:val="18"/>
          <w:color w:val="auto"/>
        </w:rPr>
        <w:t>The Galera Charter provides</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Repurchases</w:t>
      </w:r>
      <w:r>
        <w:rPr>
          <w:sz w:val="20"/>
          <w:szCs w:val="20"/>
          <w:color w:val="auto"/>
        </w:rPr>
        <w:tab/>
      </w:r>
      <w:r>
        <w:rPr>
          <w:rFonts w:ascii="Times New Roman" w:cs="Times New Roman" w:eastAsia="Times New Roman" w:hAnsi="Times New Roman"/>
          <w:sz w:val="18"/>
          <w:szCs w:val="18"/>
          <w:color w:val="auto"/>
        </w:rPr>
        <w:t>that dividends may be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declared and paid on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 common stock if, 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 when determined by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 Board, subject to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preferential dividend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other rights of any then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outstanding Preferred</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Holders of Parent’s common stock are entitled to receive ratably any dividends declared by Parent’s board of directors out of funds legally available for that purpose, subject to any preferential dividend rights of any outstanding preferred stock.</w:t>
      </w:r>
    </w:p>
    <w:p>
      <w:pPr>
        <w:spacing w:after="0" w:line="20" w:lineRule="exact"/>
        <w:rPr>
          <w:sz w:val="20"/>
          <w:szCs w:val="20"/>
          <w:color w:val="auto"/>
        </w:rPr>
      </w:pPr>
      <w:r>
        <w:rPr>
          <w:sz w:val="20"/>
          <w:szCs w:val="20"/>
          <w:color w:val="auto"/>
        </w:rPr>
        <w:br w:type="column"/>
      </w:r>
    </w:p>
    <w:p>
      <w:pPr>
        <w:ind w:right="120"/>
        <w:spacing w:after="0" w:line="254" w:lineRule="auto"/>
        <w:rPr>
          <w:sz w:val="20"/>
          <w:szCs w:val="20"/>
          <w:color w:val="auto"/>
        </w:rPr>
      </w:pPr>
      <w:r>
        <w:rPr>
          <w:rFonts w:ascii="Times New Roman" w:cs="Times New Roman" w:eastAsia="Times New Roman" w:hAnsi="Times New Roman"/>
          <w:sz w:val="18"/>
          <w:szCs w:val="18"/>
          <w:color w:val="auto"/>
        </w:rPr>
        <w:t>The Preferred Stockholders are entitled to receive, prior to the payment of any dividend on the common stock, a dividend on each outstanding share of preferred stock on an as converted to common stock basis immediately prior to the record date. Any such dividends shall be payable only when, as, and if declared</w:t>
      </w:r>
    </w:p>
    <w:p>
      <w:pPr>
        <w:spacing w:after="0" w:line="339" w:lineRule="exact"/>
        <w:rPr>
          <w:sz w:val="20"/>
          <w:szCs w:val="20"/>
          <w:color w:val="auto"/>
        </w:rPr>
      </w:pPr>
    </w:p>
    <w:p>
      <w:pPr>
        <w:sectPr>
          <w:pgSz w:w="11900" w:h="16838" w:orient="portrait"/>
          <w:cols w:equalWidth="0" w:num="3">
            <w:col w:w="4040" w:space="240"/>
            <w:col w:w="3540" w:space="120"/>
            <w:col w:w="3180"/>
          </w:cols>
          <w:pgMar w:left="320" w:top="455"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color w:val="auto"/>
        </w:rPr>
        <w:t>355</w:t>
      </w:r>
    </w:p>
    <w:p>
      <w:pPr>
        <w:sectPr>
          <w:pgSz w:w="11900" w:h="16838" w:orient="portrait"/>
          <w:cols w:equalWidth="0" w:num="1">
            <w:col w:w="11120"/>
          </w:cols>
          <w:pgMar w:left="320" w:top="455" w:right="459" w:bottom="1440" w:gutter="0" w:footer="0" w:header="0"/>
          <w:type w:val="continuous"/>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860" w:type="dxa"/>
            <w:vAlign w:val="bottom"/>
          </w:tcPr>
          <w:p>
            <w:pPr>
              <w:spacing w:after="0"/>
              <w:rPr>
                <w:sz w:val="16"/>
                <w:szCs w:val="16"/>
                <w:color w:val="auto"/>
              </w:rPr>
            </w:pPr>
          </w:p>
        </w:tc>
        <w:tc>
          <w:tcPr>
            <w:tcW w:w="21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Galera</w:t>
            </w:r>
          </w:p>
        </w:tc>
      </w:tr>
      <w:tr>
        <w:trPr>
          <w:trHeight w:val="191"/>
        </w:trPr>
        <w:tc>
          <w:tcPr>
            <w:tcW w:w="1860" w:type="dxa"/>
            <w:vAlign w:val="bottom"/>
          </w:tcPr>
          <w:p>
            <w:pPr>
              <w:spacing w:after="0"/>
              <w:rPr>
                <w:sz w:val="16"/>
                <w:szCs w:val="16"/>
                <w:color w:val="auto"/>
              </w:rPr>
            </w:pPr>
          </w:p>
        </w:tc>
        <w:tc>
          <w:tcPr>
            <w:tcW w:w="2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Stock and to the</w:t>
            </w:r>
          </w:p>
        </w:tc>
      </w:tr>
      <w:tr>
        <w:trPr>
          <w:trHeight w:val="216"/>
        </w:trPr>
        <w:tc>
          <w:tcPr>
            <w:tcW w:w="186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of applicable</w:t>
            </w:r>
          </w:p>
        </w:tc>
      </w:tr>
      <w:tr>
        <w:trPr>
          <w:trHeight w:val="234"/>
        </w:trPr>
        <w:tc>
          <w:tcPr>
            <w:tcW w:w="186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law.</w:t>
            </w:r>
          </w:p>
        </w:tc>
      </w:tr>
      <w:tr>
        <w:trPr>
          <w:trHeight w:val="302"/>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 Rights</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Galera does not currently</w:t>
            </w:r>
          </w:p>
        </w:tc>
      </w:t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have a stockholders’ rights</w:t>
            </w:r>
          </w:p>
        </w:tc>
      </w:tr>
      <w:tr>
        <w:trPr>
          <w:trHeight w:val="234"/>
        </w:trPr>
        <w:tc>
          <w:tcPr>
            <w:tcW w:w="186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plan in effect.</w:t>
            </w:r>
          </w:p>
        </w:tc>
      </w:tr>
      <w:tr>
        <w:trPr>
          <w:trHeight w:val="306"/>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Restrictions</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Galera does not have</w:t>
            </w:r>
          </w:p>
        </w:tc>
      </w:tr>
      <w:tr>
        <w:trPr>
          <w:trHeight w:val="234"/>
        </w:trPr>
        <w:tc>
          <w:tcPr>
            <w:tcW w:w="186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transfer restrictions.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Parent does not currently have a stockholders’ rights plan in effect.</w:t>
      </w:r>
    </w:p>
    <w:p>
      <w:pPr>
        <w:spacing w:after="0" w:line="27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Holders of Parent’s common stock are transferable in the manner prescribed by the DGCL.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Obsidian’s board of directors.</w:t>
      </w:r>
    </w:p>
    <w:p>
      <w:pPr>
        <w:spacing w:after="0" w:line="200" w:lineRule="exact"/>
        <w:rPr>
          <w:sz w:val="20"/>
          <w:szCs w:val="20"/>
          <w:color w:val="auto"/>
        </w:rPr>
      </w:pPr>
    </w:p>
    <w:p>
      <w:pPr>
        <w:spacing w:after="0" w:line="341" w:lineRule="exact"/>
        <w:rPr>
          <w:sz w:val="20"/>
          <w:szCs w:val="20"/>
          <w:color w:val="auto"/>
        </w:rPr>
      </w:pPr>
    </w:p>
    <w:p>
      <w:pPr>
        <w:jc w:val="both"/>
        <w:ind w:right="680"/>
        <w:spacing w:after="0" w:line="312" w:lineRule="auto"/>
        <w:rPr>
          <w:sz w:val="20"/>
          <w:szCs w:val="20"/>
          <w:color w:val="auto"/>
        </w:rPr>
      </w:pPr>
      <w:r>
        <w:rPr>
          <w:rFonts w:ascii="Times New Roman" w:cs="Times New Roman" w:eastAsia="Times New Roman" w:hAnsi="Times New Roman"/>
          <w:sz w:val="17"/>
          <w:szCs w:val="17"/>
          <w:color w:val="auto"/>
        </w:rPr>
        <w:t>Obsidian does not currently have a stockholders’ rights plan in effect.</w:t>
      </w:r>
    </w:p>
    <w:p>
      <w:pPr>
        <w:spacing w:after="0" w:line="2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right of first refusal and co-sale agreement grants Obsidian a right of first refusal to purchase all or any portion of transfer stock that a key holder may propose to transfer in a proposed key holder transfer, at the same price and on the same terms and conditions as those offered to the prospective transferee. In the event Obsidian does not exercise such right, the investors that are a party to such right of first refusal and co-sale agreement have a right to purchase all or any portion of the transfer stock not purchased by Obsidian.</w:t>
      </w:r>
    </w:p>
    <w:p>
      <w:pPr>
        <w:spacing w:after="0" w:line="75" w:lineRule="exact"/>
        <w:rPr>
          <w:sz w:val="20"/>
          <w:szCs w:val="20"/>
          <w:color w:val="auto"/>
        </w:rPr>
      </w:pPr>
    </w:p>
    <w:p>
      <w:pPr>
        <w:sectPr>
          <w:pgSz w:w="11900" w:h="16838" w:orient="portrait"/>
          <w:cols w:equalWidth="0" w:num="3">
            <w:col w:w="4080" w:space="200"/>
            <w:col w:w="3340" w:space="320"/>
            <w:col w:w="3180"/>
          </w:cols>
          <w:pgMar w:left="320" w:top="455" w:right="459" w:bottom="1440" w:gutter="0" w:footer="0" w:header="0"/>
        </w:sect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Business</w:t>
      </w:r>
      <w:r>
        <w:rPr>
          <w:sz w:val="20"/>
          <w:szCs w:val="20"/>
          <w:color w:val="auto"/>
        </w:rPr>
        <w:tab/>
      </w:r>
      <w:r>
        <w:rPr>
          <w:rFonts w:ascii="Times New Roman" w:cs="Times New Roman" w:eastAsia="Times New Roman" w:hAnsi="Times New Roman"/>
          <w:sz w:val="18"/>
          <w:szCs w:val="18"/>
          <w:color w:val="auto"/>
        </w:rPr>
        <w:t>Galera has not opted out of</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Combination or</w:t>
      </w:r>
      <w:r>
        <w:rPr>
          <w:sz w:val="20"/>
          <w:szCs w:val="20"/>
          <w:color w:val="auto"/>
        </w:rPr>
        <w:tab/>
      </w:r>
      <w:r>
        <w:rPr>
          <w:rFonts w:ascii="Times New Roman" w:cs="Times New Roman" w:eastAsia="Times New Roman" w:hAnsi="Times New Roman"/>
          <w:sz w:val="17"/>
          <w:szCs w:val="17"/>
          <w:color w:val="auto"/>
        </w:rPr>
        <w:t>the protections of</w:t>
      </w:r>
    </w:p>
    <w:p>
      <w:pPr>
        <w:spacing w:after="0" w:line="9"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Antitakeover</w:t>
      </w:r>
      <w:r>
        <w:rPr>
          <w:sz w:val="20"/>
          <w:szCs w:val="20"/>
          <w:color w:val="auto"/>
        </w:rPr>
        <w:tab/>
      </w:r>
      <w:r>
        <w:rPr>
          <w:rFonts w:ascii="Times New Roman" w:cs="Times New Roman" w:eastAsia="Times New Roman" w:hAnsi="Times New Roman"/>
          <w:sz w:val="18"/>
          <w:szCs w:val="18"/>
          <w:color w:val="auto"/>
        </w:rPr>
        <w:t>Section 203 of the DGCL.</w:t>
      </w:r>
    </w:p>
    <w:p>
      <w:pPr>
        <w:spacing w:after="0" w:line="9"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Statutes</w:t>
      </w:r>
      <w:r>
        <w:rPr>
          <w:sz w:val="20"/>
          <w:szCs w:val="20"/>
          <w:color w:val="auto"/>
        </w:rPr>
        <w:tab/>
      </w:r>
      <w:r>
        <w:rPr>
          <w:rFonts w:ascii="Times New Roman" w:cs="Times New Roman" w:eastAsia="Times New Roman" w:hAnsi="Times New Roman"/>
          <w:sz w:val="18"/>
          <w:szCs w:val="18"/>
          <w:color w:val="auto"/>
        </w:rPr>
        <w:t>As a result, the statute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applies to Galera.</w:t>
      </w:r>
    </w:p>
    <w:p>
      <w:pPr>
        <w:spacing w:after="0" w:line="95"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Appraisal Rights</w:t>
      </w:r>
      <w:r>
        <w:rPr>
          <w:sz w:val="20"/>
          <w:szCs w:val="20"/>
          <w:color w:val="auto"/>
        </w:rPr>
        <w:tab/>
      </w:r>
      <w:r>
        <w:rPr>
          <w:rFonts w:ascii="Times New Roman" w:cs="Times New Roman" w:eastAsia="Times New Roman" w:hAnsi="Times New Roman"/>
          <w:sz w:val="18"/>
          <w:szCs w:val="18"/>
          <w:color w:val="auto"/>
        </w:rPr>
        <w:t>Neither the Galera charter</w:t>
      </w:r>
    </w:p>
    <w:p>
      <w:pPr>
        <w:spacing w:after="0" w:line="3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nor bylaws provide for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appraisal rights in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additional circumstance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other than as required by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applicable law.</w:t>
      </w:r>
    </w:p>
    <w:p>
      <w:pPr>
        <w:spacing w:after="0" w:line="95"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Forum for</w:t>
      </w:r>
      <w:r>
        <w:rPr>
          <w:sz w:val="20"/>
          <w:szCs w:val="20"/>
          <w:color w:val="auto"/>
        </w:rPr>
        <w:tab/>
      </w:r>
      <w:r>
        <w:rPr>
          <w:rFonts w:ascii="Times New Roman" w:cs="Times New Roman" w:eastAsia="Times New Roman" w:hAnsi="Times New Roman"/>
          <w:sz w:val="18"/>
          <w:szCs w:val="18"/>
          <w:color w:val="auto"/>
        </w:rPr>
        <w:t>The Galera Charter provides</w:t>
      </w:r>
    </w:p>
    <w:p>
      <w:pPr>
        <w:spacing w:after="0" w:line="31"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Adjudication of</w:t>
      </w:r>
      <w:r>
        <w:rPr>
          <w:sz w:val="20"/>
          <w:szCs w:val="20"/>
          <w:color w:val="auto"/>
        </w:rPr>
        <w:tab/>
      </w:r>
      <w:r>
        <w:rPr>
          <w:rFonts w:ascii="Times New Roman" w:cs="Times New Roman" w:eastAsia="Times New Roman" w:hAnsi="Times New Roman"/>
          <w:sz w:val="17"/>
          <w:szCs w:val="17"/>
          <w:color w:val="auto"/>
        </w:rPr>
        <w:t>that, unless Galera consents</w:t>
      </w:r>
    </w:p>
    <w:p>
      <w:pPr>
        <w:spacing w:after="0" w:line="9" w:lineRule="exact"/>
        <w:rPr>
          <w:sz w:val="20"/>
          <w:szCs w:val="20"/>
          <w:color w:val="auto"/>
        </w:rPr>
      </w:pPr>
    </w:p>
    <w:p>
      <w:pPr>
        <w:ind w:left="120"/>
        <w:spacing w:after="0"/>
        <w:tabs>
          <w:tab w:leader="none" w:pos="1960" w:val="left"/>
        </w:tabs>
        <w:rPr>
          <w:sz w:val="20"/>
          <w:szCs w:val="20"/>
          <w:color w:val="auto"/>
        </w:rPr>
      </w:pPr>
      <w:r>
        <w:rPr>
          <w:rFonts w:ascii="Times New Roman" w:cs="Times New Roman" w:eastAsia="Times New Roman" w:hAnsi="Times New Roman"/>
          <w:sz w:val="18"/>
          <w:szCs w:val="18"/>
          <w:b w:val="1"/>
          <w:bCs w:val="1"/>
          <w:color w:val="auto"/>
        </w:rPr>
        <w:t>Disputes</w:t>
      </w:r>
      <w:r>
        <w:rPr>
          <w:sz w:val="20"/>
          <w:szCs w:val="20"/>
          <w:color w:val="auto"/>
        </w:rPr>
        <w:tab/>
      </w:r>
      <w:r>
        <w:rPr>
          <w:rFonts w:ascii="Times New Roman" w:cs="Times New Roman" w:eastAsia="Times New Roman" w:hAnsi="Times New Roman"/>
          <w:sz w:val="18"/>
          <w:szCs w:val="18"/>
          <w:color w:val="auto"/>
        </w:rPr>
        <w:t>in writing to the selection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 alternative forum,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Court of Chancery of</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Parent is subject to the provisions of Section 203 of the DGCL.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Neither Parent’s certificate of incorporation nor bylaws provide for appraisal rights in any additional circumstance other than as required by applicable law.</w:t>
      </w:r>
    </w:p>
    <w:p>
      <w:pPr>
        <w:spacing w:after="0" w:line="200" w:lineRule="exact"/>
        <w:rPr>
          <w:sz w:val="20"/>
          <w:szCs w:val="20"/>
          <w:color w:val="auto"/>
        </w:rPr>
      </w:pPr>
    </w:p>
    <w:p>
      <w:pPr>
        <w:spacing w:after="0" w:line="3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Parent’s bylaws provide that the Court of Chancery of the State of Delaware is the sole and exclusive forum for the following claims or causes of action under the Delaware statutory or common law:</w:t>
      </w:r>
    </w:p>
    <w:p>
      <w:pPr>
        <w:spacing w:after="0" w:line="11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356</w:t>
      </w:r>
    </w:p>
    <w:p>
      <w:pPr>
        <w:spacing w:after="0" w:line="20" w:lineRule="exact"/>
        <w:rPr>
          <w:sz w:val="20"/>
          <w:szCs w:val="20"/>
          <w:color w:val="auto"/>
        </w:rPr>
      </w:pPr>
      <w:r>
        <w:rPr>
          <w:sz w:val="20"/>
          <w:szCs w:val="20"/>
          <w:color w:val="auto"/>
        </w:rPr>
        <w:br w:type="column"/>
      </w:r>
    </w:p>
    <w:p>
      <w:pPr>
        <w:ind w:right="360"/>
        <w:spacing w:after="0" w:line="282" w:lineRule="auto"/>
        <w:rPr>
          <w:sz w:val="20"/>
          <w:szCs w:val="20"/>
          <w:color w:val="auto"/>
        </w:rPr>
      </w:pPr>
      <w:r>
        <w:rPr>
          <w:rFonts w:ascii="Times New Roman" w:cs="Times New Roman" w:eastAsia="Times New Roman" w:hAnsi="Times New Roman"/>
          <w:sz w:val="18"/>
          <w:szCs w:val="18"/>
          <w:color w:val="auto"/>
        </w:rPr>
        <w:t>Obsidian is subject to the provisions of Section 203 of the DGCL.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Neither Obsidian’s certificate of incorporation nor bylaws provide for appraisal rights in any additional circumstance other than as required by applicable law.</w:t>
      </w:r>
    </w:p>
    <w:p>
      <w:pPr>
        <w:spacing w:after="0" w:line="29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Unless Obsidian consents in writing to the selection of an alternative forum, Obsidian’s certificate of incorporation provides the Court of Chancery in the State of Delaware shall be the sole and</w:t>
      </w:r>
    </w:p>
    <w:p>
      <w:pPr>
        <w:sectPr>
          <w:pgSz w:w="11900" w:h="16838" w:orient="portrait"/>
          <w:cols w:equalWidth="0" w:num="3">
            <w:col w:w="4040" w:space="240"/>
            <w:col w:w="3520" w:space="140"/>
            <w:col w:w="3180"/>
          </w:cols>
          <w:pgMar w:left="320" w:top="455" w:right="459" w:bottom="1440" w:gutter="0" w:footer="0" w:header="0"/>
          <w:type w:val="continuous"/>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State of Delaware shall,</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to the fullest extent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permitted by law, be the sole</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 exclusive forum for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 any derivative action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proceeding brought 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behalf of Galera, (b)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action asserting a claim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breach of fiduciary duty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owed by any director,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officer, employee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 of Galera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 or Galera’s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stockholders, (c) any action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asserting a claim arising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pursuant to any provision of</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the DGCL or as to which the</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DGCL confers jurisdiction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on the Court of Chancery, or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(d) any action asserting 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claim governed by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internal affairs doctrine, in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each case subject to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Court of Chancery having</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personal jurisdiction over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indispensable parties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named as defendants</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therein; provided that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foregoing shall not apply to</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suits brought to enforce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liability or duty created by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Securities Act,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Exchange Act or any other</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claim for which the federal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courts have exclusive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jurisdiction.</w:t>
      </w:r>
    </w:p>
    <w:p>
      <w:pPr>
        <w:spacing w:after="0" w:line="11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Galera’s bylaws further</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provide that,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223710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9" w:lineRule="exact"/>
        <w:rPr>
          <w:sz w:val="20"/>
          <w:szCs w:val="20"/>
          <w:color w:val="auto"/>
        </w:rPr>
      </w:pPr>
    </w:p>
    <w:p>
      <w:pPr>
        <w:ind w:right="40" w:firstLine="7"/>
        <w:spacing w:after="0" w:line="252" w:lineRule="auto"/>
        <w:tabs>
          <w:tab w:leader="none" w:pos="21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Parent’s behalf, (ii) any action asserting a claim of, or a claim based on, a breach of a fiduciary duty owed by any of Parent’s current or former directors, officers, or other employees or stockholders to Parent or its stockholders,</w:t>
      </w:r>
    </w:p>
    <w:p>
      <w:pPr>
        <w:spacing w:after="0" w:line="1" w:lineRule="exact"/>
        <w:rPr>
          <w:rFonts w:ascii="Times New Roman" w:cs="Times New Roman" w:eastAsia="Times New Roman" w:hAnsi="Times New Roman"/>
          <w:sz w:val="18"/>
          <w:szCs w:val="18"/>
          <w:color w:val="auto"/>
        </w:rPr>
      </w:pPr>
    </w:p>
    <w:p>
      <w:pPr>
        <w:ind w:firstLine="7"/>
        <w:spacing w:after="0" w:line="251" w:lineRule="auto"/>
        <w:tabs>
          <w:tab w:leader="none" w:pos="31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DGCL, or Parent’s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9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0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addition, Parent’s bylaws will provide that, unless Parent consents in writing to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9"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7"/>
          <w:szCs w:val="17"/>
          <w:color w:val="auto"/>
        </w:rPr>
        <w:t>exclusive forum for any stockholder (including a beneficial owner) to bring</w:t>
      </w:r>
    </w:p>
    <w:p>
      <w:pPr>
        <w:spacing w:after="0" w:line="1" w:lineRule="exact"/>
        <w:rPr>
          <w:sz w:val="20"/>
          <w:szCs w:val="20"/>
          <w:color w:val="auto"/>
        </w:rPr>
      </w:pPr>
    </w:p>
    <w:p>
      <w:pPr>
        <w:ind w:firstLine="6"/>
        <w:spacing w:after="0" w:line="265" w:lineRule="auto"/>
        <w:tabs>
          <w:tab w:leader="none" w:pos="215"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Obsidian, (ii) any action asserting a claim of breach of fiduciary duty owed by any director, officer or other employee of Obsidian to Obsidian or Obsidian’s stockholders, (iii) any action asserting a claim against the Corporation, its directors, officers or employees arising pursuant to any provision of the Delaware General Corporation Law or Obsidian’s certificate of incorporation or bylaws or</w:t>
      </w:r>
    </w:p>
    <w:p>
      <w:pPr>
        <w:spacing w:after="0" w:line="1" w:lineRule="exact"/>
        <w:rPr>
          <w:rFonts w:ascii="Times New Roman" w:cs="Times New Roman" w:eastAsia="Times New Roman" w:hAnsi="Times New Roman"/>
          <w:sz w:val="17"/>
          <w:szCs w:val="17"/>
          <w:color w:val="auto"/>
        </w:rPr>
      </w:pPr>
    </w:p>
    <w:p>
      <w:pPr>
        <w:ind w:right="60" w:firstLine="6"/>
        <w:spacing w:after="0" w:line="250" w:lineRule="auto"/>
        <w:tabs>
          <w:tab w:leader="none" w:pos="30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Obsidian, its directors, officers or employees governed by the internal affairs doctrine, except for, as to each of</w:t>
      </w:r>
    </w:p>
    <w:p>
      <w:pPr>
        <w:spacing w:after="0" w:line="1" w:lineRule="exact"/>
        <w:rPr>
          <w:rFonts w:ascii="Times New Roman" w:cs="Times New Roman" w:eastAsia="Times New Roman" w:hAnsi="Times New Roman"/>
          <w:sz w:val="18"/>
          <w:szCs w:val="18"/>
          <w:color w:val="auto"/>
        </w:rPr>
      </w:pPr>
    </w:p>
    <w:p>
      <w:pPr>
        <w:ind w:firstLine="6"/>
        <w:spacing w:after="0" w:line="251" w:lineRule="auto"/>
        <w:tabs>
          <w:tab w:leader="none" w:pos="21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w:t>
      </w:r>
    </w:p>
    <w:p>
      <w:pPr>
        <w:spacing w:after="0" w:line="1987" w:lineRule="exact"/>
        <w:rPr>
          <w:sz w:val="20"/>
          <w:szCs w:val="20"/>
          <w:color w:val="auto"/>
        </w:rPr>
      </w:pPr>
    </w:p>
    <w:p>
      <w:pPr>
        <w:sectPr>
          <w:pgSz w:w="11900" w:h="16838" w:orient="portrait"/>
          <w:cols w:equalWidth="0" w:num="3">
            <w:col w:w="4060" w:space="220"/>
            <w:col w:w="3520" w:space="140"/>
            <w:col w:w="3140"/>
          </w:cols>
          <w:pgMar w:left="320" w:top="455" w:right="499" w:bottom="1440" w:gutter="0" w:footer="0" w:header="0"/>
        </w:sectPr>
      </w:pPr>
    </w:p>
    <w:p>
      <w:pPr>
        <w:jc w:val="center"/>
        <w:ind w:right="-159"/>
        <w:spacing w:after="0"/>
        <w:rPr>
          <w:sz w:val="20"/>
          <w:szCs w:val="20"/>
          <w:color w:val="auto"/>
        </w:rPr>
      </w:pPr>
      <w:r>
        <w:rPr>
          <w:rFonts w:ascii="Times New Roman" w:cs="Times New Roman" w:eastAsia="Times New Roman" w:hAnsi="Times New Roman"/>
          <w:sz w:val="18"/>
          <w:szCs w:val="18"/>
          <w:color w:val="auto"/>
        </w:rPr>
        <w:t>357</w:t>
      </w:r>
    </w:p>
    <w:p>
      <w:pPr>
        <w:sectPr>
          <w:pgSz w:w="11900" w:h="16838" w:orient="portrait"/>
          <w:cols w:equalWidth="0" w:num="1">
            <w:col w:w="11080"/>
          </w:cols>
          <w:pgMar w:left="320" w:top="455" w:right="499" w:bottom="1440" w:gutter="0" w:footer="0" w:header="0"/>
          <w:type w:val="continuous"/>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4"/>
          <w:szCs w:val="14"/>
          <w:b w:val="1"/>
          <w:bCs w:val="1"/>
          <w:color w:val="auto"/>
        </w:rPr>
        <w:t>Galera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16510</wp:posOffset>
            </wp:positionV>
            <wp:extent cx="13284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unless Galera consents in</w:t>
      </w:r>
    </w:p>
    <w:p>
      <w:pPr>
        <w:spacing w:after="0" w:line="1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7"/>
          <w:szCs w:val="17"/>
          <w:color w:val="auto"/>
        </w:rPr>
        <w:t>writing to the selection of an</w:t>
      </w:r>
    </w:p>
    <w:p>
      <w:pPr>
        <w:spacing w:after="0" w:line="21"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alternative forum,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federal district courts of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shall be the exclusive forum</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for the resolution of any</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complaint asserting a cause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of action arising under the</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Securities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both"/>
        <w:ind w:left="1560"/>
        <w:spacing w:after="0"/>
        <w:tabs>
          <w:tab w:leader="none" w:pos="4960" w:val="left"/>
        </w:tabs>
        <w:rPr>
          <w:sz w:val="20"/>
          <w:szCs w:val="20"/>
          <w:color w:val="auto"/>
        </w:rPr>
      </w:pPr>
      <w:r>
        <w:rPr>
          <w:rFonts w:ascii="Times New Roman" w:cs="Times New Roman" w:eastAsia="Times New Roman" w:hAnsi="Times New Roman"/>
          <w:sz w:val="14"/>
          <w:szCs w:val="14"/>
          <w:b w:val="1"/>
          <w:bCs w:val="1"/>
          <w:color w:val="auto"/>
        </w:rPr>
        <w:t>Parent</w:t>
      </w:r>
      <w:r>
        <w:rPr>
          <w:sz w:val="20"/>
          <w:szCs w:val="20"/>
          <w:color w:val="auto"/>
        </w:rPr>
        <w:tab/>
      </w:r>
      <w:r>
        <w:rPr>
          <w:rFonts w:ascii="Times New Roman" w:cs="Times New Roman" w:eastAsia="Times New Roman" w:hAnsi="Times New Roman"/>
          <w:sz w:val="14"/>
          <w:szCs w:val="14"/>
          <w:b w:val="1"/>
          <w:bCs w:val="1"/>
          <w:color w:val="auto"/>
        </w:rPr>
        <w:t>Obsidian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-634365</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434594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345940" cy="8890"/>
                    </a:xfrm>
                    <a:prstGeom prst="rect">
                      <a:avLst/>
                    </a:prstGeom>
                    <a:noFill/>
                  </pic:spPr>
                </pic:pic>
              </a:graphicData>
            </a:graphic>
          </wp:anchor>
        </w:drawing>
      </w:r>
    </w:p>
    <w:p>
      <w:pPr>
        <w:spacing w:after="0" w:line="9" w:lineRule="exact"/>
        <w:rPr>
          <w:sz w:val="20"/>
          <w:szCs w:val="20"/>
          <w:color w:val="auto"/>
        </w:rPr>
      </w:pPr>
    </w:p>
    <w:p>
      <w:pPr>
        <w:ind w:right="2359"/>
        <w:spacing w:after="0" w:line="252" w:lineRule="auto"/>
        <w:rPr>
          <w:sz w:val="20"/>
          <w:szCs w:val="20"/>
          <w:color w:val="auto"/>
        </w:rPr>
      </w:pPr>
      <w:r>
        <w:rPr>
          <w:rFonts w:ascii="Times New Roman" w:cs="Times New Roman" w:eastAsia="Times New Roman" w:hAnsi="Times New Roman"/>
          <w:sz w:val="18"/>
          <w:szCs w:val="18"/>
          <w:color w:val="auto"/>
        </w:rPr>
        <w:t>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Additionally, Parent’s bylaws will provide that any person or entity holding, owning or otherwise acquiring any interest in any of Parent’s securities shall be deemed to have notice of and consented to these provisions.</w:t>
      </w:r>
    </w:p>
    <w:p>
      <w:pPr>
        <w:spacing w:after="0" w:line="12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358</w:t>
      </w:r>
    </w:p>
    <w:p>
      <w:pPr>
        <w:sectPr>
          <w:pgSz w:w="11900" w:h="16838" w:orient="portrait"/>
          <w:cols w:equalWidth="0" w:num="2">
            <w:col w:w="4040" w:space="240"/>
            <w:col w:w="5859"/>
          </w:cols>
          <w:pgMar w:left="320" w:top="455" w:right="1440"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validity of the shares of Parent common stock to be issued in the mergers will be passed upon by Sidley. Certain U.S. federal income tax consequences relating to the mergers will also be passed upon for Galera by Sidley.</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Galera</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Galera Therapeutics, Inc. and subsidiaries as of December 31, 2025 and 2024 and for each of the years in the two-year period ended December 31, 2025 have been included herein in reliance upon the report of KPMG LLP, independent registered public accounting firm, appearing elsewhere herein, and upon the authority of said firm as experts in accounting and auditing.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Obsidian</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Obsidian Therapeutics, Inc. and subsidiary, as of December 31, 2025 and 2024, and for the years then ended, have been included herein in reliance upon the report of KPMG LLP, independent registered public accounting firm, appearing elsewhere herein, and upon the authority of said firm as experts in accounting and auditing.</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audit report covering the December 31, 2025 consolidated financial statements contains an explanatory paragraph that states that the Company’s recurring losses from operations, negative operating cash flows, and accumulated deficit raise substantial doubt about the entity’s ability to continue as a going concern. The consolidated financial statements do not include any adjustments that might result from the outcome of that uncertainty.</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SEC’s rules permit us to deliver a single information statement/prospectus to one address shared by two or more of our stockholders. This delivery method is referred to as “householding” and can result in significant cost savings. To take advantage of this opportunity, we have delivered only one copy of this information statement/prospectus to multiple stockholders who share an address, unless we received contrary instructions from the impacted stockholders prior to the mailing date. We agree to deliver promptly, upon written or oral request, a separate copy of this information statement/prospectus, as requested, to any stockholder at the shared address to which a single copy of that document was delivered. If you prefer to receive separate copies of this information statement/prospectus, contact Broadridge Financial Solutions, Inc. (“Broadridge”) at 1-866-540-7095 or in writing at Broadridge, Householding Department, 51 Mercedes Way, Edgewood, New York 11717.</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359</w:t>
      </w:r>
    </w:p>
    <w:p>
      <w:pPr>
        <w:sectPr>
          <w:pgSz w:w="11900" w:h="16838" w:orient="portrait"/>
          <w:cols w:equalWidth="0" w:num="1">
            <w:col w:w="11100"/>
          </w:cols>
          <w:pgMar w:left="320" w:top="455" w:right="47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Parent filed with the SEC under the Securities Act the Registration Statement on Form S-4 to register the shares of Parent common stock to be issued to Galera stockholders and Obsidian stockholders in connection with the mergers. The Registration Statement, including the exhibits and schedules thereto, contains additional relevant information about Parent and Parent common stock. This information statement/prospectus is part of the Registration Statement and is a prospectus of Parent.</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Galera files Annual, Quarterly and Current Reports, proxy statements and other business and financial information with the SEC under the Exchange Act. 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where you can access such reports, proxy statements and registration statements, and other information regarding registrants that file electronically with the SEC. Galera also posts its SEC filings on its web site, which is </w:t>
      </w:r>
      <w:r>
        <w:rPr>
          <w:rFonts w:ascii="Times New Roman" w:cs="Times New Roman" w:eastAsia="Times New Roman" w:hAnsi="Times New Roman"/>
          <w:sz w:val="18"/>
          <w:szCs w:val="18"/>
          <w:i w:val="1"/>
          <w:iCs w:val="1"/>
          <w:color w:val="auto"/>
        </w:rPr>
        <w:t>www.galeratx.com</w:t>
      </w:r>
      <w:r>
        <w:rPr>
          <w:rFonts w:ascii="Times New Roman" w:cs="Times New Roman" w:eastAsia="Times New Roman" w:hAnsi="Times New Roman"/>
          <w:sz w:val="18"/>
          <w:szCs w:val="18"/>
          <w:color w:val="auto"/>
        </w:rPr>
        <w:t>. Information contained on the Galera website is not incorporated by reference into this information statement/prospectus, and you should not consider information contained in its website as part of this information statement/prospectus.</w:t>
      </w:r>
    </w:p>
    <w:p>
      <w:pPr>
        <w:spacing w:after="0" w:line="1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360</w:t>
      </w:r>
    </w:p>
    <w:p>
      <w:pPr>
        <w:sectPr>
          <w:pgSz w:w="11900" w:h="16838" w:orient="portrait"/>
          <w:cols w:equalWidth="0" w:num="1">
            <w:col w:w="11060"/>
          </w:cols>
          <w:pgMar w:left="320" w:top="455" w:right="51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OF GALERA</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5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i w:val="1"/>
                <w:iCs w:val="1"/>
                <w:color w:val="auto"/>
              </w:rPr>
              <w:t>Years ended December 31, 2025 and 2024</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78"/>
        </w:trPr>
        <w:tc>
          <w:tcPr>
            <w:tcW w:w="10560" w:type="dxa"/>
            <w:vAlign w:val="bottom"/>
            <w:gridSpan w:val="25"/>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24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20" w:type="dxa"/>
            <w:vAlign w:val="bottom"/>
            <w:gridSpan w:val="14"/>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2025 and 2024</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2025 and 2024</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Changes in Redeemable Convertible Preferred Stock and Stockholders’ Equity (Deficit) for the Years ended</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December 31, 2025 and 2024</w:t>
            </w:r>
          </w:p>
        </w:tc>
        <w:tc>
          <w:tcPr>
            <w:tcW w:w="7500" w:type="dxa"/>
            <w:vAlign w:val="bottom"/>
            <w:tcBorders>
              <w:top w:val="single" w:sz="8" w:color="0000EE"/>
            </w:tcBorders>
            <w:gridSpan w:val="19"/>
          </w:tcPr>
          <w:p>
            <w:pPr>
              <w:spacing w:after="0"/>
              <w:rPr>
                <w:sz w:val="17"/>
                <w:szCs w:val="17"/>
                <w:color w:val="auto"/>
              </w:rPr>
            </w:pPr>
          </w:p>
        </w:tc>
        <w:tc>
          <w:tcPr>
            <w:tcW w:w="7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404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0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461"/>
        </w:trPr>
        <w:tc>
          <w:tcPr>
            <w:tcW w:w="10560" w:type="dxa"/>
            <w:vAlign w:val="bottom"/>
            <w:gridSpan w:val="25"/>
          </w:tcPr>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March 31, 2025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80" w:type="dxa"/>
            <w:vAlign w:val="bottom"/>
            <w:tcBorders>
              <w:bottom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9"/>
              </w:rPr>
              <w:t>Consolidated Balance Sheets as of March 31, 2026 and 2025</w:t>
            </w:r>
          </w:p>
        </w:tc>
        <w:tc>
          <w:tcPr>
            <w:tcW w:w="6180" w:type="dxa"/>
            <w:vAlign w:val="bottom"/>
            <w:gridSpan w:val="13"/>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F-33</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Three Months ended March 31, 2026 and 2025</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F-34</w:t>
            </w:r>
          </w:p>
        </w:tc>
        <w:tc>
          <w:tcPr>
            <w:tcW w:w="0" w:type="dxa"/>
            <w:vAlign w:val="bottom"/>
          </w:tcPr>
          <w:p>
            <w:pPr>
              <w:spacing w:after="0"/>
              <w:rPr>
                <w:sz w:val="1"/>
                <w:szCs w:val="1"/>
                <w:color w:val="auto"/>
              </w:rPr>
            </w:pPr>
          </w:p>
        </w:tc>
      </w:tr>
      <w:tr>
        <w:trPr>
          <w:trHeight w:val="20"/>
        </w:trPr>
        <w:tc>
          <w:tcPr>
            <w:tcW w:w="20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2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Redeemable Convertible Preferred Stock and Stockholders’ Equity (Deficit) for the Three Months ended</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March 31, 2026 and 2025</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Three Months ended March 31, 2026 and 2025</w:t>
            </w:r>
          </w:p>
        </w:tc>
        <w:tc>
          <w:tcPr>
            <w:tcW w:w="37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F-36</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F-37</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60" w:type="dxa"/>
            <w:vAlign w:val="bottom"/>
            <w:gridSpan w:val="21"/>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INDEX TO CONSOLIDATED FINANCIAL STATEMENTS OF OBSIDIAN</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0560" w:type="dxa"/>
            <w:vAlign w:val="bottom"/>
            <w:gridSpan w:val="25"/>
          </w:tcPr>
          <w:p>
            <w:pPr>
              <w:spacing w:after="0"/>
              <w:rPr>
                <w:sz w:val="20"/>
                <w:szCs w:val="20"/>
                <w:color w:val="auto"/>
              </w:rPr>
            </w:pPr>
            <w:r>
              <w:rPr>
                <w:rFonts w:ascii="Times New Roman" w:cs="Times New Roman" w:eastAsia="Times New Roman" w:hAnsi="Times New Roman"/>
                <w:sz w:val="18"/>
                <w:szCs w:val="18"/>
                <w:i w:val="1"/>
                <w:iCs w:val="1"/>
                <w:color w:val="auto"/>
              </w:rPr>
              <w:t>Years ended December 31, 2025 and 2024</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22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5"/>
          </w:tcPr>
          <w:p>
            <w:pPr>
              <w:spacing w:after="0"/>
              <w:rPr>
                <w:sz w:val="16"/>
                <w:szCs w:val="16"/>
                <w:color w:val="auto"/>
              </w:rPr>
            </w:pP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F-51</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F-52</w:t>
            </w:r>
          </w:p>
        </w:tc>
        <w:tc>
          <w:tcPr>
            <w:tcW w:w="0" w:type="dxa"/>
            <w:vAlign w:val="bottom"/>
          </w:tcPr>
          <w:p>
            <w:pPr>
              <w:spacing w:after="0"/>
              <w:rPr>
                <w:sz w:val="1"/>
                <w:szCs w:val="1"/>
                <w:color w:val="auto"/>
              </w:rPr>
            </w:pPr>
          </w:p>
        </w:tc>
      </w:tr>
      <w:tr>
        <w:trPr>
          <w:trHeight w:val="20"/>
        </w:trPr>
        <w:tc>
          <w:tcPr>
            <w:tcW w:w="2080" w:type="dxa"/>
            <w:vAlign w:val="bottom"/>
            <w:gridSpan w:val="3"/>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w:t>
            </w:r>
          </w:p>
        </w:tc>
        <w:tc>
          <w:tcPr>
            <w:tcW w:w="588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F-53</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Redeemable Convertible Preferred Stock and Stockholders’ Deficit</w:t>
            </w:r>
          </w:p>
        </w:tc>
        <w:tc>
          <w:tcPr>
            <w:tcW w:w="370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F-54</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F-55</w:t>
            </w:r>
          </w:p>
        </w:tc>
        <w:tc>
          <w:tcPr>
            <w:tcW w:w="0" w:type="dxa"/>
            <w:vAlign w:val="bottom"/>
          </w:tcPr>
          <w:p>
            <w:pPr>
              <w:spacing w:after="0"/>
              <w:rPr>
                <w:sz w:val="1"/>
                <w:szCs w:val="1"/>
                <w:color w:val="auto"/>
              </w:rPr>
            </w:pPr>
          </w:p>
        </w:tc>
      </w:tr>
      <w:tr>
        <w:trPr>
          <w:trHeight w:val="20"/>
        </w:trPr>
        <w:tc>
          <w:tcPr>
            <w:tcW w:w="2860" w:type="dxa"/>
            <w:vAlign w:val="bottom"/>
            <w:gridSpan w:val="5"/>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7400" w:type="dxa"/>
            <w:vAlign w:val="bottom"/>
            <w:gridSpan w:val="1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F-56</w:t>
            </w:r>
          </w:p>
        </w:tc>
        <w:tc>
          <w:tcPr>
            <w:tcW w:w="0" w:type="dxa"/>
            <w:vAlign w:val="bottom"/>
          </w:tcPr>
          <w:p>
            <w:pPr>
              <w:spacing w:after="0"/>
              <w:rPr>
                <w:sz w:val="1"/>
                <w:szCs w:val="1"/>
                <w:color w:val="auto"/>
              </w:rPr>
            </w:pPr>
          </w:p>
        </w:tc>
      </w:tr>
      <w:tr>
        <w:trPr>
          <w:trHeight w:val="461"/>
        </w:trPr>
        <w:tc>
          <w:tcPr>
            <w:tcW w:w="10560" w:type="dxa"/>
            <w:vAlign w:val="bottom"/>
            <w:gridSpan w:val="25"/>
          </w:tcPr>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2026 and March 31, 2025</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056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F-80</w:t>
            </w:r>
          </w:p>
        </w:tc>
        <w:tc>
          <w:tcPr>
            <w:tcW w:w="0" w:type="dxa"/>
            <w:vAlign w:val="bottom"/>
          </w:tcPr>
          <w:p>
            <w:pPr>
              <w:spacing w:after="0"/>
              <w:rPr>
                <w:sz w:val="1"/>
                <w:szCs w:val="1"/>
                <w:color w:val="auto"/>
              </w:rPr>
            </w:pPr>
          </w:p>
        </w:tc>
      </w:tr>
      <w:tr>
        <w:trPr>
          <w:trHeight w:val="20"/>
        </w:trPr>
        <w:tc>
          <w:tcPr>
            <w:tcW w:w="3700" w:type="dxa"/>
            <w:vAlign w:val="bottom"/>
            <w:gridSpan w:val="8"/>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Loss</w:t>
            </w:r>
          </w:p>
        </w:tc>
        <w:tc>
          <w:tcPr>
            <w:tcW w:w="504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F-81</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Redeemable Convertible Preferred Stock and Stockholders’ Deficit</w:t>
            </w:r>
          </w:p>
        </w:tc>
        <w:tc>
          <w:tcPr>
            <w:tcW w:w="28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F-82</w:t>
            </w:r>
          </w:p>
        </w:tc>
        <w:tc>
          <w:tcPr>
            <w:tcW w:w="0" w:type="dxa"/>
            <w:vAlign w:val="bottom"/>
          </w:tcPr>
          <w:p>
            <w:pPr>
              <w:spacing w:after="0"/>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F-83</w:t>
            </w:r>
          </w:p>
        </w:tc>
        <w:tc>
          <w:tcPr>
            <w:tcW w:w="0" w:type="dxa"/>
            <w:vAlign w:val="bottom"/>
          </w:tcPr>
          <w:p>
            <w:pPr>
              <w:spacing w:after="0"/>
              <w:rPr>
                <w:sz w:val="1"/>
                <w:szCs w:val="1"/>
                <w:color w:val="auto"/>
              </w:rPr>
            </w:pPr>
          </w:p>
        </w:tc>
      </w:tr>
      <w:tr>
        <w:trPr>
          <w:trHeight w:val="20"/>
        </w:trPr>
        <w:tc>
          <w:tcPr>
            <w:tcW w:w="3700" w:type="dxa"/>
            <w:vAlign w:val="bottom"/>
            <w:gridSpan w:val="8"/>
            <w:shd w:val="clear" w:color="auto" w:fill="0000EE"/>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5660" w:type="dxa"/>
            <w:vAlign w:val="bottom"/>
            <w:gridSpan w:val="1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F-84</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8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660" w:type="dxa"/>
            <w:vAlign w:val="bottom"/>
            <w:gridSpan w:val="10"/>
          </w:tcPr>
          <w:p>
            <w:pPr>
              <w:jc w:val="center"/>
              <w:ind w:right="4460"/>
              <w:spacing w:after="0"/>
              <w:rPr>
                <w:sz w:val="20"/>
                <w:szCs w:val="20"/>
                <w:color w:val="auto"/>
              </w:rPr>
            </w:pPr>
            <w:r>
              <w:rPr>
                <w:rFonts w:ascii="Times New Roman" w:cs="Times New Roman" w:eastAsia="Times New Roman" w:hAnsi="Times New Roman"/>
                <w:sz w:val="18"/>
                <w:szCs w:val="18"/>
                <w:color w:val="auto"/>
                <w:w w:val="95"/>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Galera Therapeutics, Inc. and subsidiaries (the Company) as of December 31, 2025 and 2024, the related consolidated statements of operations, changes in redeemable convertible preferred stock and stockholders’ equity (deficit),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ind w:left="120" w:right="10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1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Extinguishment of the royalty purchase liability</w:t>
      </w:r>
    </w:p>
    <w:p>
      <w:pPr>
        <w:spacing w:after="0" w:line="119" w:lineRule="exact"/>
        <w:rPr>
          <w:sz w:val="20"/>
          <w:szCs w:val="20"/>
          <w:color w:val="auto"/>
        </w:rPr>
      </w:pPr>
    </w:p>
    <w:p>
      <w:pPr>
        <w:ind w:left="560" w:right="640"/>
        <w:spacing w:after="0" w:line="282" w:lineRule="auto"/>
        <w:rPr>
          <w:sz w:val="20"/>
          <w:szCs w:val="20"/>
          <w:color w:val="auto"/>
        </w:rPr>
      </w:pPr>
      <w:r>
        <w:rPr>
          <w:rFonts w:ascii="Times New Roman" w:cs="Times New Roman" w:eastAsia="Times New Roman" w:hAnsi="Times New Roman"/>
          <w:sz w:val="18"/>
          <w:szCs w:val="18"/>
          <w:color w:val="auto"/>
        </w:rPr>
        <w:t>As discussed in Notes 1, 2, 4, and 9 to the consolidated financial statements, in October 2025 the Company entered into an asset purchase agreement with Biossil, Inc. (Biossil) pursuant to which the Company sold its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dismutase mimetics assets and assigned its royalty purchase agreement with Blackstone Life Sciences (Blackstone) to Biossil. In connection with this transaction, Biossil assumed all rights and obligations under the royalty purchase agreement, and Blackstone executed a notice of assignment releasing the Company from further obligations. As a result, the Company extinguished the royalty purchase liability of approximately $151.0 million and recorded a gain on extinguishment of debt during the year ended December 31, 2025.</w:t>
      </w:r>
    </w:p>
    <w:p>
      <w:pPr>
        <w:spacing w:after="0" w:line="72" w:lineRule="exact"/>
        <w:rPr>
          <w:sz w:val="20"/>
          <w:szCs w:val="20"/>
          <w:color w:val="auto"/>
        </w:rPr>
      </w:pPr>
    </w:p>
    <w:p>
      <w:pPr>
        <w:ind w:left="560"/>
        <w:spacing w:after="0" w:line="256" w:lineRule="auto"/>
        <w:rPr>
          <w:sz w:val="20"/>
          <w:szCs w:val="20"/>
          <w:color w:val="auto"/>
        </w:rPr>
      </w:pPr>
      <w:r>
        <w:rPr>
          <w:rFonts w:ascii="Times New Roman" w:cs="Times New Roman" w:eastAsia="Times New Roman" w:hAnsi="Times New Roman"/>
          <w:sz w:val="18"/>
          <w:szCs w:val="18"/>
          <w:color w:val="auto"/>
        </w:rPr>
        <w:t>We identified the evaluation of the extinguishment of the royalty purchase liability as a critical audit matter. Significant auditor judgment was required to evaluate the Company’s conclusion that the assignment of the royalty purchase agreement resulted in a legal defeasance and extinguishment of the liability under applicable accounting guidance. This evaluation involved assessing whether the Company was legally released as the primary obligor, which required careful consideration of complex contractual provisions. A different conclusion regarding whether the liability had been legally extinguished would have resulted in a significant difference in the Company’s reported liabilities and results of operations.</w:t>
      </w:r>
    </w:p>
    <w:p>
      <w:pPr>
        <w:spacing w:after="0" w:line="79" w:lineRule="exact"/>
        <w:rPr>
          <w:sz w:val="20"/>
          <w:szCs w:val="20"/>
          <w:color w:val="auto"/>
        </w:rPr>
      </w:pPr>
    </w:p>
    <w:p>
      <w:pPr>
        <w:ind w:left="560" w:right="80"/>
        <w:spacing w:after="0" w:line="282"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tested the Company’s conclusion that the royalty purchase liability was legally defeased by:</w:t>
      </w:r>
    </w:p>
    <w:p>
      <w:pPr>
        <w:spacing w:after="0" w:line="67" w:lineRule="exact"/>
        <w:rPr>
          <w:sz w:val="20"/>
          <w:szCs w:val="20"/>
          <w:color w:val="auto"/>
        </w:rPr>
      </w:pPr>
    </w:p>
    <w:p>
      <w:pPr>
        <w:ind w:left="1540" w:right="180" w:hanging="331"/>
        <w:spacing w:after="0" w:line="282" w:lineRule="auto"/>
        <w:tabs>
          <w:tab w:leader="none" w:pos="1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evaluating management’s accounting memorandum regarding the extinguishment of the royalty purchase liability and gain on extinguishment of debt, including management’s application of the relevant accounting guidance</w:t>
      </w:r>
    </w:p>
    <w:p>
      <w:pPr>
        <w:spacing w:after="0" w:line="67" w:lineRule="exact"/>
        <w:rPr>
          <w:rFonts w:ascii="Times New Roman" w:cs="Times New Roman" w:eastAsia="Times New Roman" w:hAnsi="Times New Roman"/>
          <w:sz w:val="18"/>
          <w:szCs w:val="18"/>
          <w:color w:val="auto"/>
        </w:rPr>
      </w:pPr>
    </w:p>
    <w:p>
      <w:pPr>
        <w:jc w:val="both"/>
        <w:ind w:left="1540" w:right="60" w:hanging="331"/>
        <w:spacing w:after="0" w:line="266" w:lineRule="auto"/>
        <w:tabs>
          <w:tab w:leader="none" w:pos="1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the royalty purchase agreement with Blackstone and related amendments, the asset purchase agreement with Biossil, and the notice of assignment to evaluate whether the contractual terms permitted assignment and release of the Company as the primary obligor</w:t>
      </w:r>
    </w:p>
    <w:p>
      <w:pPr>
        <w:spacing w:after="0" w:line="81" w:lineRule="exact"/>
        <w:rPr>
          <w:rFonts w:ascii="Times New Roman" w:cs="Times New Roman" w:eastAsia="Times New Roman" w:hAnsi="Times New Roman"/>
          <w:sz w:val="18"/>
          <w:szCs w:val="18"/>
          <w:color w:val="auto"/>
        </w:rPr>
      </w:pPr>
    </w:p>
    <w:p>
      <w:pPr>
        <w:ind w:left="1540" w:right="240" w:hanging="331"/>
        <w:spacing w:after="0" w:line="266" w:lineRule="auto"/>
        <w:tabs>
          <w:tab w:leader="none" w:pos="1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inspecting the legal opinion obtained by management from external counsel and evaluating the competence and objectivity of the legal specialist, and assessing whether the opinion supported the Company’s conclusion that the transaction resulted in a legal defeasance</w:t>
      </w:r>
    </w:p>
    <w:p>
      <w:pPr>
        <w:spacing w:after="0" w:line="81"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corroborating our understanding of the transaction through inquiry of management and inspection of board of directors’ minutes and other governance documentation related to the approval of the transaction</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19, 2026</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5" w:right="49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5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r>
      <w:tr>
        <w:trPr>
          <w:trHeight w:val="196"/>
        </w:trPr>
        <w:tc>
          <w:tcPr>
            <w:tcW w:w="8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6,375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8,289</w:t>
            </w: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w:t>
            </w: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1,077</w:t>
            </w:r>
          </w:p>
        </w:tc>
      </w:tr>
      <w:tr>
        <w:trPr>
          <w:trHeight w:val="22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w:t>
            </w:r>
          </w:p>
        </w:tc>
        <w:tc>
          <w:tcPr>
            <w:tcW w:w="120" w:type="dxa"/>
            <w:vAlign w:val="bottom"/>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1,275</w:t>
            </w: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1,666</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Royalty purchase liability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151,049</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1,055</w:t>
            </w:r>
          </w:p>
        </w:tc>
      </w:tr>
      <w:tr>
        <w:trPr>
          <w:trHeight w:val="22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153,770</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redeemable convertible preferred stock, $0.001 par value: 10,000,000 shares authorized; 119,318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1"/>
        </w:trPr>
        <w:tc>
          <w:tcPr>
            <w:tcW w:w="8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December 31, 2025 and 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2,577</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4,372</w:t>
            </w: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5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75,462,390 shares issued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5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December 31, 2025 and 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8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311,213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308,247</w:t>
            </w:r>
          </w:p>
        </w:tc>
      </w:tr>
      <w:tr>
        <w:trPr>
          <w:trHeight w:val="216"/>
        </w:trPr>
        <w:tc>
          <w:tcPr>
            <w:tcW w:w="8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(307,314)</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(456,363)</w:t>
            </w:r>
          </w:p>
        </w:tc>
      </w:tr>
      <w:tr>
        <w:trPr>
          <w:trHeight w:val="27"/>
        </w:trPr>
        <w:tc>
          <w:tcPr>
            <w:tcW w:w="8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line="216" w:lineRule="exact"/>
              <w:rPr>
                <w:sz w:val="20"/>
                <w:szCs w:val="20"/>
                <w:color w:val="auto"/>
              </w:rPr>
            </w:pPr>
            <w:r>
              <w:rPr>
                <w:rFonts w:ascii="Times New Roman" w:cs="Times New Roman" w:eastAsia="Times New Roman" w:hAnsi="Times New Roman"/>
                <w:sz w:val="17"/>
                <w:szCs w:val="17"/>
                <w:color w:val="auto"/>
              </w:rPr>
              <w:t>(148,041</w:t>
            </w:r>
            <w:r>
              <w:rPr>
                <w:rFonts w:ascii="Times New Roman" w:cs="Times New Roman" w:eastAsia="Times New Roman" w:hAnsi="Times New Roman"/>
                <w:sz w:val="25"/>
                <w:szCs w:val="25"/>
                <w:color w:val="auto"/>
                <w:vertAlign w:val="subscript"/>
              </w:rPr>
              <w:t>)</w:t>
            </w:r>
          </w:p>
        </w:tc>
      </w:tr>
      <w:tr>
        <w:trPr>
          <w:trHeight w:val="223"/>
        </w:trPr>
        <w:tc>
          <w:tcPr>
            <w:tcW w:w="8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10,101</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5,693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11,002</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dismutase mimetics assets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Write-off of acquired intangible asset</w:t>
            </w:r>
          </w:p>
        </w:tc>
        <w:tc>
          <w:tcPr>
            <w:tcW w:w="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 of goodwill</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litigation settlement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
              <w:spacing w:after="0" w:line="216" w:lineRule="exact"/>
              <w:rPr>
                <w:sz w:val="20"/>
                <w:szCs w:val="20"/>
                <w:color w:val="auto"/>
              </w:rPr>
            </w:pPr>
            <w:r>
              <w:rPr>
                <w:rFonts w:ascii="Times New Roman" w:cs="Times New Roman" w:eastAsia="Times New Roman" w:hAnsi="Times New Roman"/>
                <w:sz w:val="17"/>
                <w:szCs w:val="17"/>
                <w:color w:val="auto"/>
              </w:rPr>
              <w:t>(975</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151,049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benefit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(19,160)</w:t>
            </w: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(18,957)</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attributable to common stockholders,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98,503,430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96"/>
              </w:rPr>
              <w:t>54,633,215</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of common stock,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Series B redeemable convertible preferred stockholders,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76,948</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Series B redeemable convertible preferred stock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119,318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per share of Series B redeemable convertible preferred stock, basic and 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644.89</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(342.89)</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94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16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00" w:type="dxa"/>
            <w:vAlign w:val="bottom"/>
          </w:tcPr>
          <w:p>
            <w:pPr>
              <w:spacing w:after="0"/>
              <w:rPr>
                <w:sz w:val="15"/>
                <w:szCs w:val="15"/>
                <w:color w:val="auto"/>
              </w:rPr>
            </w:pPr>
          </w:p>
        </w:tc>
        <w:tc>
          <w:tcPr>
            <w:tcW w:w="132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3980" w:type="dxa"/>
            <w:vAlign w:val="bottom"/>
          </w:tcPr>
          <w:p>
            <w:pPr>
              <w:spacing w:after="0"/>
              <w:rPr>
                <w:sz w:val="10"/>
                <w:szCs w:val="10"/>
                <w:color w:val="auto"/>
              </w:rPr>
            </w:pPr>
          </w:p>
        </w:tc>
        <w:tc>
          <w:tcPr>
            <w:tcW w:w="900" w:type="dxa"/>
            <w:vAlign w:val="bottom"/>
            <w:gridSpan w:val="3"/>
          </w:tcPr>
          <w:p>
            <w:pPr>
              <w:ind w:left="26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180" w:type="dxa"/>
            <w:vAlign w:val="bottom"/>
          </w:tcPr>
          <w:p>
            <w:pPr>
              <w:spacing w:after="0"/>
              <w:rPr>
                <w:sz w:val="10"/>
                <w:szCs w:val="10"/>
                <w:color w:val="auto"/>
              </w:rPr>
            </w:pPr>
          </w:p>
        </w:tc>
        <w:tc>
          <w:tcPr>
            <w:tcW w:w="560" w:type="dxa"/>
            <w:vAlign w:val="bottom"/>
          </w:tcPr>
          <w:p>
            <w:pPr>
              <w:jc w:val="right"/>
              <w:ind w:right="312"/>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300" w:type="dxa"/>
            <w:vAlign w:val="bottom"/>
          </w:tcPr>
          <w:p>
            <w:pPr>
              <w:spacing w:after="0"/>
              <w:rPr>
                <w:sz w:val="10"/>
                <w:szCs w:val="10"/>
                <w:color w:val="auto"/>
              </w:rPr>
            </w:pPr>
          </w:p>
        </w:tc>
        <w:tc>
          <w:tcPr>
            <w:tcW w:w="11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0"/>
                <w:szCs w:val="10"/>
                <w:color w:val="auto"/>
              </w:rPr>
            </w:pPr>
          </w:p>
        </w:tc>
        <w:tc>
          <w:tcPr>
            <w:tcW w:w="86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40" w:type="dxa"/>
            <w:vAlign w:val="bottom"/>
          </w:tcPr>
          <w:p>
            <w:pPr>
              <w:spacing w:after="0"/>
              <w:rPr>
                <w:sz w:val="10"/>
                <w:szCs w:val="10"/>
                <w:color w:val="auto"/>
              </w:rPr>
            </w:pPr>
          </w:p>
        </w:tc>
        <w:tc>
          <w:tcPr>
            <w:tcW w:w="100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080" w:type="dxa"/>
            <w:vAlign w:val="bottom"/>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980" w:type="dxa"/>
            <w:vAlign w:val="bottom"/>
          </w:tcPr>
          <w:p>
            <w:pPr>
              <w:spacing w:after="0"/>
              <w:rPr>
                <w:sz w:val="15"/>
                <w:szCs w:val="15"/>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10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88"/>
              </w:rPr>
              <w:t>Amount </w:t>
            </w:r>
          </w:p>
        </w:tc>
        <w:tc>
          <w:tcPr>
            <w:tcW w:w="112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6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54,392,170</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$306,167</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(437,406)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2,545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198"/>
        </w:trPr>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Series B convertible preferred stock in</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acquisition</w:t>
            </w:r>
          </w:p>
        </w:tc>
        <w:tc>
          <w:tcPr>
            <w:tcW w:w="6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9"/>
              </w:rPr>
              <w:t>119,318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2,577</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Accretion of redeemable convertible preferred stock</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redemption value</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1,795</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(1,795)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198"/>
        </w:trPr>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Sale of common stock and common stock warrants</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private placement, net of issuance costs of $27</w:t>
            </w: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21,070,220</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6"/>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(18,957)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(18,957)</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119,318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75,462,390</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308,247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(456,363)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(148,041)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198"/>
        </w:trPr>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Amortization of redeemable convertible preferred</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to redemption value</w:t>
            </w: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(1,795)</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pre-funded stock warrants</w:t>
            </w:r>
          </w:p>
        </w:tc>
        <w:tc>
          <w:tcPr>
            <w:tcW w:w="90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149,049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149,049</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6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119,318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30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75,462,390</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311,213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(307,314</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90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90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149,049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(18,957)</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 of acquired intangible asset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Write-off of goodwill</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benefit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dismutase mimetics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extinguishment of debt</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(151,049)</w:t>
            </w:r>
          </w:p>
        </w:tc>
        <w:tc>
          <w:tcPr>
            <w:tcW w:w="1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2,295</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16"/>
        </w:trPr>
        <w:tc>
          <w:tcPr>
            <w:tcW w:w="9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(3,058)</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9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3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(12,145)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acquisition of Nova</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dismutase mimetics assets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common stock and common stock warrants in private placement, net of issuance costs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23"/>
        </w:trPr>
        <w:tc>
          <w:tcPr>
            <w:tcW w:w="9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(9,968)</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8,289</w:t>
            </w: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Extinguishment of royalty purchase liability upon sale of dismutase mimetics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151,049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Series B redeemable convertible preferred stock in asset acquisition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(amortization) of redeemable convertible preferred stock to redemption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receivable in connection with private placement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Derecognition of lease liability and right-of-use asset due to lease termination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r>
        <w:trPr>
          <w:trHeight w:val="216"/>
        </w:trPr>
        <w:tc>
          <w:tcPr>
            <w:tcW w:w="9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costs in 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Reclassification of warrant liability to additional paid-in capital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Galera Therapeutics, Inc. (the Company, or Galera) is a biopharmaceutical company that historically was focused on developing a portfolio of small molecule dismutase (SOD) mimetics to improve radiotherapy in cancer, primarily by reducing one of the most common side effects of radiotherapy, severe oral mucositis (SOM). The Company sold its assets related to avasopasem and rucosopasem and all other dismutase mimetics assets to Biossil, Inc. (Biossil), a privately-held company based in Toronto, Canada, in October 2025. Galera received consideration from Biossil in the form of an upfront payment of $3.5 million and is eligible to receive further payments upon the achievement of future regulatory and commercial milestones and received contingent value rights of up to $105.0 million in the aggregate. In addition, Biossil assumed all rights and obligations associated with the Company’s royalty purchase obligation (Note 9), resulting in a gain on sale of assets of $3.5 million and a gain on extinguishment of debt of $151.0 million related to the extinguishment of the outstanding royalty purchase liability that was assumed by Biossil.</w:t>
      </w:r>
    </w:p>
    <w:p>
      <w:pPr>
        <w:spacing w:after="0" w:line="192"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Galera’s clinical portfolio now is comprised of a pan-inhibitor of nitric oxide synthase (NOS) that was acquired in December 2024 through the acquisition of Nova Pharmaceuticals, Inc. (Nova) (Note 3). Galera’s lead program is now an investigator-sponsored Phase 1/2 trial of the pan-NOS inhibitor in combination with nab-paclitaxel and alpelisib for MpBC, which is being conducted at Methodist Hospital in Houston, Texas (Houston Methodist) with funding by a grant from the National Institutes of Health.</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an accumulated deficit of $307.3 million as of December 31, 2025. The Company expects its existing cash and cash equivalents as of December 31, 2025 will enable the Company to fund its operating expenses, which are currently at a limited level, for at least twelve months from the date these consolidated financial statements were issued.</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December 2024, the Company completed a private placement with a group of investors led by Ikarian Capital. The Company issued 21,070,220 shares of common stock plus pre-funded warrants exercisable for 23,041,040 shares of common stock at an offering price of $0.065 per share or pre-funded warrant. The Company received net proceeds of approximately $2.9 million after deducting issuance costs of approximately $27,000, of which $0.6 million was received in January 2025. The pre-funded warrants have an exercise price of $0.001 per share, are exercisable immediately following their issuance and never expire.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stated above, in October 2025 the Company received $3.5 million from the sale of its dismutase mimetics assets to Biossil.</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does not currently have sufficient cash to adequately fund the development of its product candidate. In order to continue research and development, the Company will need to raise additional financing to fund its operations, which could be through equity or debt financing or through strategic transactions. Future capital requirements will depend on what, if any, strategic alternatives are available to the Company, which may include pursuit of a strategic transaction, a voluntary dissolution, or the continued operation of product development.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U.S. generally accepted accounting principles (U.S. GAAP). Any reference in these notes to applicable guidance is meant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refer to U.S. GAAP as found in the Accounting Standards Codification (ASC) and Accounting Standards Updates (ASU) of the Financial Accounting Standards Board (FASB).</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Galera Therapeutics, Inc. and its wholly owned subsidiaries, Nova Pharmaceuticals Operating, LLC, Galera Therapeutics Australia Pty Ltd (Galera Australia), and Galera Labs, LLC. Galera Australia was deregistered in November 2024. In December 2024, the Company acquired Nova Pharmaceuticals, Inc. as a wholly owned subsidiary, which was merged into another wholly owned subsidiary, Grape Merger Sub II, LLC in November 2025, with the surviving entity renamed Nova Pharmaceuticals Operating, LLC (see Note 3). All intercompany accounts and transactions have been eliminated in consolidation.</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has determined the functional currency of Galera Australia to be the U.S. dollar. The Company records remeasurement gains and losses on monetary assets and liabilities, such as accounts payable, which are not denominated in U.S. dollars in the statements of operations.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expenses during the reporting period. Actual results could differ from those estimates.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revisions are reflected in the consolidated financial statements in the period they are determined to be necessary. Significant areas that require management’s estimates include the share-based compensation assumptions, royalty purchase liability assumptions and accrued research and development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(CEO), as the CODM, manages the Company’s business activities as a single operating and reportable segment at the consolidated level. Accordingly, the CEO uses consolidated income (loss) from operations as well as consolidated net income (loss) to measure segment profit or loss, allocate resources, and assess performance. The measure of segment assets is reported on the balance sheet as total assets.</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Significant expenses within income (loss) from operations, as well as within net income (loss), include research and development and general and administrative expenses, which are each separately presented on the Company’s consolidated statements of operations. Other segment items within net income (loss) include acquired in-process research and development, write-offs of the acquired intangible asset and goodwill, a gain on litigation settlement, a gain on sale of dismutase mimetics assets, a gain on extinguishment of debt, interest income, interest expense, the change in fair value of warrant liability, foreign currency loss, and income tax benefit.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20"/>
          </w:cols>
          <w:pgMar w:left="320" w:top="455" w:right="45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the significant expense categories reviewed by the CEO for the years ended December 31, 2025 and 2024:</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1,476</w:t>
            </w: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unallocated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607</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Personnel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2,607</w:t>
            </w: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1,855</w:t>
            </w:r>
          </w:p>
        </w:tc>
      </w:tr>
      <w:tr>
        <w:trPr>
          <w:trHeight w:val="216"/>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4,060</w:t>
            </w: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2,480</w:t>
            </w: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11,002</w:t>
            </w:r>
          </w:p>
        </w:tc>
        <w:tc>
          <w:tcPr>
            <w:tcW w:w="10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w w:val="99"/>
              </w:rPr>
              <w:t>(155,091)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4,804</w:t>
            </w: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149,049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(18,957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Acquisitions of assets or a group of assets that do not meet the definition of a business are accounted for as asset acquisitions, with a cost accumulation model used to determine the cost of the acquisition. Common stock issued as consideration in an acquisition of assets is generally measured based on the acquisition date fair value of the equity interests issued. Direct transaction costs are recognized as part of the cost of an acquisition of assets. Intangible assets that are acquired in an asset acquisition for use in research and development activities that have an alternative future use are capitalized as in-process research and development (IPR&amp;D). Acquired IPR&amp;D that has no alternative future use is expensed immediately in the consolidated statements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Management believes that the carrying amounts of the Company’s financial instruments, including accounts payable and accrued expenses, approximate fair value due to the short-term nature of those instruments. The royalty purchase liability was accounted for as debt and interest was accreted over the expected repayment period until the extinguishment of the royalty purchase liability following the sale to Biossil. Based on the outcome from the Company’s discussions with the FDA reiterating the need for an additional Phase 3 trial to support resubmission of the avasopasem New Drug Application (NDA), it was not feasible to conduct an additional clinical trial with the Company’s resources. Due to the uncertainty of obtaining regulatory approval and successful commercialization of avasopasem, it was impractical to determine the fair value of the debt. The pre-funded warrants were measured at fair value on a recurring basis and carried at their estimated fair value until their reclassification to equity at March 31, 2025.</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short-term investments. The Company maintains deposits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00"/>
        <w:spacing w:after="0" w:line="312" w:lineRule="auto"/>
        <w:rPr>
          <w:sz w:val="20"/>
          <w:szCs w:val="20"/>
          <w:color w:val="auto"/>
        </w:rPr>
      </w:pPr>
      <w:r>
        <w:rPr>
          <w:rFonts w:ascii="Times New Roman" w:cs="Times New Roman" w:eastAsia="Times New Roman" w:hAnsi="Times New Roman"/>
          <w:sz w:val="17"/>
          <w:szCs w:val="17"/>
          <w:color w:val="auto"/>
        </w:rPr>
        <w:t>federally insured financial institutions in excess of federally insured limits. The Company has not experienced any losses in such accounts and believes it is not exposed to significant risk on its cash and cash equivalents. The Company had no short-term investments as of December 31, 2025 or 2024.</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Cash and cash equivalents as of December 31, 2025 and 2024 consisted of bank deposits and a money market mutual fund invested in U.S. Treasury obligations. The Company maintains a portion of its cash and cash equivalents in accounts with major financial institutions, and its deposits at these institutions exceed insured limits.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straight-line method over their estimated useful lives ranging from three to five years. Leasehold improvements are amortized over the shorter of their economic lives or the remaining lease term. The costs of maintenance and repairs are expensed as incurred. Improvements and betterments that add new functionality or extend the useful life of the asset are capitalized. The Company had no property and equipment as of December 31, 2025 or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undiscounted future cash flows, then an impairment charge is recognized for the amount by which the carrying value of the asset exceeds the estimated fair value of the asset. As of December 31, 2025, the Company believes that no revision of the remaining useful lives or write-down of long-lived assets is required.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Intangible assets related to IPR&amp;D are considered indefinite-lived intangible assets and, along with goodwill, are not amortized, but are assessed for impairment annually or more frequently if impairment indicators exist. For those compounds that reach commercialization, the IPR&amp;D assets will be amortized over their estimated useful lives. If the associated research and development effort related to IPR&amp;D is abandoned, the related assets will be written-off and the Company will record a noncash impairment loss on its consolidated statements of operations.</w:t>
      </w:r>
    </w:p>
    <w:p>
      <w:pPr>
        <w:spacing w:after="0" w:line="180" w:lineRule="exact"/>
        <w:rPr>
          <w:sz w:val="20"/>
          <w:szCs w:val="20"/>
          <w:color w:val="auto"/>
        </w:rPr>
      </w:pPr>
    </w:p>
    <w:p>
      <w:pPr>
        <w:ind w:left="120" w:right="20" w:firstLine="440"/>
        <w:spacing w:after="0" w:line="272" w:lineRule="auto"/>
        <w:rPr>
          <w:sz w:val="20"/>
          <w:szCs w:val="20"/>
          <w:color w:val="auto"/>
        </w:rPr>
      </w:pPr>
      <w:r>
        <w:rPr>
          <w:rFonts w:ascii="Times New Roman" w:cs="Times New Roman" w:eastAsia="Times New Roman" w:hAnsi="Times New Roman"/>
          <w:sz w:val="17"/>
          <w:szCs w:val="17"/>
          <w:color w:val="auto"/>
        </w:rPr>
        <w:t>In August 2024, the Company’s board of directors approved a plan of complete liquidation and dissolution (Plan of Dissolution), under which future development of the Company’s historical product candidates would no longer continue. In connection with this decision, the Company concluded that the related IPR&amp;D asset and related goodwill were each impaired in their entirety, and as such recognized non-cash impairment charges of</w:t>
      </w:r>
    </w:p>
    <w:p>
      <w:pPr>
        <w:spacing w:after="0" w:line="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$2.3 million for the IPR&amp;D and $0.9 million for the goodwill during the year ended December 31, 2024. The impairment also resulted in an income tax benefit of $0.2 million due to the tax effect of the reduction in the deferred tax liability associated with the IPR&amp;D asset. The Plan of Dissolution ultimately did not receive approval by the Company’s shareholders.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Royalty purchase liability</w:t>
      </w:r>
    </w:p>
    <w:p>
      <w:pPr>
        <w:spacing w:after="0" w:line="121"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In November 2018, the Company entered into an Amended and Restated Purchase and Sale Agreement (as subsequently amended, the Royalty Agreement) with Clarus IV Galera Royalty AIV, Clarus IV A, L.P., Clarus IV B, L.P., Clarus IV C, L.P. and Clarus IV D, L.P. (collectively, Blackstone or Blackstone Life Sciences). Proceeds from the Royalty Agreement are accounted as debt. Interest expense is imputed based on the estimated royalty repayment period and considers the probability and timing of obtaining regulatory approvals and potential future revenue from commercial net product sales. Changes in estimates, if any, are made prospectively. Amendments to royalty purchase arrangements are evaluated for extinguishment and modification accounting treatment at the time of each amendment. Royalty purchase liabilities are derecognized when they are deemed to be extinguished, which is determined when the Company has paid the liability in its entirety and is relieved of its obligation, or when the Company is legally released from being the primary obligor under the liability, either judicially or by the creditor.</w:t>
      </w:r>
    </w:p>
    <w:p>
      <w:pPr>
        <w:spacing w:after="0" w:line="192"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sale of the Company’s dismutase mimetics assets to Biossil, the Company assigned and Biossil assumed all rights and obligations under the Royalty Agreement, and Blackstone acknowledged that it would look solely to Biossil to pay and perform the obligations and liabilities under the Royalty Agreement. The Company extinguished its outstanding royalty purchase liability at the time of the assignment and assumption with Biossil.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pre-funded warrants issued in conjunction with the private placement in December 2024 (See Note 1) were classified as liabilities on the balance sheet at December 31, 2024, as they contained terms for redemption of the underlying security that were outside the Company’s control. The warrant liability was initially recorded at fair value upon the date of issuance and subsequently remeasured to fair value at each reporting date, with changes recognized in the consolidated statements of operations. In March 2025 the pre-funded warrants were amended, and were thereafter deemed to qualify for equity classification. The Company recognized a final change in the fair value of the liability classified warrants immediately prior to the reclassification (See Note 5).</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records shares of redeemable convertible preferred stock at their respective fair values on the dates of issuance, net of issuance costs. The Company has applied the guidance in ASC 480-10-S99-3A, SEC Staff Announcement: Classification and Measurement of Redeemable Securities, and has therefore classified the redeemable convertible preferred stock outside of stockholders’ equity (deficit) because, if conversion to common stock is not approved by the stockholders, the redeemable convertible preferred stock will be redeemable at the option of the holders for cash equal to the closing price of the common stock on the last trading day prior to the holder’s redemption request. The Company determined that the conversion and redemption are outside of the Company’s control. Additionally, the Company determined the conversion and redemption features did not require bifurcation as derivatives.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At lease commencement, the Company records a lease liability based on the present value of lease payments over the expected lease term including any options to extend the lease that the Company is reasonably certain to exercise. The Company calculates the present value of lease payments using an incremental borrowing rate as the Company’s leases do not provide an implicit interest rate. The Company’s incremental borrowing rate for a lease is the rate of interest it would have to pay on a collateralized basis to borrow an amount equal to the lease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20"/>
          </w:cols>
          <w:pgMar w:left="320" w:top="455" w:right="45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payments under similar terms. At the lease commencement date, the Company records a corresponding right-of-use lease asset based on the lease liability, adjusted for any lease incentives received and any initial direct costs paid to the lessor prior to the lease commencement date. The Company may enter into leases with an initial term of 12 months or less (short-term leases). For short-term leases, the Company records the rent expense on a straight-line basis and does not record the leases on the balance sheet. As of December 31, 2025, the Company had one short-term lease. The Company had no short-term leases as of December 31, 2024.</w:t>
      </w:r>
    </w:p>
    <w:p>
      <w:pPr>
        <w:spacing w:after="0" w:line="183"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After lease commencement, the Company measures its leases as follows: (i) the lease liability based on the present value of the remaining lease payments using the discount rate determined at lease commencement, and (ii) the right-of-use lease asset based on the remeasured lease liability, adjusted for any unamortized lease incentives received, any unamortized initial direct costs and the cumulative difference between rent expense and amounts paid under the lease agreement. Any lease incentives received and any initial direct costs are amortized on a straight-line basis over the expected lease term. Rent expense is recorded on a straight-line basis over the expected lease term.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funds paid to third parties for the provision of services for product candidate development, clinical and preclinical development and related supply and manufacturing costs, and regulatory compliance costs. The Company accrues and expenses preclinical studies and clinical trial activities performed by third parties based upon estimates of the proportion of work completed over the term of the individual trial and patient enrollment rates in accordance with agreements with clinical research organizations and clinical trial sites. The Company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Company’s clinical development plan.</w:t>
      </w:r>
    </w:p>
    <w:p>
      <w:pPr>
        <w:spacing w:after="0" w:line="19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Management makes estimates of the Company’s accrued expenses as of each balance sheet date in the Company’s consolidated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 measures share-based awards at their grant-date fair value and records compensation expense on a straight-line basis over the vesting period of the awards.</w:t>
      </w:r>
    </w:p>
    <w:p>
      <w:pPr>
        <w:spacing w:after="0" w:line="162"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Estimating the fair value of share-based awards requires the input of subjective assumptions, including the expected life of the options and stock price volatility. The Company accounts for forfeitures of stock option awards as they occur. The Company uses the Black-Scholes option pricing model to value its stock option awards. The assumptions used in estimating the fair value of share-based awards represent management’s estimate and involve inherent uncertainties and the application of management’s judgment. As a result, if factors change and management uses different assumptions, share-based compensation expense could be materially different for future awards.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00"/>
          </w:cols>
          <w:pgMar w:left="320" w:top="455" w:right="47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expected life of the stock options is estimated using the “simplified method,”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 For stock price volatility, the Company uses comparable public companies as a basis for its expected volatility to calculate the fair value of option grants. The risk-free rate is based on the U.S. Treasury yield curve commensurate with the expected life of the option.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Benefit Plan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 sponsors a 401(k) defined contribution plan for its employees. Employee contributions are voluntary. The Company matches employee contributions in an amount equal to 100% of the first 4% of eligible compensation, and such employer contributions are immediately vested. The Company provided matching contributions of approximately $31,000 and $78,000 during the years ended December 31, 2025 and 2024,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Gain on litigation settlement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On May 30, 2023, the Company filed a lawsuit in the Court of Common Pleas in Chester County, Pennsylvania, or the Court, against Alira Health Clinical, LLC and IQVIA Biotech, LLC (the CROs), seeking damages and alleging breach of contract, professional negligence, and negligence related to an error by the defendants in 2021 in their statistical program for the Phase 3 ROMAN trial of avasopasem for the reduction of SOM induced by radiotherapy in patients with locally advanced head and neck cancer (the Phase 3 ROMAN trial) (the Litigation). On August 2, 2024, the Company and the CROs entered into an agreement to settle the Litigation, pursuant to which, in exchange for mutual releases, the CROs paid to the Company the amount of $975,000, and the parties terminated the contracts between the Company and the CROs, with no further obligations under the parties’ contracts. On August 8, 2024, the Company filed a Praecipe to Settle, Discontinue, and End the Litigation. During the year ended December 31, 2024, the Company recorded the $975,000 as gain on litigation settlement within operating expenses on its consolidated statement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and operating loss and credit carryforwards. Deferred tax assets and liabilities are measured using enacted tax rates expected to apply to taxable income in the years in which those temporary differences are expected to be recovered or settled. A valuation allowance is provided when it is more likely than not that some portion or all of a deferred tax asset will not be realized. The Company recognizes the benefit of an uncertain tax position that it has taken or expects to take on its income tax return if such a position is more likely than not to be sustained.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budget and tax legislation signed into law on July 4, 2025 includes changes to U.S. federal tax law, which may be subject to further clarification and the issuance of interpretive guidance. The Company has assessed the legislation and its effect on its consolidated financial statements. Due to the existence of a full valuation allowance against the Company’s U.S. federal deferred tax assets, the Company does not expect the enactment of this law to have a material impact on its consolidated financial statements.</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Under Internal Revenue Code section 382, if a corporation undergoes a specified change in ownership, the corporation’s ability to use its pre-change net operating loss (NOL) carryforwards and other pre-change tax attributes to offset its post-change income may be limited. Such limitation may result in the expiration of the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320" w:top="455" w:right="45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NOL carryforwards generated before 2018 and other pre-change tax attributes prior to their utilization. During the year ended December 31, 2025 the Company performed a section 382 study and determined that an ownership change occurred on December 30, 2024 upon the completion of the acquisition of Nova. The Company calculated the section 382 annual limitation and evaluated the corporation’s ability to use its NOL carryforwards and other pre-change tax attributes in future periods and determined that a portion of them would likely expire before being utilized. Consequently,</w:t>
      </w:r>
    </w:p>
    <w:p>
      <w:pPr>
        <w:spacing w:after="0" w:line="3" w:lineRule="exact"/>
        <w:rPr>
          <w:sz w:val="20"/>
          <w:szCs w:val="20"/>
          <w:color w:val="auto"/>
        </w:rPr>
      </w:pPr>
    </w:p>
    <w:p>
      <w:pPr>
        <w:jc w:val="both"/>
        <w:ind w:left="120" w:right="160"/>
        <w:spacing w:after="0" w:line="255" w:lineRule="auto"/>
        <w:rPr>
          <w:sz w:val="20"/>
          <w:szCs w:val="20"/>
          <w:color w:val="auto"/>
        </w:rPr>
      </w:pPr>
      <w:r>
        <w:rPr>
          <w:rFonts w:ascii="Times New Roman" w:cs="Times New Roman" w:eastAsia="Times New Roman" w:hAnsi="Times New Roman"/>
          <w:sz w:val="18"/>
          <w:szCs w:val="18"/>
          <w:color w:val="auto"/>
        </w:rPr>
        <w:t>$62.6 million of pre-2018 federal NOLs, $230.2 million of state NOLs and $9 million of federal research and development tax credits were written off during the year. However, as the Company had previously recorded a full valuation allowance on all deferred tax assets, these write-offs resulted in no impact to the net deferred tax position or net income during the year.</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Income (loss) per common share requires consideration of the two-class method when an entity has participating securities. The Company’s outstanding warrants from the February 2023 registered direct offering (Note 12) entitle the holders to receive dividends on a basis equivalent to the dividends paid to holders of common stock, participating pro-rata in the earnings of the Company as if the warrant was converted into common shares of the Company. As a result, the February 2023 warrants meet the definition of a participating security, and the Company is required to apply the two-class method. Under the two-class method, earnings available to common shareholders, including both distributed and undistributed earnings, are allocated to each class of common stock and participating securities according to dividends declared and participating rights in undistributed earnings. Since the February 2023 warrants do not have contractual obligations that require participation in the Company’s losses, the two-class method is not required for periods in which Company has a net loss.</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For purposes of basic and diluted net income or loss per share, shares of the Series B redeemable convertible preferred stock (Series B) have the same characteristics as common stock and have no material preferential rights over common stock, and accordingly have been considered as a second class of common stock in the computation of basic and diluted net income or loss per share regardless of their legal form. Income and losses are allocated between the common shares and the Series B on a pro rata basis as they share equally in income, losses and residual net assets on an as-converted basis.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Basic income (loss) per share of common stock is computed by dividing net income (loss) available to common stockholders, which excludes the income allocated to participating security holders, by the weighted-average number of shares of common stock outstanding during each period, including pre-funded warrants. The pre-funded warrants to purchase common stock are included in the calculation of basic and diluted net income (loss) per share as the exercise price of $0.001 per share is non-substantive and is virtually assured.</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Diluted income (loss) per share of common stock includes the effect, if any, from the potential exercise or conversion of securities, such as stock options and common stock warrants, which would result in the issuance of incremental shares of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20"/>
          </w:cols>
          <w:pgMar w:left="320" w:top="455" w:right="45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Company’s basic and diluted income (loss) per common share is as follows:</w:t>
      </w:r>
    </w:p>
    <w:p>
      <w:pPr>
        <w:spacing w:after="0" w:line="246"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5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2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149,049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(18,957)</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Allocation of undistributed income to participating security</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2023 Warrants)</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(8,577)</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Less: Allocation of undistributed income or loss to Series B</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(76,948)</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Undistributed income (loss) available to common stockholders,</w:t>
            </w:r>
          </w:p>
        </w:tc>
        <w:tc>
          <w:tcPr>
            <w:tcW w:w="4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63,524</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(18,733)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common stock outstanding, basic and</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98,503,430</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54,633,215</w:t>
            </w: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of common stock, basic and diluted</w:t>
            </w:r>
          </w:p>
        </w:tc>
        <w:tc>
          <w:tcPr>
            <w:tcW w:w="4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2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income (loss) attributable to Series B redeemable convertible</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stockholders, basic and diluted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76,948</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198"/>
        </w:trPr>
        <w:tc>
          <w:tcPr>
            <w:tcW w:w="5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of Series B redeemable convertible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outstanding, basic and diluted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119,318</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income (loss) per share of Series B redeemable convertible</w:t>
            </w:r>
          </w:p>
        </w:tc>
        <w:tc>
          <w:tcPr>
            <w:tcW w:w="4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basic and diluted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644.</w:t>
            </w:r>
            <w:r>
              <w:rPr>
                <w:rFonts w:ascii="Times New Roman" w:cs="Times New Roman" w:eastAsia="Times New Roman" w:hAnsi="Times New Roman"/>
                <w:sz w:val="18"/>
                <w:szCs w:val="18"/>
                <w:u w:val="single" w:color="auto"/>
                <w:color w:val="auto"/>
              </w:rPr>
              <w:t>89</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(342.89)</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as they would be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16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10,969,734</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4,384,108</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550,661</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13,850,661</w:t>
            </w:r>
          </w:p>
        </w:tc>
      </w:tr>
      <w:tr>
        <w:trPr>
          <w:trHeight w:val="27"/>
        </w:trPr>
        <w:tc>
          <w:tcPr>
            <w:tcW w:w="5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11,520,395</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18,234,769</w:t>
            </w:r>
          </w:p>
        </w:tc>
      </w:tr>
      <w:tr>
        <w:trPr>
          <w:trHeight w:val="20"/>
        </w:trPr>
        <w:tc>
          <w:tcPr>
            <w:tcW w:w="5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December 2023, FASB issued ASU 2023-09, “Improvements to Income Tax Disclosures,” which enhances the transparency and decision usefulness of income tax disclosures. The guidance is effective for the Company’s annual reporting period ending December 31, 2025, with early adoption permitted. The Company adopted this ASU on December 31, 2025, and applied the new disclosure requirements using a prospective approach. The adoption did not have a material impact on the Company’s consolidated financial statements. See Note 13 Income Taxes.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In September 2025, FASB issued ASU 2025-07, “Derivatives and Hedging (Topic 815) and Revenue from Contracts with Customers (Topic 606):</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Derivatives Scope Refinements and Scope Clarification for Share-Based</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5" w:right="49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Noncash Consideration from a Customer in a Revenue Contract” (ASU 2025-07). ASU 2025-07 clarifies the application of derivative accounting to certain contracts and refines the guidance for share-based noncash consideration received from customers. Specifically, ASU 2025-07 introduces a scope exception for contracts that are not exchange-traded and whose underlying is tied to operations or activities specific to one party. It also clarifies that share-based noncash consideration from a customer should initially be accounted for under ASC 606 until the right to receive or retain such consideration becomes unconditional, at which point financial instruments guidance may apply. ASU 2025-07 is effective for fiscal years beginning after December 15, 2026 and interim periods within those fiscal years. Early adoption is permitted. The Company early adopted this ASU in the fourth quarter of 2025 on a prospective basis and applied this ASU in accounting for the sale of assets to Biossil.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the disaggregation of certain expenses in the notes of the financials, to provide enhanced transparency into the expense captions presented on the face of the income statement. The guidance is effective for annual reporting periods beginning after December 15, 2026 and interim periods beginning after December 15, 2027 and may be applied either prospectively or retrospectively. The Company is assessing the impact of adopting this guidance on its consolidated financial statements.</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2024-04, “ASC 470- Debt with Conversion and Other Options, Induced Conversions of Convertible Debt Instruments,” (ASU 2024-04) which clarifies whether or not a settlement of a convertible debt instrument is subject to the induced conversion guidance. The guidance is effective for the Company’s annual reporting period beginning on January 1, 2026, including interim periods. Early adoption is permitted and the respective amendments in ASU 2024-04 may be applied on a prospective or retrospective basis. The Company does not expect the adoption to have a material impact on its consolidated financial statements.</w:t>
      </w:r>
    </w:p>
    <w:p>
      <w:pPr>
        <w:spacing w:after="0" w:line="183"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updated guidance changes the accounting for internal-use software by eliminating references to sequential project stages. Eligible software development cost capitalization will begin when: (1) management has authorized and committed to funding the software project and (2) it is probable that the software will be completed and used as intended. The guidance is effective for annual periods beginning after December 15, 2027, and interim periods within those annual periods, with early adoption permitted. The guidance may be applied using a prospective transition method, a retrospective transition method or a modified prospective transition method. The Company is assessing the impact of adopting this guidance on its consolidated financial statements.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 Narrow Scope Improvements,” (ASU 2025-11)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assessing the impact of adopting this guidance on its consolidated financial statements.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Asset acquisition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December 30, 2024, the Company acquired Nova Pharmaceuticals, Inc. (Nova), in accordance with the terms of an Agreement and Plan of Merger, dated December 30, 2024 (Merger Agreement), pursuant to which the Company acquired Nova’s tilarginine programs and assumed certain liabilities associated with the acquired assets. The upfront consideration included the issuance of 119,318 shares of Series B at an aggregate fair value of $2.6 million.</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share of Series B is convertible into 1,000 shares of common stock, subject to the Beneficial Ownership Limitation (defined below). The fair value of the shares issued to Nova was based on the closing stock price of the Company’s common stock on December 30, 2024, of $0.027, less a discount of 20.0% related to unregistered share restrictions of the preferred shares. The fair value measurement for the Series B is classified as Level 3 within the fair value hierarchy.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accounted for the transaction as an asset acquisition as the Company acquired inputs and no substantive processes or outputs. The assets acquired in the transaction were measured based on the estimated fair value of the consideration paid of $3.5 million, which included direct transactions costs of $0.9 million.</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consideration paid and the relative values of the assets acquired, and liabilities assumed were as follows: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Series B Preferred Stock issued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2,577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 costs paid</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consideration paid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3,496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3,843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3,943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9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3,496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the Nova IPR&amp;D assets acquired have no alternative future use to the Company, the Company charged $3.8 million to Acquired IPR&amp;D expense within its consolidated statement of operations for the year ended December 31, 2024.</w:t>
      </w:r>
    </w:p>
    <w:p>
      <w:pPr>
        <w:spacing w:after="0" w:line="162"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The Merger Agreement was unanimously approved by the Board of Directors of both companies and by the stockholders of Nova. The Board of Directors includes three current Galera board members, and two additional board members selected by Nova. On March 17, 2026, the Company’s subsidiary, Nova Pharmaceuticals Operating, LLC, waived the Company’s obligations to hold a meeting of the Company’s stockholders to vote on</w:t>
      </w:r>
    </w:p>
    <w:p>
      <w:pPr>
        <w:spacing w:after="0" w:line="1" w:lineRule="exact"/>
        <w:rPr>
          <w:sz w:val="20"/>
          <w:szCs w:val="20"/>
          <w:color w:val="auto"/>
        </w:rPr>
      </w:pPr>
    </w:p>
    <w:p>
      <w:pPr>
        <w:ind w:left="120" w:hanging="4"/>
        <w:spacing w:after="0" w:line="253" w:lineRule="auto"/>
        <w:tabs>
          <w:tab w:leader="none" w:pos="33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conversion of the Series B into shares of Common Stock; (ii) the approval of an amendment to Galera’s certificate of incorporation to effect a reverse stock split and/or increase the number of authorized shares of common stock to such amount as determined by the Board following the closing; and (iii) the approval of one or more adjournments of the Stockholders’ Meeting to solicit additional proxies if there are not sufficient votes cast in favor of the foregoing matters (the Waiver). These obligations were waived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20"/>
          </w:cols>
          <w:pgMar w:left="320" w:top="455" w:right="45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following the filing of a Certificate of Amendment (the Certificate of Amendment) to the Certificate of Designation of Preferences, Rights, and Limitations of Series B Non-Voting Convertible Preferred Stock (Certificate of Designation) with the Secretary of State of the State of Delaware on February 12, 2026. Pursuant to this amendment, in the sole discretion of the Board, the Company may elect to convert, in whole or in part, outstanding shares of Series B into shares of Common Stock calculated based on the Conversion Ratio (one share of Series B convertible into 1,000 shares of common stock, as defined in the Certificate of Designation). The Waiver and the Certificate of Amendment were each approved by the Board, and the Certificate of Amendment was further approved by the unanimous written consent of the holders of the Series B.</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Sale of assets</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In October 2025, the Company entered into an Asset Purchase and Sale Agreement, as amended (APA) with Biossil, Inc (Biossil), pursuant to which Biossil acquired all of the Company’s right, title and interest in and to its assets related to avasopasem and rucosopasem and all other dismutase mimetics assets (the Transaction). The assets consisted of intellectual property rights related to dismutase mimetics and inventory of avasopasem and rucosopasem; there was no carrying value for these assets. Biossil assumed the Company’s existing agreements related to these assets.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received consideration from Biossil in the form of an upfront payment in October 2025 of $3.5 million, and is eligible to receive further payments upon the achievement of future regulatory and commercial milestones of up to $75.0 million, and received contingent value rights of up to $30.0 million should Biossil enter into an out-license for topical applications. The Company accounted for the Transaction as a sale of a nonfinancial asset group in accordance with ASC 610-20, Other Income-Gains and Losses from Derecognition of Nonfinancial Assets, and followed the principles of ASC 606, Revenue from Contracts with Customers. Future regulatory and commercial milestone payments and potential payments pursuant to the contingent value rights are considered variable consideration and fully constrained at the time of the sale and again at</w:t>
      </w:r>
    </w:p>
    <w:p>
      <w:pPr>
        <w:spacing w:after="0" w:line="5" w:lineRule="exact"/>
        <w:rPr>
          <w:sz w:val="20"/>
          <w:szCs w:val="20"/>
          <w:color w:val="auto"/>
        </w:rPr>
      </w:pPr>
    </w:p>
    <w:p>
      <w:pPr>
        <w:ind w:left="120" w:right="360"/>
        <w:spacing w:after="0" w:line="253" w:lineRule="auto"/>
        <w:rPr>
          <w:sz w:val="20"/>
          <w:szCs w:val="20"/>
          <w:color w:val="auto"/>
        </w:rPr>
      </w:pPr>
      <w:r>
        <w:rPr>
          <w:rFonts w:ascii="Times New Roman" w:cs="Times New Roman" w:eastAsia="Times New Roman" w:hAnsi="Times New Roman"/>
          <w:sz w:val="18"/>
          <w:szCs w:val="18"/>
          <w:color w:val="auto"/>
        </w:rPr>
        <w:t>December 31, 2025, as it was determined that it was not probable that the variable consideration related to the contingent milestone payments and contingent value right payments will be received. The contingent milestone and contingent value right payments will be recognized if and when it becomes probable that the underlying milestones or events will be achieved and payments will be received. The Company transferred control of the nonfinancial asset group in October 2025 and recognized a gain of $3.5 million in the consolidated statements of operations related to the sale of dismutase mimetics assets and a gain of $151.0 million related to the extinguishment of the royalty purchase liability.</w:t>
      </w:r>
    </w:p>
    <w:p>
      <w:pPr>
        <w:spacing w:after="0" w:line="187"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acquiring these assets, the Company assigned and Biossil assumed all of the Company’s rights and obligations under the Royalty Agreement with Blackstone (see Note 9).</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85" w:lineRule="exact"/>
        <w:rPr>
          <w:sz w:val="20"/>
          <w:szCs w:val="20"/>
          <w:color w:val="auto"/>
        </w:rPr>
      </w:pPr>
    </w:p>
    <w:p>
      <w:pPr>
        <w:ind w:left="1080" w:right="660" w:hanging="424"/>
        <w:spacing w:after="0" w:line="282"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320" w:top="455" w:right="47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080" w:right="240" w:hanging="424"/>
        <w:spacing w:after="0" w:line="312" w:lineRule="auto"/>
        <w:tabs>
          <w:tab w:leader="none" w:pos="1080"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presents the Company’s assets and liabilities that are measured at fair value on a recurring basis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(Level 1)</w:t>
            </w:r>
          </w:p>
        </w:tc>
        <w:tc>
          <w:tcPr>
            <w:tcW w:w="1560" w:type="dxa"/>
            <w:vAlign w:val="bottom"/>
            <w:gridSpan w:val="4"/>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(Level 3)</w:t>
            </w:r>
          </w:p>
        </w:tc>
        <w:tc>
          <w:tcPr>
            <w:tcW w:w="6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$ 6,265</w:t>
            </w: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(Level 1)</w:t>
            </w:r>
          </w:p>
        </w:tc>
        <w:tc>
          <w:tcPr>
            <w:tcW w:w="1560" w:type="dxa"/>
            <w:vAlign w:val="bottom"/>
            <w:gridSpan w:val="4"/>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(Level 3)</w:t>
            </w:r>
          </w:p>
        </w:tc>
        <w:tc>
          <w:tcPr>
            <w:tcW w:w="6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$ 6,115</w:t>
            </w: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There were no changes in valuation techniques during the years ended December 31, 2025 and 2024. The Company’s short-term investment instruments classified using Level 1 inputs within the fair value hierarchy are classified as such because they are valued using quoted market prices, broker or dealer quotations, or alternative pricing sources with reasonable levels of price transparency.</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initial fair value of the pre-funded warrants was based on the closing price of the private placement that occurred in December 2024. Each subsequent reporting period prior to their reclassification to equity the warrants were marked-to-market based on the period-end closing price of the Company’s common stock. The change in fair value of the warrant liabilities for the year ended December 31, 2025 is as follows (amounts in thousands):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$1,055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(294)</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Reclassification to equity</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(761)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Prepaid expenses and other current assets</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48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 consist of (amounts in thousands):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24"/>
                <w:szCs w:val="24"/>
                <w:color w:val="auto"/>
              </w:rPr>
            </w:pPr>
          </w:p>
        </w:tc>
        <w:tc>
          <w:tcPr>
            <w:tcW w:w="88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5"/>
                <w:szCs w:val="15"/>
                <w:color w:val="auto"/>
              </w:rPr>
            </w:pPr>
          </w:p>
        </w:tc>
        <w:tc>
          <w:tcPr>
            <w:tcW w:w="100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720</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3"/>
              </w:rPr>
              <w:t>1,077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and equipment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termination of its office lease in August 2024, the Company wrote off its remaining fixed assets during the third quarter of 2024. Depreciation and amortization expense was $20,000 for the year ended December 31, 2024. There was no depreciation expense for the year ended December 31, 2025.</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00"/>
          </w:cols>
          <w:pgMar w:left="320" w:top="455" w:right="47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consist of (amounts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00" w:type="dxa"/>
            <w:vAlign w:val="bottom"/>
          </w:tcPr>
          <w:p>
            <w:pPr>
              <w:spacing w:after="0"/>
              <w:rPr>
                <w:sz w:val="18"/>
                <w:szCs w:val="18"/>
                <w:color w:val="auto"/>
              </w:rPr>
            </w:pPr>
          </w:p>
        </w:tc>
        <w:tc>
          <w:tcPr>
            <w:tcW w:w="16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 filing of S-1 registration statement</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200" w:type="dxa"/>
            <w:vAlign w:val="bottom"/>
          </w:tcPr>
          <w:p>
            <w:pPr>
              <w:spacing w:after="0"/>
              <w:rPr>
                <w:sz w:val="18"/>
                <w:szCs w:val="18"/>
                <w:color w:val="auto"/>
              </w:rPr>
            </w:pPr>
          </w:p>
        </w:tc>
        <w:tc>
          <w:tcPr>
            <w:tcW w:w="162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r>
      <w:tr>
        <w:trPr>
          <w:trHeight w:val="27"/>
        </w:trPr>
        <w:tc>
          <w:tcPr>
            <w:tcW w:w="5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8"/>
                <w:szCs w:val="18"/>
                <w:color w:val="auto"/>
              </w:rPr>
              <w:t>380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Royalty purchase liability</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Pursuant to the Company’s Royalty Agreement with Blackstone, the Company has received $117.5 million in aggregate proceeds. Proceeds from the Royalty Agreement were accounted as debt on the accompanying consolidated balance sheets. Interest expense was imputed based on the estimated royalty repayment period, which took into consideration the probability and timing of obtaining approval from the U.S. Food and Drug Administration (FDA) and the potential future revenue from commercializing its historical product candidates, and which resulted in a corresponding increase in the liability balance.</w:t>
      </w:r>
    </w:p>
    <w:p>
      <w:pPr>
        <w:spacing w:after="0" w:line="183"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The Company suspended recognizing interest expense on the royalty purchase liability after October 2023, as the result of the uncertainty of any future royalties following its decision to discontinue the rucosopasem GRECO trials and that it was not feasible with its current resources for the Company to conduct another Phase 3 trial of avasopasem. Accordingly, no interest was recognized during the years ended December 31, 2025 and 2024.</w:t>
      </w:r>
    </w:p>
    <w:p>
      <w:pPr>
        <w:spacing w:after="0" w:line="15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August 2025, the Royalty Agreement was amended, which reduced the royalty rate on net sales of avasopasem and rucosopasem to four percent (4%). The amendment was accounted for as a modification of debt to which no immediate gain or loss is recognized.</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Company’s dismutase mimetics assets to Biossil in October 2025, the Company assigned and Biossil assumed all rights and obligations under the amended Royalty Agreement, and Blackstone acknowledged that it would look solely to Biossil to pay and perform the obligations and liabilities under the amended Royalty Agreement. Accordingly, the Company has extinguished the royalty purchase liability from its consolidated balance sheet, recording a $151.0 million noncash gain on the extinguishment in its consolidated statement of operations for the year ended December 31,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Company previously had an operating lease for office space in Malvern, Pennsylvania. On August 8, 2024, the Company entered into a Lease Termination Agreement with its landlord. In return for an early termination fee of $0.4 million, the office lease was terminated as of August 31, 2024, and the Company has no further obligations with regard to the office lease. The Company’s total cost to exit the office lease was $0.5 million, including a broker fee and other costs. The discount rate used to account for the Company’s operating lease is the Company’s estimated incremental borrowing rate of 5.4%.</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January 2025 the Company entered into a new operating lease agreement for office space in Malvern, Pennsylvania. The lease commencement date was February 1, 2025, and the lease term was 12 months, after which it continues on a month-to-month basis, with 90 days’ notice required for cancellation.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Lease cost, as presented below, includes costs associated with leases for which right-of-use (ROU) assets have been recognized as well as short-term leases.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lease expense were as follows (amounts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costs</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rental expense</w:t>
            </w:r>
          </w:p>
        </w:tc>
        <w:tc>
          <w:tcPr>
            <w:tcW w:w="108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$ 14</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$ 559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10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$ 14</w:t>
            </w: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$ 559</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(amounts in thousands):</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4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65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Operating cash</w:t>
            </w:r>
          </w:p>
        </w:tc>
        <w:tc>
          <w:tcPr>
            <w:tcW w:w="3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flows for operating leases</w:t>
            </w:r>
          </w:p>
        </w:tc>
        <w:tc>
          <w:tcPr>
            <w:tcW w:w="860" w:type="dxa"/>
            <w:vAlign w:val="bottom"/>
            <w:gridSpan w:val="4"/>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$ 14</w:t>
            </w:r>
          </w:p>
        </w:tc>
        <w:tc>
          <w:tcPr>
            <w:tcW w:w="220" w:type="dxa"/>
            <w:vAlign w:val="bottom"/>
            <w:shd w:val="clear" w:color="auto" w:fill="CCEEFF"/>
          </w:tcPr>
          <w:p>
            <w:pPr>
              <w:spacing w:after="0"/>
              <w:rPr>
                <w:sz w:val="20"/>
                <w:szCs w:val="20"/>
                <w:color w:val="auto"/>
              </w:rPr>
            </w:pPr>
          </w:p>
        </w:tc>
        <w:tc>
          <w:tcPr>
            <w:tcW w:w="7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597</w:t>
            </w: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Derecognition of lease liability and right-of-use asset due to lease termination</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20"/>
                <w:szCs w:val="20"/>
                <w:color w:val="auto"/>
              </w:rPr>
            </w:pPr>
          </w:p>
        </w:tc>
        <w:tc>
          <w:tcPr>
            <w:tcW w:w="76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Company’s subsidiary, Nova, has a worldwide license agreement (the License) with Houston Methodist. The License was executed in January</w:t>
      </w:r>
    </w:p>
    <w:p>
      <w:pPr>
        <w:spacing w:after="0" w:line="39" w:lineRule="exact"/>
        <w:rPr>
          <w:sz w:val="20"/>
          <w:szCs w:val="20"/>
          <w:color w:val="auto"/>
        </w:rPr>
      </w:pPr>
    </w:p>
    <w:p>
      <w:pPr>
        <w:jc w:val="both"/>
        <w:ind w:left="120" w:right="460"/>
        <w:spacing w:after="0" w:line="255" w:lineRule="auto"/>
        <w:rPr>
          <w:sz w:val="20"/>
          <w:szCs w:val="20"/>
          <w:color w:val="auto"/>
        </w:rPr>
      </w:pPr>
      <w:r>
        <w:rPr>
          <w:rFonts w:ascii="Times New Roman" w:cs="Times New Roman" w:eastAsia="Times New Roman" w:hAnsi="Times New Roman"/>
          <w:sz w:val="18"/>
          <w:szCs w:val="18"/>
          <w:color w:val="auto"/>
        </w:rPr>
        <w:t>2024 and gives Nova the exclusive rights to certain Houston Methodist patents for use in the field of oncology, and non-exclusive rights to certain Houston Methodist know-how for use in connection with the licensed patents. Under a separate patent prosecution agreement, fees of the law firm maintaining the licensed patents are billed to and payable directly by Nova.</w:t>
      </w:r>
    </w:p>
    <w:p>
      <w:pPr>
        <w:spacing w:after="0" w:line="18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License includes due diligence requirements for Nova to submit an Investigational New Drug (IND) application by January 31, 2028, and thereafter to initiate Phase 1, 2 and 3 clinical trials and file a Biologics License Application (BLA) by specified dates. If Nova receives FDA approval for a product covered by the License, fees are payable upon attainment of certain commercial milestones, and low-to-mid single digit royalties are payable on net sales. Fees are also payable on any sublicense revenue that Nova receives.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As additional consideration for the License, Nova made an initial issuance of shares of Nova common stock to Houston Methodist, and subsequently issued additional shares such that Houston Methodist maintained an agreed percentage of Nova outstanding shares. On December 30, 2024, the Houston Methodist shares in Nova were exchanged for approximately 7,323 shares of the Company’s Series B (See Notes 3 and 12).</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earlier terminated, the License expires on the later of January 31, 2044, or the end of the patent term for the last licensed patent to expire, after which the license continues on a nonexclusive, royalty-free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The Company has entered into employment agreements with certain key executives, providing for compensation and severance in certain circumstances, such as a change in control, as described in the respective agreements.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20"/>
          </w:cols>
          <w:pgMar w:left="320" w:top="455" w:right="45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is subject from time to time to various claims and legal actions arising during the ordinary course of its business. Management believes that there are currently no claims or legal actions that would reasonably be expected to have a material adverse effect on the Company’s results of operations, financial condition or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Convertible Preferred Stock and Stockholders’ Equity (Deficit)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Shareholder Rights Agreement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May 3, 2024, the Company entered into a Stockholder Rights Agreement with Equiniti Trust Company, LLC, as rights agent (the Rights Agreement). Pursuant to the Rights Agreement, the board of directors declared a dividend of one preferred share purchase right (each a Right) for each outstanding share of Company common stock to stockholders of record at the close of business on May 20, 2024. Each Right entitled its holder, subject to the terms of the Rights Agreement, to purchase from the Company one one-thousandth of a share of Series A Junior Participating Preferred Stock, par value $0.001 per share, of the Company at an exercise price of $1.50 per Right, subject to adjustment. Rights attached to any shares of common stock that become outstanding after May 20, 2024 and prior to the earlier of the Distribution Time, as defined in the Rights Agreement, and the redemption or expiration of the Rights, and in certain other circumstances described in the Rights Agreement. Pursuant to the terms of the Rights Agreement, the Rights terminated upon closing of the acquisition of Nova. The Company intends to file a Certificate of Elimination eliminating from its Certificate of Incorporation, as amended, the designation of certain shares of its preferred stock as Series A Junior Participating Preferred Stock, which had been designated for potential use in connection with the Rights Agreement. Upon such filing, all 200,000 shares of preferred stock previously designated as Series A Junior Participating Preferred Stock will be eliminated and returned to the status of authorized but unissued shares of preferred stock, without designation.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December 2024 Private Placement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December 2024, the Company completed a private placement with a group of investors led by Ikarian Capital. The Company issued 21,070,220 shares of common stock plus pre-funded warrants exercisable for 23,041,040 shares of common stock at an offering price of $0.065 per share (or, in the case of certain of the investors who also received pre-funded warrants in lieu of shares, $0.065 per pre-funded warrant), generating net proceeds of approximately $2.9 million after offering costs of approximately $27,000, of which $0.6 million was received in January 2025.The pre-funded warrants have an exercise price of $0.001 per share, are exercisable immediately following their issuance, and never expire.</w:t>
      </w:r>
    </w:p>
    <w:p>
      <w:pPr>
        <w:spacing w:after="0" w:line="183"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 considered the appropriate accounting guidance and concluded that the pre-funded warrants qualified for liability treatment, and therefore, recorded the warrant liability at fair value $1.5 million. The remainder of the net proceeds were allocated to the common stock issued and recorded as a component of equity.</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December 2024 Private Placement, the Company entered into a registration rights agreement with the group of investors (as amended, the “Registration Rights Agreement”), pursuant to which the Company agreed to file with the SEC, a registration statement for the resale of the shares of common stock issued in the private placement. The Company agreed to use commercially reasonable efforts to have such registration statement declared effective within 30 days of such filing (or within 60 days should the SEC provide written comments on the registration statement) and to maintain the effectiveness of such registration statement until all relevant securities are sold or can be freely traded without restrictions. As of the filing date of this Form 10-K, the Company has not filed a registration statement with the SEC and the deadline for such registration has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320" w:top="455" w:right="45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passed under the Registration Rights Agreement. The Company may request a further extension of the time to file the registration statement from the investors. Should it fail to receive such an extension, or should it receive the extension but fail to file the registration statement by the expiration date of the extension, the Company would be subject to penalties up to 5% of the amount received in the private placement, a maximum of approximately $145,000.</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December 2024 Series B Preferred Stock</w:t>
      </w:r>
    </w:p>
    <w:p>
      <w:pPr>
        <w:spacing w:after="0" w:line="11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Merger Agreement, 119,318.285 shares of Series B were issued to the securityholders of Nova, each share of which is convertible into 1,000 shares of the Company’s common stock. Conversion of the shares of Series B is subject to approval at a subsequent meeting of the Company’s common stockholders to be held no earlier than twelve (12) months, but no later than eighteen (18) months, following the December 30, 2024 closing.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a summary of the rights, preferences, and terms of the Series B:</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holders of Series B are entitled to receive cash dividends, on an as-if-converted-to-common-stock basis, equal to and in the same form and manner as dividends actually paid on shares of common stock, when and if such dividends are paid. As of December 31, 2025, there were no unpaid Series B dividends.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holders of the Series B generally have no voting rights, except as required by law or outlined in the Certificate of Designation. However, a majority vote of the outstanding shares of Series B Non-Voting Preferred Stock is required to approve certain actions that could adversely affect their rights, issue additional shares, or undertake specific mergers or fundamental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Series B participates pari passu with the common stock in the distribution of assets upon a liquidation, dissolution, or winding up of the corporation. Distributions to holders of Series B are weighted to reflect two times the amount that would be received if the shares were fully converted into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any time after approval by the Company’s common shareholders, at the option of the holder, each share of Series B is convertible into 1,000 shares of common stock, subject to certain antidilution adjustments. Pursuant to an amendment to the Certificate of Designation approved by the Series B holders in February 2026, the Company’s board of directors, at its sole discretion, can elect to convert the Series B into common stock (a Mandatory Conversion). If not converted by 24 months after the issuance date, upon request by a holder of Series B, the Company will pay in cash the fair value, as defined, of the common stock into which the Series B would otherwise be converted.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Beneficial Ownership Limitation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 holder of Series B is prohibited from converting shares of Series B into shares of common stock if, as a result of such conversion, such holder, together with its affiliates, would beneficially own more than 19.9% 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5" w:right="49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the total number of shares of common stock issued and outstanding immediately after giving effect to such conversion. The beneficial ownership limitation does not apply in the case of a Mandatory Conversion.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Shares of Series B are generally not redeemable. However, in the event the Series B is not converted within 24 months after the initial issuance of the Series B, each holder of Series B may elect, at the holder’s option, to have the shares of Series B be redeemed by the Company at an amount equal to the last reported closing trading price of the common stock at such time on an as-converted to common stock basis, as further described in the Certificate of Designation relating to the Series B.</w:t>
      </w:r>
    </w:p>
    <w:p>
      <w:pPr>
        <w:spacing w:after="0" w:line="180"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recognized accretion of $1.8 million to reflect the estimated fair value at redemption as of December 31, 2024. This accretion was reversed during the year ended December 31, 2025 as a result of the decrease in the common stock price, and as of December 31, 2025 the Series B was recorded at its initial fair value of approximately $2.6 million.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Protective Provisions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Approval of holders of a majority of the Series B is required for certain significant corporate actions.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February 2023 Registered Direct Offering</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February 2023, the Company completed a registered direct offering, which resulted in the issuance and sale of 14,320,000 shares of its common stock and warrants to purchase up to 14,320,000 shares of common stock at a combined offering price of $2.095 per share and accompanying warrant, and received net proceeds of $27.6 million after deducting placement agent fees and offering expenses. The warrants are equity-classified, have an exercise price of $1.97 per share of common stock, are exercisable immediately following their issuance, and will expire five years from the date of issuance. In the event the Company’s board of directors approves a fundamental transaction (defined as a merger, sale of substantially all assets, tender offer or share exchange), warrant holders may elect to exercise their warrants and receive cash consideration equal to a Black-Scholes option value, as defined in the warrant agreement, in lieu of other consideration received by the common shareholders. During the year ended December 31, 2023, warrants were exercised in exchange for 1,020,000 shares of common stock resulting in proceeds of $2.0 million. Warrants to purchase up to 13,300,000 shares of common stock remain unexercised as of December 31, 2025.</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warrants: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6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100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40" w:type="dxa"/>
            <w:vAlign w:val="bottom"/>
          </w:tcPr>
          <w:p>
            <w:pPr>
              <w:spacing w:after="0"/>
              <w:rPr>
                <w:sz w:val="10"/>
                <w:szCs w:val="10"/>
                <w:color w:val="auto"/>
              </w:rPr>
            </w:pPr>
          </w:p>
        </w:tc>
        <w:tc>
          <w:tcPr>
            <w:tcW w:w="1040" w:type="dxa"/>
            <w:vAlign w:val="bottom"/>
            <w:gridSpan w:val="4"/>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00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in connection with Amendment to Royalty Agreement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293,686</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6/6/2027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256,975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issued pursuant to February 2023 Registered Direct Offering</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13,300,000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issued pursuant to December 2024 Private placement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23,041,040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 expiration</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all of the warrants are equity-classified.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20"/>
          </w:cols>
          <w:pgMar w:left="320" w:top="455" w:right="45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Share-based compensation</w:t>
      </w:r>
    </w:p>
    <w:p>
      <w:pPr>
        <w:spacing w:after="0" w:line="1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November 2012, the Company adopted the Galera Therapeutics, Inc. Equity Incentive Plan (the Prior Plan). The Prior Plan provided for the grant of incentive stock options, nonstatutory stock options, restricted stock awards, and stock appreciation rights. In connection with the adoption of the 2019 Plan (as defined below), the Company ceased issuing awards under the Prior Plan. As a result, no shares remain available for issuance under the Prior Plan; however, the Prior Plan continues to govern awards that are outstanding under it. The total number of shares subject to outstanding awards under the Prior Plan as of December 31, 2025 was 943,133.</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119"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the Company’s Initial Public Offering (IPO) in November 2019, the Company’s board of directors adopted and the Company’s stockholders approved the Galera Therapeutics, Inc. 2019 Incentive Award Plan (the 2019 Plan), which became effective upon the effectiveness of the registration statement on Form S-1 for the IPO. Upon effectiveness of the 2019 Plan, the Company ceased granting new awards under the Prior Plan.</w:t>
      </w:r>
    </w:p>
    <w:p>
      <w:pPr>
        <w:spacing w:after="0" w:line="158"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The 2019 Plan provides for the grant of incentive stock options, nonstatutory stock options, restricted stock awards, restricted stock units, stock appreciation rights and other stock-based awards. The number of shares of common stock initially available for issuance under the 2019 Plan was 1,948,970 shares of common stock plus the number of shares subject to awards outstanding under the Prior Plan that expire, terminate or are otherwise surrendered, cancelled, forfeited or repurchased by the Company on or after the effective date of the 2019 Plan. In addition, the number of shares of common stock available for issuance under the 2019 Plan is subject to an annual increase on the first day of each calendar year beginning on January 1, 2020 and ending on and including January 1, 2029 equal to the lesser of (i) 4% of the Company’s outstanding shares of common stock on the final day of the immediately preceding calendar year, and (ii) such smaller number of shares of common stock as determined by the Company’s board of directors. As of December 31, 2025, there were 2,498,979 shares available for future issuance under the 2019 Plan, including 3,018,496 shares added pursuant to this provision effective January 1, 2025. Pursuant to this provision, the Company added an additional 3,018,496 shares to the total shares available for issuance under the 2019 Plan effective January 1, 2026. The maximum number of shares of common stock that may be issued under the 2019 Plan upon the exercise of incentive stock options is 14,130,029.</w:t>
      </w:r>
    </w:p>
    <w:p>
      <w:pPr>
        <w:spacing w:after="0" w:line="192"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In November 2019, the Company’s board of directors adopted and the Company’s stockholders approved the Galera Therapeutics, Inc. 2019 Employee Stock Purchase Plan (the ESPP). The ESPP allows employees to buy Company stock through after-tax payroll deductions at a discount from market value. The number of shares of common stock initially available for issuance under the ESPP was 243,621 shares of common stock. In addition, the number of shares of common stock available for issuance under the ESPP is subject to an annual increase on the first day of each calendar year beginning on January 1, 2020 and ending on and including January 1, 2029 equal to the lesser of (i) 1% of the Company’s outstanding shares of common stock on the final day of the immediately preceding calendar year and (ii) such smaller number of shares of common stock as determined by the Company’s board of directors, provided that not more than 3,288,886 shares of common stock may be issued under the ESPP. As of December 31, 2025, there were 2,589,729 shares available for issuance under the ESPP, including 754,624 shares added pursuant to this provision effective January 1, 2025. Pursuant to this provision, the Company added an additional 754,624 shares to the total shares available for issuance under the ESPP effective January 1, 2026.</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Employment Inducement Award Plan</w:t>
      </w:r>
    </w:p>
    <w:p>
      <w:pPr>
        <w:spacing w:after="0" w:line="119"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April 28, 2023, the Board of Directors adopted the Galera Therapeutics, Inc. 2023 Employment Inducement Award Plan (Inducement Plan), which became effective on such date without stockholder approval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100"/>
        <w:spacing w:after="0" w:line="272" w:lineRule="auto"/>
        <w:rPr>
          <w:sz w:val="20"/>
          <w:szCs w:val="20"/>
          <w:color w:val="auto"/>
        </w:rPr>
      </w:pPr>
      <w:r>
        <w:rPr>
          <w:rFonts w:ascii="Times New Roman" w:cs="Times New Roman" w:eastAsia="Times New Roman" w:hAnsi="Times New Roman"/>
          <w:sz w:val="17"/>
          <w:szCs w:val="17"/>
          <w:color w:val="auto"/>
        </w:rPr>
        <w:t>pursuant to Rule 5635(c)(4) of The Nasdaq Stock Market LLC listing rules (Rule 5635(c)(4)). The Inducement Plan provides for the grant of nonstatutory stock options, stock appreciation rights, restricted stock, restricted stock units, and other stock-based awards. In accordance with Rule 5635(c)(4), awards under the Inducement Plan may only be granted to persons who (a) were not previously an employee or director of the Company, or</w:t>
      </w:r>
    </w:p>
    <w:p>
      <w:pPr>
        <w:spacing w:after="0" w:line="2" w:lineRule="exact"/>
        <w:rPr>
          <w:sz w:val="20"/>
          <w:szCs w:val="20"/>
          <w:color w:val="auto"/>
        </w:rPr>
      </w:pPr>
    </w:p>
    <w:p>
      <w:pPr>
        <w:ind w:left="120" w:hanging="4"/>
        <w:spacing w:after="0" w:line="252" w:lineRule="auto"/>
        <w:tabs>
          <w:tab w:leader="none" w:pos="37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commencing employment with the Company following a bona fide period of non-employment, in either case as an inducement material to the individual’s entering into employment with the Company. A total of 1,500,000 shares of common stock was reserved for issuance under the Inducement Plan. Any shares subject to awards previously granted under the Inducement Plan that expire, terminate or are otherwise surrendered, canceled, or forfeited, in a manner that results in the Company (i) acquiring the shares covered by the award at a price not greater than the price (as adjusted to reflect any equity restructuring) paid by the participant for such shares or (ii) not issuing any shares covered by the award, the unused shares covered by such awards will again be available for award grants under the Inducement Plan. As of December 31, 2025, there were 1,500,000 shares available for issuance under the Inducement Plan.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Share-based compensation expense was as follows for the years ended December 31, 2025 and 2024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4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460" w:type="dxa"/>
            <w:vAlign w:val="bottom"/>
            <w:tcBorders>
              <w:bottom w:val="single" w:sz="8" w:color="CCEEFF"/>
            </w:tcBorders>
          </w:tcPr>
          <w:p>
            <w:pPr>
              <w:spacing w:after="0"/>
              <w:rPr>
                <w:sz w:val="12"/>
                <w:szCs w:val="12"/>
                <w:color w:val="auto"/>
              </w:rPr>
            </w:pPr>
          </w:p>
        </w:tc>
        <w:tc>
          <w:tcPr>
            <w:tcW w:w="25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Borders>
              <w:bottom w:val="single" w:sz="8" w:color="CCEEFF"/>
            </w:tcBorders>
          </w:tcPr>
          <w:p>
            <w:pPr>
              <w:spacing w:after="0"/>
              <w:rPr>
                <w:sz w:val="12"/>
                <w:szCs w:val="12"/>
                <w:color w:val="auto"/>
              </w:rPr>
            </w:pP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88"/>
              </w:rPr>
              <w:t>392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1,855</w:t>
            </w:r>
          </w:p>
        </w:tc>
      </w:tr>
      <w:tr>
        <w:trPr>
          <w:trHeight w:val="27"/>
        </w:trPr>
        <w:tc>
          <w:tcPr>
            <w:tcW w:w="44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88"/>
              </w:rPr>
              <w:t>410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2,545</w:t>
            </w:r>
          </w:p>
        </w:tc>
      </w:tr>
      <w:tr>
        <w:trPr>
          <w:trHeight w:val="20"/>
        </w:trPr>
        <w:tc>
          <w:tcPr>
            <w:tcW w:w="44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 grants for the year ended December 31, 2025:</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4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4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2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6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4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4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4,384,108</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6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8,488,000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(1,902,374)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6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10,969,734</w:t>
            </w:r>
          </w:p>
        </w:tc>
        <w:tc>
          <w:tcPr>
            <w:tcW w:w="360" w:type="dxa"/>
            <w:vAlign w:val="bottom"/>
          </w:tcPr>
          <w:p>
            <w:pPr>
              <w:spacing w:after="0"/>
              <w:rPr>
                <w:sz w:val="19"/>
                <w:szCs w:val="19"/>
                <w:color w:val="auto"/>
              </w:rPr>
            </w:pP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2025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3,578,651</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10,969,734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6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stock option awards vest based on the terms in the governing agreements and generally vest over four years and have a term of 10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years.</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 unrecognized compensation cost was $0.4 million and will be recognized over an estimated weighted-average remaining amortization period of 1.9 years. The aggregate intrinsic value of options outstanding and options exercisable as of December 31, 2025 were zero. Options granted during the year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ended December 31, 2025 had weighted-average grant-date fair values of $0.02 per share. There were no options granted during the year ended December 31, 2024.</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options is estimated using the Black-Scholes option pricing model, which takes into account inputs such as the exercise price, the estimated fair value of the underlying common stock at the grant date, expected term, expected stock price volatility, risk-free interest rate and dividend yield. The fair value of stock options granted during the year ended December 31, 2025 was determined using the methods and assumptions discussed below.</w:t>
      </w:r>
    </w:p>
    <w:p>
      <w:pPr>
        <w:spacing w:after="0" w:line="85" w:lineRule="exact"/>
        <w:rPr>
          <w:sz w:val="20"/>
          <w:szCs w:val="20"/>
          <w:color w:val="auto"/>
        </w:rPr>
      </w:pPr>
    </w:p>
    <w:p>
      <w:pPr>
        <w:ind w:left="1080" w:right="140" w:hanging="424"/>
        <w:spacing w:after="0" w:line="261"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employee stock options with service-based vesting is determined using the “simplified” method, as prescribed in SEC’s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spacing w:after="0" w:line="85"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stock price volatility is based on historical volatilities of the Company as well as comparable public entities within the Company’s industry which were commensurate with the expected term assumption as described in SAB No. 107.</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 that is commensurate with the expected term.</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0% because the Company has not historically paid, and does not expect for the foreseeable future to pay, a dividend on its common stock.</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determined the per share value of the Company’s common stock based on the closing price as reported by the Nasdaq Global Market on the date of the grant.</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grant date fair value of each option grant was estimated throughout the year using the Black-Scholes option-pricing model using the following weighted-average assumptions. There were no options granted during the year ended December 31,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r>
      <w:tr>
        <w:trPr>
          <w:trHeight w:val="148"/>
        </w:trPr>
        <w:tc>
          <w:tcPr>
            <w:tcW w:w="64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00" w:type="dxa"/>
            <w:vAlign w:val="bottom"/>
            <w:tcBorders>
              <w:bottom w:val="single" w:sz="8" w:color="CCEEFF"/>
            </w:tcBorders>
          </w:tcPr>
          <w:p>
            <w:pPr>
              <w:spacing w:after="0"/>
              <w:rPr>
                <w:sz w:val="15"/>
                <w:szCs w:val="15"/>
                <w:color w:val="auto"/>
              </w:rPr>
            </w:pPr>
          </w:p>
        </w:tc>
      </w:tr>
      <w:tr>
        <w:trPr>
          <w:trHeight w:val="210"/>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112.3%</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w:t>
            </w:r>
          </w:p>
        </w:tc>
      </w:tr>
      <w:tr>
        <w:trPr>
          <w:trHeight w:val="23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income (loss) before income taxes for the years ended December 31, 2025 and 2024 is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236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92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2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4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$149,049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$(25,306)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408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6,349</w:t>
            </w:r>
          </w:p>
        </w:tc>
      </w:tr>
      <w:tr>
        <w:trPr>
          <w:trHeight w:val="27"/>
        </w:trPr>
        <w:tc>
          <w:tcPr>
            <w:tcW w:w="23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360" w:type="dxa"/>
            <w:vAlign w:val="bottom"/>
            <w:shd w:val="clear" w:color="auto" w:fill="CCEEFF"/>
          </w:tcPr>
          <w:p>
            <w:pPr>
              <w:spacing w:after="0"/>
              <w:rPr>
                <w:sz w:val="18"/>
                <w:szCs w:val="18"/>
                <w:color w:val="auto"/>
              </w:rPr>
            </w:pPr>
          </w:p>
        </w:tc>
        <w:tc>
          <w:tcPr>
            <w:tcW w:w="5000" w:type="dxa"/>
            <w:vAlign w:val="bottom"/>
            <w:gridSpan w:val="3"/>
            <w:shd w:val="clear" w:color="auto" w:fill="CCEEFF"/>
          </w:tcPr>
          <w:p>
            <w:pPr>
              <w:jc w:val="center"/>
              <w:ind w:left="375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149,049</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(18,957)</w:t>
            </w:r>
          </w:p>
        </w:tc>
      </w:tr>
      <w:tr>
        <w:trPr>
          <w:trHeight w:val="20"/>
        </w:trPr>
        <w:tc>
          <w:tcPr>
            <w:tcW w:w="23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360" w:type="dxa"/>
            <w:vAlign w:val="bottom"/>
          </w:tcPr>
          <w:p>
            <w:pPr>
              <w:spacing w:after="0"/>
              <w:rPr>
                <w:sz w:val="24"/>
                <w:szCs w:val="24"/>
                <w:color w:val="auto"/>
              </w:rPr>
            </w:pPr>
          </w:p>
        </w:tc>
        <w:tc>
          <w:tcPr>
            <w:tcW w:w="50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F-28</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Company’s tax provision (benefit) for the years ended December 31, 2025 and 2024 is summarized as follows (in thousands):</w:t>
      </w:r>
    </w:p>
    <w:p>
      <w:pPr>
        <w:spacing w:after="0" w:line="257" w:lineRule="exact"/>
        <w:rPr>
          <w:sz w:val="20"/>
          <w:szCs w:val="20"/>
          <w:color w:val="auto"/>
        </w:rPr>
      </w:pP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8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560" w:type="dxa"/>
        <w:tblCellMar>
          <w:top w:w="0" w:type="dxa"/>
          <w:left w:w="0" w:type="dxa"/>
          <w:bottom w:w="0" w:type="dxa"/>
          <w:right w:w="0" w:type="dxa"/>
        </w:tblCellMar>
      </w:tblPr>
      <w:tr>
        <w:trPr>
          <w:trHeight w:val="142"/>
        </w:trPr>
        <w:tc>
          <w:tcPr>
            <w:tcW w:w="88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3"/>
              </w:rPr>
              <w:t>$— </w:t>
            </w:r>
          </w:p>
        </w:tc>
        <w:tc>
          <w:tcPr>
            <w:tcW w:w="46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3"/>
              </w:rPr>
              <w:t>$ — 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table below provides the updated requirements of ASU 2023-09 for 2025.</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8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is as follows (dollars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reconciliation:</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incomes taxes at U.S. Federal Statutory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31,300</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changes in tax laws or rates enacted in the current period</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8,998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7"/>
              </w:rPr>
              <w:t>(21,980)</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148</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Gain on debt extinguishment</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7"/>
              </w:rPr>
              <w:t>(31,720)</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Non-deductible items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Adjustment to prior period provision</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198</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13,143</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and local incomes taxes, net of federal benefit (1)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520" w:type="dxa"/>
            <w:vAlign w:val="bottom"/>
            <w:vMerge w:val="continue"/>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0" w:right="2299" w:hanging="444"/>
        <w:spacing w:after="0" w:line="461" w:lineRule="auto"/>
        <w:tabs>
          <w:tab w:leader="none" w:pos="55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taxes in Pennsylvania made up the majority (greater than 50%) of the tax effect in this category. The Company did not pay any federal or state income taxes in 2025.</w:t>
      </w:r>
    </w:p>
    <w:p>
      <w:pPr>
        <w:spacing w:after="0" w:line="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0139"/>
          </w:cols>
          <w:pgMar w:left="320" w:top="455" w:right="1440"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previously disclosed for the years ended December 31, 2024, prior to the adoption of ASU 2023-09, the reconciliation of the federal income tax rate to the Company’s effective tax rate is as follows:</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4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Rate reconciliation:</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 tax benefit at statutory rate</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 tax, net of federal benefit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tax rate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 of royalty interest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Difference in foreign rate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 in Galera Australia</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IPR&amp;D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provision</w:t>
            </w: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liabilities were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33,630</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52,962</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4,628</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8,998</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research and development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7,773</w:t>
            </w: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loss carryforward</w:t>
            </w:r>
          </w:p>
        </w:tc>
        <w:tc>
          <w:tcPr>
            <w:tcW w:w="10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1,554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1,554</w:t>
            </w:r>
          </w:p>
        </w:tc>
      </w:tr>
      <w:tr>
        <w:trPr>
          <w:trHeight w:val="216"/>
        </w:trPr>
        <w:tc>
          <w:tcPr>
            <w:tcW w:w="63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75,952</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Valuation allowance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7"/>
              </w:rPr>
              <w:t>(44,900)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(75,754)</w:t>
            </w:r>
          </w:p>
        </w:tc>
      </w:tr>
      <w:tr>
        <w:trPr>
          <w:trHeight w:val="223"/>
        </w:trPr>
        <w:tc>
          <w:tcPr>
            <w:tcW w:w="6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deferred tax asset</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assessing the need for a valuation allowance, the Company may utilize indefinite-lived deferred tax liabilities from an intangible asset as a future source of income. As of December 2024, the Company wrote off the remaining IPR&amp;D intangible asset and, as such, the Company is now in a full valuation allowance position.</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For tax years beginning after December 31, 2024, the 2025 tax legislation signed into law in July 2025 amends Internal Revenue Code Section 174 (IRC 174) by making permanent the option of expensing domestic research and development expenditures. For tax years 2025 and forward, taxpayers have the option to deduct all</w:t>
      </w:r>
    </w:p>
    <w:p>
      <w:pPr>
        <w:spacing w:after="0" w:line="10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0880"/>
          </w:cols>
          <w:pgMar w:left="320" w:top="455" w:right="69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remaining unamortized research and development expenditures capitalized after December 31, 2021 and before December 31, 2024 either (i) on their 2025 tax return, (ii) ratably over the 2025 and 2026 tax years, or (iii) continue amortizing the costs over the remainder of the applicable five-year period. The Company will continue to expense the $31.2 million of unamortized research and development expenditures over the applicable five year period on its tax return, expensing $10.3 million for the period ending December 31, 2025.</w:t>
      </w:r>
    </w:p>
    <w:p>
      <w:pPr>
        <w:spacing w:after="0" w:line="18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valuation allowance decreased by $30.9 million for the year ended December 31, 2025 and increased by $2.9 million for the year ended December 31, 2024.</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carryforwards of federal, state and foreign NOLs as of December 31, 2025 and 2024, respectively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92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3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680" w:type="dxa"/>
            <w:vAlign w:val="bottom"/>
            <w:tcBorders>
              <w:top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96"/>
        </w:trPr>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Combined NOL Carryforwards:</w:t>
            </w:r>
          </w:p>
        </w:tc>
        <w:tc>
          <w:tcPr>
            <w:tcW w:w="20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2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$157,773</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$ 209,474</w:t>
            </w:r>
          </w:p>
        </w:tc>
      </w:tr>
      <w:tr>
        <w:trPr>
          <w:trHeight w:val="216"/>
        </w:trPr>
        <w:tc>
          <w:tcPr>
            <w:tcW w:w="4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29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12,642</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231,939</w:t>
            </w:r>
          </w:p>
        </w:tc>
      </w:tr>
      <w:tr>
        <w:trPr>
          <w:trHeight w:val="234"/>
        </w:trPr>
        <w:tc>
          <w:tcPr>
            <w:tcW w:w="4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6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bl>
    <w:p>
      <w:pPr>
        <w:spacing w:after="0" w:line="17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federal and state NOLs of $157.8 million and $12.6 million, respectively, which will begin expiring in 2044. In connection with the Section 382 study performed in 2025, the federal research and the development tax credit carryforwards have been written off.</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NOL and tax credit carryforwards are subject to review and possible adjustment by the Internal Revenue Service and state tax authorities. In general, under Section 382 of the Code, a corporation that undergoes an “ownership change,” generally defined as a greater than 50% change by value in its equity ownership over a three-year period, is subject to limitations on its ability to utilize its pre-change tax credits as well as its NOLs to offset future taxable income. During 2025, the Company conducted a Section 382 study and determined that approximately $441.4 million in NOLs and $9.0 million in research and development tax credits were limited by Section 382 as of December 31, 2024. As a result of the Section 382 analysis, approximately $62.6 million of pre-2018 federal NOLs and $230.2 million of state NOLs will expire unused due to the annual Section 382 limitation and were written off. In addition, $9.0 million of research and development tax credits are scheduled to expire unused due to the annual Section 382 limitation and were also written off. As the Company had previously recorded a full valuation allowance on all deferred tax assets, these write-offs resulted in no impact to the net deferred tax position or net income during the year ended December 31, 2025.</w:t>
      </w:r>
    </w:p>
    <w:p>
      <w:pPr>
        <w:spacing w:after="0" w:line="18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Company will recognize interest and penalties related to uncertain tax positions as income tax expense. As of December 31, 2025, the Company had no accrued interest and penalties related to uncertain tax positions and no amounts have been recognized in the Company’s statements of operations. Due to NOL and tax credit carryforwards that remain unutilized, income tax returns from 2022 through 2024 remain subject to examination by the taxing jurisdictions. The NOLs remain subject to review until utilized.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IntellectMap Advisory Services</w:t>
      </w:r>
    </w:p>
    <w:p>
      <w:pPr>
        <w:spacing w:after="0" w:line="11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IntellectMap provides IT-advisory services to the Company. The chief executive officer of IntellectMap is the brother of the Company’s chief executive officer. Fees incurred by the Company with respect to IntellectMap during each of the years ended December 31, 2025 and 2024 were $0.2 million.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320" w:top="455" w:right="45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Nova Acquisition</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Nova, Dr. Chang and Mr. Friedman, now members of the Company’s Board, received 1,841.92 and 8,326.269 shares of the Company’s Series B, respectively, in exchange for shares of common stock of Nova held immediately prior to the closing of such acquisition. When the Company’s board of directors elects the conversion of Series B into shares of common stock, and such conversion is effected by the Company, these shares of Series B will be convertible into 1,841,920 and 8,326,269 shares of common stock, respectively. In addition to her shares of Series B, Dr. Chang also purchased, and was issued, 7,644,932 shares of common stock upon the closing of the December 2024 private placement.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Friedman Independent Contractor Agreement</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March 2025 the Company entered into an Independent Contractor Agreement with Mr. Friedman (the Contractor Agreement) to provide corporate and business development services, with an effective date of January 1, 2025. Mr. Friedman will be paid $10,000 per month for the duration of the Contractor Agreement. The Contractor Agreement has a one-year term, with automatic renewals for successive one-year terms unless earlier terminated. The Contractor Agreement can be terminated by either party upon 30 days’ prior notice. Fees incurred by the Company with respect to Mr. Friedman during the year ended December 31, 2025 were $0.1 million.</w:t>
      </w:r>
    </w:p>
    <w:p>
      <w:pPr>
        <w:spacing w:after="0" w:line="11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320" w:top="455" w:right="45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00" w:type="dxa"/>
            <w:vAlign w:val="bottom"/>
          </w:tcPr>
          <w:p>
            <w:pPr>
              <w:spacing w:after="0"/>
              <w:rPr>
                <w:sz w:val="13"/>
                <w:szCs w:val="13"/>
                <w:color w:val="auto"/>
              </w:rPr>
            </w:pPr>
          </w:p>
        </w:tc>
        <w:tc>
          <w:tcPr>
            <w:tcW w:w="14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6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bottom w:val="single" w:sz="8" w:color="CCEEFF"/>
            </w:tcBorders>
          </w:tcPr>
          <w:p>
            <w:pPr>
              <w:spacing w:after="0"/>
              <w:rPr>
                <w:sz w:val="15"/>
                <w:szCs w:val="15"/>
                <w:color w:val="auto"/>
              </w:rPr>
            </w:pPr>
          </w:p>
        </w:tc>
        <w:tc>
          <w:tcPr>
            <w:tcW w:w="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5,500</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6,375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7,196</w:t>
            </w:r>
          </w:p>
        </w:tc>
        <w:tc>
          <w:tcPr>
            <w:tcW w:w="0" w:type="dxa"/>
            <w:vAlign w:val="bottom"/>
          </w:tcPr>
          <w:p>
            <w:pPr>
              <w:spacing w:after="0"/>
              <w:rPr>
                <w:sz w:val="1"/>
                <w:szCs w:val="1"/>
                <w:color w:val="auto"/>
              </w:rPr>
            </w:pPr>
          </w:p>
        </w:tc>
      </w:tr>
      <w:tr>
        <w:trPr>
          <w:trHeight w:val="20"/>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6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0"/>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redeemable convertible preferred stock, $0.001 par value: 10,000,000 shares authorized; 119,318</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w:t>
            </w: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4,295</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$0.001 par value: 200,000,000 shares authorized; 75,462,390 shares issued and outstanding at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w:t>
            </w: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309,573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311,213</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36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w w:val="99"/>
              </w:rPr>
              <w:t>(308,920)</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(307,314)</w:t>
            </w:r>
          </w:p>
        </w:tc>
        <w:tc>
          <w:tcPr>
            <w:tcW w:w="0" w:type="dxa"/>
            <w:vAlign w:val="bottom"/>
          </w:tcPr>
          <w:p>
            <w:pPr>
              <w:spacing w:after="0"/>
              <w:rPr>
                <w:sz w:val="1"/>
                <w:szCs w:val="1"/>
                <w:color w:val="auto"/>
              </w:rPr>
            </w:pPr>
          </w:p>
        </w:tc>
      </w:tr>
      <w:tr>
        <w:trPr>
          <w:trHeight w:val="27"/>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6,164</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interim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40"/>
          </w:cols>
          <w:pgMar w:left="320" w:top="455" w:right="43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3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23"/>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 basic and diluted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 and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98,503,430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98,503,430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attributable to Series B redeemable convertible preferred stockholders, basic and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of Series B redeemable convertible preferred stock outstanding, basic and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119,318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119,318</w:t>
            </w:r>
          </w:p>
        </w:tc>
        <w:tc>
          <w:tcPr>
            <w:tcW w:w="0" w:type="dxa"/>
            <w:vAlign w:val="bottom"/>
          </w:tcPr>
          <w:p>
            <w:pPr>
              <w:spacing w:after="0"/>
              <w:rPr>
                <w:sz w:val="1"/>
                <w:szCs w:val="1"/>
                <w:color w:val="auto"/>
              </w:rPr>
            </w:pPr>
          </w:p>
        </w:tc>
      </w:tr>
      <w:tr>
        <w:trPr>
          <w:trHeight w:val="20"/>
        </w:trPr>
        <w:tc>
          <w:tcPr>
            <w:tcW w:w="8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of Series B redeemable convertible preferred stock, basic and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interim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320" w:top="455" w:right="43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CONVERTIBLE PREFERRED STOCK AND STOCKHOLDERS’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EQUITY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8"/>
        </w:trPr>
        <w:tc>
          <w:tcPr>
            <w:tcW w:w="3740" w:type="dxa"/>
            <w:vAlign w:val="bottom"/>
          </w:tcPr>
          <w:p>
            <w:pPr>
              <w:spacing w:after="0"/>
              <w:rPr>
                <w:sz w:val="2"/>
                <w:szCs w:val="2"/>
                <w:color w:val="auto"/>
              </w:rPr>
            </w:pPr>
          </w:p>
        </w:tc>
        <w:tc>
          <w:tcPr>
            <w:tcW w:w="210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Redeemable convertible preferred</w:t>
            </w:r>
          </w:p>
        </w:tc>
        <w:tc>
          <w:tcPr>
            <w:tcW w:w="20" w:type="dxa"/>
            <w:vAlign w:val="bottom"/>
          </w:tcPr>
          <w:p>
            <w:pPr>
              <w:spacing w:after="0"/>
              <w:rPr>
                <w:sz w:val="2"/>
                <w:szCs w:val="2"/>
                <w:color w:val="auto"/>
              </w:rPr>
            </w:pPr>
          </w:p>
        </w:tc>
        <w:tc>
          <w:tcPr>
            <w:tcW w:w="30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line="20" w:lineRule="exact"/>
              <w:rPr>
                <w:sz w:val="1"/>
                <w:szCs w:val="1"/>
                <w:color w:val="auto"/>
              </w:rPr>
            </w:pPr>
          </w:p>
        </w:tc>
      </w:tr>
      <w:tr>
        <w:trPr>
          <w:trHeight w:val="122"/>
        </w:trPr>
        <w:tc>
          <w:tcPr>
            <w:tcW w:w="3740" w:type="dxa"/>
            <w:vAlign w:val="bottom"/>
          </w:tcPr>
          <w:p>
            <w:pPr>
              <w:spacing w:after="0"/>
              <w:rPr>
                <w:sz w:val="10"/>
                <w:szCs w:val="10"/>
                <w:color w:val="auto"/>
              </w:rPr>
            </w:pPr>
          </w:p>
        </w:tc>
        <w:tc>
          <w:tcPr>
            <w:tcW w:w="210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0" w:type="dxa"/>
            <w:vAlign w:val="bottom"/>
            <w:tcBorders>
              <w:bottom w:val="single" w:sz="8" w:color="auto"/>
            </w:tcBorders>
            <w:gridSpan w:val="4"/>
          </w:tcPr>
          <w:p>
            <w:pPr>
              <w:jc w:val="center"/>
              <w:ind w:left="611"/>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92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09"/>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4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380" w:type="dxa"/>
            <w:vAlign w:val="bottom"/>
          </w:tcPr>
          <w:p>
            <w:pPr>
              <w:spacing w:after="0"/>
              <w:rPr>
                <w:sz w:val="11"/>
                <w:szCs w:val="11"/>
                <w:color w:val="auto"/>
              </w:rPr>
            </w:pPr>
          </w:p>
        </w:tc>
        <w:tc>
          <w:tcPr>
            <w:tcW w:w="100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1"/>
                <w:szCs w:val="11"/>
                <w:color w:val="auto"/>
              </w:rPr>
            </w:pPr>
          </w:p>
        </w:tc>
        <w:tc>
          <w:tcPr>
            <w:tcW w:w="1020" w:type="dxa"/>
            <w:vAlign w:val="bottom"/>
            <w:gridSpan w:val="2"/>
          </w:tcPr>
          <w:p>
            <w:pPr>
              <w:jc w:val="right"/>
              <w:ind w:right="6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3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1, 2026</w:t>
            </w:r>
          </w:p>
        </w:tc>
        <w:tc>
          <w:tcPr>
            <w:tcW w:w="900" w:type="dxa"/>
            <w:vAlign w:val="bottom"/>
            <w:tcBorders>
              <w:top w:val="single" w:sz="8" w:color="auto"/>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w w:val="96"/>
              </w:rPr>
              <w:t>119,318</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2,577</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75,462,390</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3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$ 311,213</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(307,314)</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3,974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92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26"/>
        </w:trPr>
        <w:tc>
          <w:tcPr>
            <w:tcW w:w="3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Accretion of redeemable convertible preferred stock to</w:t>
            </w:r>
          </w:p>
        </w:tc>
        <w:tc>
          <w:tcPr>
            <w:tcW w:w="9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1,718</w:t>
            </w:r>
          </w:p>
        </w:tc>
        <w:tc>
          <w:tcPr>
            <w:tcW w:w="20" w:type="dxa"/>
            <w:vAlign w:val="bottom"/>
            <w:shd w:val="clear" w:color="auto" w:fill="000000"/>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(1,718)</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(1,718)</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value</w:t>
            </w: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00" w:type="dxa"/>
            <w:vAlign w:val="bottom"/>
          </w:tcPr>
          <w:p>
            <w:pPr>
              <w:ind w:left="6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ind w:left="48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w w:val="95"/>
              </w:rPr>
              <w:t>— </w:t>
            </w:r>
          </w:p>
        </w:tc>
        <w:tc>
          <w:tcPr>
            <w:tcW w:w="3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— </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(1,606)</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(1,606)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Balance at March 31, 2026</w:t>
            </w:r>
          </w:p>
        </w:tc>
        <w:tc>
          <w:tcPr>
            <w:tcW w:w="900" w:type="dxa"/>
            <w:vAlign w:val="bottom"/>
            <w:shd w:val="clear" w:color="auto" w:fill="CCEEFF"/>
          </w:tcPr>
          <w:p>
            <w:pPr>
              <w:ind w:left="440"/>
              <w:spacing w:after="0" w:line="149" w:lineRule="exact"/>
              <w:rPr>
                <w:sz w:val="20"/>
                <w:szCs w:val="20"/>
                <w:color w:val="auto"/>
              </w:rPr>
            </w:pPr>
            <w:r>
              <w:rPr>
                <w:rFonts w:ascii="Times New Roman" w:cs="Times New Roman" w:eastAsia="Times New Roman" w:hAnsi="Times New Roman"/>
                <w:sz w:val="14"/>
                <w:szCs w:val="14"/>
                <w:color w:val="auto"/>
                <w:w w:val="96"/>
              </w:rPr>
              <w:t>119,318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4,295</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75,462,390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00" w:type="dxa"/>
            <w:vAlign w:val="bottom"/>
            <w:gridSpan w:val="2"/>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309,573</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(308,920)</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728</w:t>
            </w: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180" w:type="dxa"/>
            <w:vAlign w:val="bottom"/>
            <w:gridSpan w:val="2"/>
          </w:tcPr>
          <w:p>
            <w:pPr>
              <w:spacing w:after="0"/>
              <w:rPr>
                <w:sz w:val="3"/>
                <w:szCs w:val="3"/>
                <w:color w:val="auto"/>
              </w:rPr>
            </w:pPr>
          </w:p>
        </w:tc>
        <w:tc>
          <w:tcPr>
            <w:tcW w:w="800" w:type="dxa"/>
            <w:vAlign w:val="bottom"/>
            <w:tcBorders>
              <w:top w:val="single" w:sz="8" w:color="auto"/>
              <w:bottom w:val="single" w:sz="8" w:color="auto"/>
            </w:tcBorders>
            <w:gridSpan w:val="2"/>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Borders>
              <w:top w:val="single" w:sz="8" w:color="auto"/>
              <w:bottom w:val="single" w:sz="8" w:color="auto"/>
            </w:tcBorders>
            <w:shd w:val="clear" w:color="auto" w:fill="000000"/>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280" w:type="dxa"/>
            <w:vAlign w:val="bottom"/>
            <w:tcBorders>
              <w:top w:val="single" w:sz="8" w:color="auto"/>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740" w:type="dxa"/>
            <w:vAlign w:val="bottom"/>
          </w:tcPr>
          <w:p>
            <w:pPr>
              <w:spacing w:after="0"/>
              <w:rPr>
                <w:sz w:val="18"/>
                <w:szCs w:val="18"/>
                <w:color w:val="auto"/>
              </w:rPr>
            </w:pPr>
          </w:p>
        </w:tc>
        <w:tc>
          <w:tcPr>
            <w:tcW w:w="2100" w:type="dxa"/>
            <w:vAlign w:val="bottom"/>
            <w:gridSpan w:val="6"/>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Redeemable convertible preferred</w:t>
            </w:r>
          </w:p>
        </w:tc>
        <w:tc>
          <w:tcPr>
            <w:tcW w:w="20" w:type="dxa"/>
            <w:vAlign w:val="bottom"/>
          </w:tcPr>
          <w:p>
            <w:pPr>
              <w:spacing w:after="0"/>
              <w:rPr>
                <w:sz w:val="18"/>
                <w:szCs w:val="18"/>
                <w:color w:val="auto"/>
              </w:rPr>
            </w:pPr>
          </w:p>
        </w:tc>
        <w:tc>
          <w:tcPr>
            <w:tcW w:w="30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3740" w:type="dxa"/>
            <w:vAlign w:val="bottom"/>
          </w:tcPr>
          <w:p>
            <w:pPr>
              <w:spacing w:after="0"/>
              <w:rPr>
                <w:sz w:val="10"/>
                <w:szCs w:val="10"/>
                <w:color w:val="auto"/>
              </w:rPr>
            </w:pPr>
          </w:p>
        </w:tc>
        <w:tc>
          <w:tcPr>
            <w:tcW w:w="2100" w:type="dxa"/>
            <w:vAlign w:val="bottom"/>
            <w:gridSpan w:val="6"/>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3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0" w:type="dxa"/>
            <w:vAlign w:val="bottom"/>
            <w:tcBorders>
              <w:bottom w:val="single" w:sz="8" w:color="auto"/>
            </w:tcBorders>
            <w:gridSpan w:val="4"/>
          </w:tcPr>
          <w:p>
            <w:pPr>
              <w:jc w:val="center"/>
              <w:ind w:left="611"/>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1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920" w:type="dxa"/>
            <w:vAlign w:val="bottom"/>
            <w:gridSpan w:val="2"/>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right"/>
              <w:ind w:right="109"/>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ind w:left="16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80" w:type="dxa"/>
            <w:vAlign w:val="bottom"/>
          </w:tcPr>
          <w:p>
            <w:pPr>
              <w:spacing w:after="0"/>
              <w:rPr>
                <w:sz w:val="11"/>
                <w:szCs w:val="11"/>
                <w:color w:val="auto"/>
              </w:rPr>
            </w:pPr>
          </w:p>
        </w:tc>
        <w:tc>
          <w:tcPr>
            <w:tcW w:w="4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Amount</w:t>
            </w:r>
          </w:p>
        </w:tc>
        <w:tc>
          <w:tcPr>
            <w:tcW w:w="380" w:type="dxa"/>
            <w:vAlign w:val="bottom"/>
          </w:tcPr>
          <w:p>
            <w:pPr>
              <w:spacing w:after="0"/>
              <w:rPr>
                <w:sz w:val="11"/>
                <w:szCs w:val="11"/>
                <w:color w:val="auto"/>
              </w:rPr>
            </w:pPr>
          </w:p>
        </w:tc>
        <w:tc>
          <w:tcPr>
            <w:tcW w:w="1000" w:type="dxa"/>
            <w:vAlign w:val="bottom"/>
            <w:gridSpan w:val="2"/>
          </w:tcPr>
          <w:p>
            <w:pPr>
              <w:jc w:val="center"/>
              <w:ind w:right="400"/>
              <w:spacing w:after="0" w:line="129"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1"/>
                <w:szCs w:val="11"/>
                <w:color w:val="auto"/>
              </w:rPr>
            </w:pPr>
          </w:p>
        </w:tc>
        <w:tc>
          <w:tcPr>
            <w:tcW w:w="1020" w:type="dxa"/>
            <w:vAlign w:val="bottom"/>
            <w:gridSpan w:val="2"/>
          </w:tcPr>
          <w:p>
            <w:pPr>
              <w:jc w:val="right"/>
              <w:ind w:right="600"/>
              <w:spacing w:after="0" w:line="129" w:lineRule="exact"/>
              <w:rPr>
                <w:sz w:val="20"/>
                <w:szCs w:val="20"/>
                <w:color w:val="auto"/>
              </w:rPr>
            </w:pPr>
            <w:r>
              <w:rPr>
                <w:rFonts w:ascii="Times New Roman" w:cs="Times New Roman" w:eastAsia="Times New Roman" w:hAnsi="Times New Roman"/>
                <w:sz w:val="13"/>
                <w:szCs w:val="13"/>
                <w:b w:val="1"/>
                <w:bCs w:val="1"/>
                <w:color w:val="auto"/>
              </w:rPr>
              <w:t>Deficit</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42"/>
        </w:trPr>
        <w:tc>
          <w:tcPr>
            <w:tcW w:w="3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1, 2025</w:t>
            </w:r>
          </w:p>
        </w:tc>
        <w:tc>
          <w:tcPr>
            <w:tcW w:w="900" w:type="dxa"/>
            <w:vAlign w:val="bottom"/>
            <w:tcBorders>
              <w:top w:val="single" w:sz="8" w:color="auto"/>
            </w:tcBorders>
            <w:shd w:val="clear" w:color="auto" w:fill="CCEEFF"/>
          </w:tcPr>
          <w:p>
            <w:pPr>
              <w:ind w:left="440"/>
              <w:spacing w:after="0" w:line="142" w:lineRule="exact"/>
              <w:rPr>
                <w:sz w:val="20"/>
                <w:szCs w:val="20"/>
                <w:color w:val="auto"/>
              </w:rPr>
            </w:pPr>
            <w:r>
              <w:rPr>
                <w:rFonts w:ascii="Times New Roman" w:cs="Times New Roman" w:eastAsia="Times New Roman" w:hAnsi="Times New Roman"/>
                <w:sz w:val="14"/>
                <w:szCs w:val="14"/>
                <w:color w:val="auto"/>
                <w:w w:val="96"/>
              </w:rPr>
              <w:t>119,318</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4,372</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rPr>
              <w:t>75,462,390</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3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99"/>
              </w:rPr>
              <w:t>$ 308,247</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(456,363)</w:t>
            </w:r>
          </w:p>
        </w:tc>
        <w:tc>
          <w:tcPr>
            <w:tcW w:w="4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(148,041)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92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2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26"/>
        </w:trPr>
        <w:tc>
          <w:tcPr>
            <w:tcW w:w="3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Amortization of redeemable convertible preferred stock to</w:t>
            </w:r>
          </w:p>
        </w:tc>
        <w:tc>
          <w:tcPr>
            <w:tcW w:w="92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(1,508)</w:t>
            </w:r>
          </w:p>
        </w:tc>
        <w:tc>
          <w:tcPr>
            <w:tcW w:w="20" w:type="dxa"/>
            <w:vAlign w:val="bottom"/>
            <w:shd w:val="clear" w:color="auto" w:fill="000000"/>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vMerge w:val="restart"/>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1,508</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1,508</w:t>
            </w:r>
          </w:p>
        </w:tc>
        <w:tc>
          <w:tcPr>
            <w:tcW w:w="0" w:type="dxa"/>
            <w:vAlign w:val="bottom"/>
          </w:tcPr>
          <w:p>
            <w:pPr>
              <w:spacing w:after="0"/>
              <w:rPr>
                <w:sz w:val="1"/>
                <w:szCs w:val="1"/>
                <w:color w:val="auto"/>
              </w:rPr>
            </w:pPr>
          </w:p>
        </w:tc>
      </w:tr>
      <w:tr>
        <w:trPr>
          <w:trHeight w:val="171"/>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redemption value</w:t>
            </w:r>
          </w:p>
        </w:tc>
        <w:tc>
          <w:tcPr>
            <w:tcW w:w="9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Reclassification of pre-funded stock warrants</w:t>
            </w:r>
          </w:p>
        </w:tc>
        <w:tc>
          <w:tcPr>
            <w:tcW w:w="92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20" w:type="dxa"/>
            <w:vAlign w:val="bottom"/>
          </w:tcPr>
          <w:p>
            <w:pPr>
              <w:spacing w:after="0"/>
              <w:rPr>
                <w:sz w:val="12"/>
                <w:szCs w:val="12"/>
                <w:color w:val="auto"/>
              </w:rPr>
            </w:pPr>
          </w:p>
        </w:tc>
        <w:tc>
          <w:tcPr>
            <w:tcW w:w="1020" w:type="dxa"/>
            <w:vAlign w:val="bottom"/>
            <w:gridSpan w:val="2"/>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0" w:type="dxa"/>
            <w:vAlign w:val="bottom"/>
          </w:tcPr>
          <w:p>
            <w:pPr>
              <w:spacing w:after="0"/>
              <w:rPr>
                <w:sz w:val="1"/>
                <w:szCs w:val="1"/>
                <w:color w:val="auto"/>
              </w:rPr>
            </w:pPr>
          </w:p>
        </w:tc>
      </w:tr>
      <w:tr>
        <w:trPr>
          <w:trHeight w:val="149"/>
        </w:trPr>
        <w:tc>
          <w:tcPr>
            <w:tcW w:w="3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shd w:val="clear" w:color="auto" w:fill="CCEEFF"/>
          </w:tcPr>
          <w:p>
            <w:pPr>
              <w:ind w:left="6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20" w:type="dxa"/>
            <w:vAlign w:val="bottom"/>
            <w:shd w:val="clear" w:color="auto" w:fill="000000"/>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(1,592)</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(1,592)</w:t>
            </w:r>
          </w:p>
        </w:tc>
        <w:tc>
          <w:tcPr>
            <w:tcW w:w="0" w:type="dxa"/>
            <w:vAlign w:val="bottom"/>
          </w:tcPr>
          <w:p>
            <w:pPr>
              <w:spacing w:after="0"/>
              <w:rPr>
                <w:sz w:val="1"/>
                <w:szCs w:val="1"/>
                <w:color w:val="auto"/>
              </w:rPr>
            </w:pPr>
          </w:p>
        </w:tc>
      </w:tr>
      <w:tr>
        <w:trPr>
          <w:trHeight w:val="155"/>
        </w:trPr>
        <w:tc>
          <w:tcPr>
            <w:tcW w:w="374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at March 31, 2025</w:t>
            </w:r>
          </w:p>
        </w:tc>
        <w:tc>
          <w:tcPr>
            <w:tcW w:w="900" w:type="dxa"/>
            <w:vAlign w:val="bottom"/>
            <w:tcBorders>
              <w:top w:val="single" w:sz="8" w:color="auto"/>
              <w:bottom w:val="single" w:sz="8" w:color="auto"/>
            </w:tcBorders>
          </w:tcPr>
          <w:p>
            <w:pPr>
              <w:ind w:left="440"/>
              <w:spacing w:after="0" w:line="155" w:lineRule="exact"/>
              <w:rPr>
                <w:sz w:val="20"/>
                <w:szCs w:val="20"/>
                <w:color w:val="auto"/>
              </w:rPr>
            </w:pPr>
            <w:r>
              <w:rPr>
                <w:rFonts w:ascii="Times New Roman" w:cs="Times New Roman" w:eastAsia="Times New Roman" w:hAnsi="Times New Roman"/>
                <w:sz w:val="14"/>
                <w:szCs w:val="14"/>
                <w:color w:val="auto"/>
                <w:w w:val="96"/>
              </w:rPr>
              <w:t>119,318</w:t>
            </w:r>
          </w:p>
        </w:tc>
        <w:tc>
          <w:tcPr>
            <w:tcW w:w="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2,864</w:t>
            </w:r>
          </w:p>
        </w:tc>
        <w:tc>
          <w:tcPr>
            <w:tcW w:w="220" w:type="dxa"/>
            <w:vAlign w:val="bottom"/>
          </w:tcPr>
          <w:p>
            <w:pPr>
              <w:spacing w:after="0"/>
              <w:rPr>
                <w:sz w:val="13"/>
                <w:szCs w:val="13"/>
                <w:color w:val="auto"/>
              </w:rPr>
            </w:pPr>
          </w:p>
        </w:tc>
        <w:tc>
          <w:tcPr>
            <w:tcW w:w="20" w:type="dxa"/>
            <w:vAlign w:val="bottom"/>
            <w:tcBorders>
              <w:top w:val="single" w:sz="8" w:color="auto"/>
              <w:bottom w:val="single" w:sz="8" w:color="auto"/>
            </w:tcBorders>
            <w:shd w:val="clear" w:color="auto" w:fill="000000"/>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rPr>
              <w:t>75,462,390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75</w:t>
            </w:r>
          </w:p>
        </w:tc>
        <w:tc>
          <w:tcPr>
            <w:tcW w:w="38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310,653</w:t>
            </w:r>
          </w:p>
        </w:tc>
        <w:tc>
          <w:tcPr>
            <w:tcW w:w="4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(457,955)</w:t>
            </w:r>
          </w:p>
        </w:tc>
        <w:tc>
          <w:tcPr>
            <w:tcW w:w="4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(147,227)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interim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40"/>
          </w:cols>
          <w:pgMar w:left="320" w:top="455" w:right="43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3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4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(1,606)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(1,592)</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(2,238)</w:t>
            </w: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sale of common stock and common stock warrants in private placement, net of issuance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30"/>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(1,603)</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8,289</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6,686</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(amortization) of redeemable convertible preferred stock to redemption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(1,508)</w:t>
            </w:r>
          </w:p>
        </w:tc>
        <w:tc>
          <w:tcPr>
            <w:tcW w:w="0" w:type="dxa"/>
            <w:vAlign w:val="bottom"/>
          </w:tcPr>
          <w:p>
            <w:pPr>
              <w:spacing w:after="0"/>
              <w:rPr>
                <w:sz w:val="1"/>
                <w:szCs w:val="1"/>
                <w:color w:val="auto"/>
              </w:rPr>
            </w:pPr>
          </w:p>
        </w:tc>
      </w:tr>
      <w:tr>
        <w:trPr>
          <w:trHeight w:val="23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warrant liability to additional paid-in capital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interim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40"/>
          </w:cols>
          <w:pgMar w:left="320" w:top="455" w:right="43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Galera Therapeutics, Inc. (the Company, or Galera) is a biopharmaceutical company that historically was focused on developing a portfolio of small molecule dismutase (SOD) mimetics to improve radiotherapy in cancer, primarily by reducing one of the most common side effects of radiotherapy, severe oral mucositis (SOM). The Company sold its assets related to avasopasem and rucosopasem and all other dismutase mimetics assets to Biossil, Inc. (Biossil), a privately-held company based in Toronto, Canada, in October 2025. Galera received consideration from Biossil in the form of an upfront payment of $3.5 million and is eligible to receive further payments upon the achievement of future regulatory and commercial milestones and to receive contingent value rights of up to $105.0 million in the aggregate. In addition, Biossil assumed all rights and obligations associated with the Company’s royalty purchase obligation (Note 7), resulting in a gain on sale of assets of $3.5 million and a gain on extinguishment of debt of $151.0 million related to the extinguishment of the royalty purchase liability that was assumed by Biossil.</w:t>
      </w:r>
    </w:p>
    <w:p>
      <w:pPr>
        <w:spacing w:after="0" w:line="192"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Galera’s clinical portfolio now is comprised of a pan-inhibitor of nitric oxide synthase (NOS) that was acquired in December 2024 through the acquisition of Nova Pharmaceuticals, Inc. (Nova). Galera’s lead program is now an investigator-sponsored Phase 1/2 trial of the pan-NOS inhibitor in combination with nab-paclitaxel and alpelisib for MpBC, which is being conducted at Methodist Hospital in Houston, Texas (Houston Methodist) with funding by a grant from the National Institutes of Health.</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April 2026 the Company entered into an Agreement and Plan of Merger (the Merger Agreement) with Obsidian Therapeutics, Inc. (Obsidian), a privately-held company based in Cambridge, Massachusetts (Note 12). Pursuant to the Merger Agreement, and upon the terms and subject to the satisfaction or waiver of the conditions described therein, Galera will be merged with and into a merger subsidiary of a newly formed parent company, Gazelle Parent, Inc. (Parent), with Galera surviving as a wholly owned subsidiary of Parent, and Obsidian will be merged with and into a separate merger subsidiary of Parent, with Obsidian surviving as a wholly owned subsidiary of Parent. Upon completion of the transaction, the combined company is expected to operate under the name Obsidian Therapeutics, Inc. and focus primarily on advancing Obsidian’s pipeline of engineered tumor infiltrating lymphocyte (TIL) cell therapies for the treatment of patients with solid tumors, including its lead product candidate, OBX-115, while continuing to support Galera’s pipeline. Closing of the planned merger (the Obsidian Merger) is subject to certain closing conditions, including the effectiveness of a registration statement on Form S-4 and approval by the stockholders of both companies.</w:t>
      </w:r>
    </w:p>
    <w:p>
      <w:pPr>
        <w:spacing w:after="0" w:line="188"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Also in April 2026, Galera entered into a securities purchase agreement with certain investors, pursuant to which Galera has agreed to sell, and such investors have agreed to purchase, shares of Galera’s Series C Non-Voting Convertible Preferred Stock, $0.001 par value, for an aggregate purchase price of approximately $350.0 million (less any proceeds received by Obsidian in connection with certain interim permitted financings), immediately prior to the closing of the Obsidian Merger (a Private Investment in Public Equity, or PIPE). The concurrent closing of the PIPE is conditioned upon the satisfaction or waiver of each of the conditions to the closing of the Obsidian Merger, other than those conditions which, by their nature, are to be satisfied at the closing of the transactions contemplated by the Merger Agreement, as well as certain other conditions.</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percentage of the combined company that pre-closing Galera security holders will own as of the closing of the Obsidian Merger is subject to adjustment based on the valuation of Galera immediately prior to the closing. Furthermore, each holder of Galera common stock of record as of the consummation of the PIPE will be entitled to (i) one contingent value right (CVR) for each share of Galera common stock held by such holder, representing the right to receive a pro rata portion of 80% of any potential future net proceeds received by Parent or its affiliates from the development, commercialization, licensing, sale or other disposition of Galera’s product candidate, tilarginine, or related intellectual property during the five years following the closing of the Obsidian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Merger and (ii) one CVR for each share of Galera common stock held by such holder, representing the right to receive a pro rata portion of 95% of any potential future net proceeds received by Parent or its affiliates from the Asset Purchase and Sale Agreement with Biossil during the ten years following the closing of the Obsidian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Company follows the provisions of the Financial Accounting Standards Board (FASB), Accounting Standards Codification (ASC) Topic 205-40, Presentation of Financial Statements-Going Concern, which requires management to assess the Company’s ability to continue as a going concern for one year after the date the consolidated financial statements are issued.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inception and has an accumulated deficit of</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$308.9 million as of March 31, 2026. The Company anticipates incurring additional losses until such time, if ever, that it can generate significant sales of its product candidate currently in development. Additionally, the Company has incurred significant expenses in connection with the planned Obsidian Merger, including expenses for the Merger Agreement and the registration statement on Form S-4. As a result of these conditions, it expects its existing cash and cash equivalents as of March 31, 2026 will not enable the Company to fund its operating expenses and capital expenditure requirements for more than one year after the date these consolidated financial statements are issued, and therefore management has concluded that substantial doubt exists about the Company’s ability to continue as a going concern.</w:t>
      </w:r>
    </w:p>
    <w:p>
      <w:pPr>
        <w:spacing w:after="0" w:line="19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Management’s plans to mitigate this risk involve a strategic transaction through the Obsidian Merger. Management’s plans may also include the deferral of certain operating expenses unless and until additional capital is received. However, there can be no assurance that the Company will be successful in consummating the Obsidian Merger or deferring certain operating expenses. The Company’s ability to continue operations is dependent on consummating the Obsidian Merger and the related financing transactions on a timely basis. If the Obsidian Merger is not completed, the Company may be required to pursue other strategic alternatives, which could include raising additional capital on unfavorable terms, significantly reducing or discontinuing operations, or pursuing a voluntary dissolution.</w:t>
      </w:r>
    </w:p>
    <w:p>
      <w:pPr>
        <w:spacing w:after="0" w:line="187"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as a going concern, which contemplates the continuity of operations, the realization of assets and the satisfaction of liabilities and commitments in the normal course of business. The consolidated financial statements do not include any adjustments to the carrying amounts and classification of assets, liabilities, and reported expenses that may be necessary if the Company were unable to continue as a going concern.</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December 2024, the Company completed a private placement with a group of investors led by Ikarian Capital, LLC (Ikarian). The Company issued 21,070,220 shares of common stock plus pre-funded warrants exercisable for 23,041,040 shares of common stock at an offering price of $0.065 per share or pre-funded warrant. The Company received net proceeds of approximately $2.9 million after deducting issuance costs of approximately $27,000, of which $0.6 million was received in January 2025. The pre-funded warrants have an exercise price of $0.001 per share, are exercisable immediately following their issuance and never expire.</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does not currently have sufficient cash to adequately fund the development of its product candidate. In order to continue research and development, the Company will need to raise additional financing to fund its operations, which could be through equity or debt financing or through strategic transactions such as the Obsidian Merger. Future capital requirements will depend on what, if any, strategic alternatives are available to the Company, which may include pursuit of a strategic transaction, a voluntary dissolution, or the continued operation of product development.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00"/>
          </w:cols>
          <w:pgMar w:left="320" w:top="455" w:right="47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Basis of presentation and significant accounting policies</w:t>
      </w:r>
    </w:p>
    <w:p>
      <w:pPr>
        <w:spacing w:after="0" w:line="121" w:lineRule="exact"/>
        <w:rPr>
          <w:sz w:val="20"/>
          <w:szCs w:val="20"/>
          <w:color w:val="auto"/>
        </w:rPr>
      </w:pPr>
    </w:p>
    <w:p>
      <w:pPr>
        <w:ind w:left="120" w:right="600" w:firstLine="440"/>
        <w:spacing w:after="0" w:line="266" w:lineRule="auto"/>
        <w:rPr>
          <w:sz w:val="20"/>
          <w:szCs w:val="20"/>
          <w:color w:val="auto"/>
        </w:rPr>
      </w:pPr>
      <w:r>
        <w:rPr>
          <w:rFonts w:ascii="Times New Roman" w:cs="Times New Roman" w:eastAsia="Times New Roman" w:hAnsi="Times New Roman"/>
          <w:sz w:val="18"/>
          <w:szCs w:val="18"/>
          <w:color w:val="auto"/>
        </w:rPr>
        <w:t>The summary of significant accounting policies disclosed in the Company’s annual consolidated financial statements for the years ended December 31, 2025 and 2024 included in the Company’s Annual Report on Form 10-K filed with the SEC on March 19, 2026 has not materially changed, except as set forth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2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accompanying unaudited interim consolidated financial statements have been prepared in conformity with U.S. generally accepted accounting principles (U.S. GAAP) for interim financial information. Any reference in these notes to applicable guidance is meant to refer to U.S. GAAP as found in the Accounting Standards Codification (ASC) and Accounting Standards Updates (ASU) of the Financial Accounting Standards Board (FASB). These unaudited interim consolidated financial statements do not include any adjustments relating to the recovery of recorded assets or the classification of the liabilities that might be necessary under the liquidation basis of accounting or should the Company be unable to continue as a going concern.</w:t>
      </w:r>
    </w:p>
    <w:p>
      <w:pPr>
        <w:spacing w:after="0" w:line="16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opinion of management, the accompanying interim consolidated financial statements include all normal and recurring adjustments (which consist primarily of accruals, estimates and assumptions that impact the financial statements) considered necessary to present fairly the Company’s financial position as of March 31, 2026 and its results of operations for the three months ended March 31, 2026 and 2025, and statements of changes in stockholders’ equity (deficit) and cash flows for the three months ended March 31, 2026 and 2025. Operating results for the three months ended March 31, 2026 are not necessarily indicative of the results that may be expected for the year ending December 31, 2026, or for any future period. The interim consolidated financial statements, presented herein, do not contain the required disclosures under U.S. GAAP for annual financial statements. Therefore, these interim consolidated financial statements should be read in conjunction with the annual audited consolidated financial statements and related notes as of and for the year ended December 31, 2025, included in the Company’s Annual Report on Form 10-K filed with the SEC on March 19, 2026.</w:t>
      </w: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preparation of unaudited interim consolidated financial statements in conformity with U.S. GAAP requires management to make estimates and assumptions that affect the reported amounts of assets and liabilities and disclosure of contingent assets and liabilities as of the date of the unaudited interim consolidated financial statements and the reported amounts of expenses during the reporting period. Actual results could differ from those estimates.</w:t>
      </w:r>
    </w:p>
    <w:p>
      <w:pPr>
        <w:spacing w:after="0" w:line="180"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revisions are reflected in the unaudited interim consolidated financial statements in the period they are determined to be necessary. Significant areas that require management’s estimates include the share-based compensation assumptions, royalty purchase liability assumptions and accrued research and development expenses.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decision-maker (CODM) in making decisions regarding resource allocation and assessing performance.</w:t>
      </w:r>
    </w:p>
    <w:p>
      <w:pPr>
        <w:spacing w:after="0" w:line="162"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(CEO), as the CODM, manages the Company’s business activities as a single operating and reportable segment at the consolidated level. Accordingly, the CEO uses consolidated income (loss) from operations as well as consolidated net income (loss) to measure segment profit or loss, allocate resources, and assess performance. The measure of segment assets is reported on the balance sheet as total assets.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320" w:top="455" w:right="45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Significant expenses within income (loss) from operations, as well as within net income (loss), include research and development and general and administrative expenses, which are each separately presented on the Company’s consolidated statements of operations. Other segment items within net income (loss) include interest income and the change in fair value of warrant liability.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the significant expense categories reviewed by the CEO for the three months ended March 31, 2026 and 2025:</w:t>
      </w:r>
    </w:p>
    <w:p>
      <w:pPr>
        <w:spacing w:after="0" w:line="246"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2"/>
                <w:szCs w:val="12"/>
                <w:color w:val="auto"/>
              </w:rPr>
            </w:pPr>
          </w:p>
        </w:tc>
      </w:tr>
      <w:tr>
        <w:trPr>
          <w:trHeight w:val="196"/>
        </w:trPr>
        <w:tc>
          <w:tcPr>
            <w:tcW w:w="6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Program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unallocated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Personnel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1,151</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1,640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w:t>
            </w:r>
          </w:p>
        </w:tc>
        <w:tc>
          <w:tcPr>
            <w:tcW w:w="100" w:type="dxa"/>
            <w:vAlign w:val="bottom"/>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segment items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1,606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that have maturities of three months or less when acquired to be cash equivalents. Cash and cash equivalents as of March 31, 2026 and December 31, 2025 consisted of bank deposits and a money market mutual fund invested in U.S. Treasury obligations. The Company maintains a portion of its cash and cash equivalents in accounts with major financial institutions, and its deposits at these institutions exceed insured limits.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pre-funded warrants issued in conjunction with the private placement in December 2024 (See Note 1) were classified as liabilities on the balance sheet at December 31, 2024, as they contained terms for redemption of the underlying security that were outside the Company’s control. The warrant liability was initially recorded at fair value upon the date of issuance and subsequently remeasured to fair value at each reporting date, with changes recognized in the consolidated statements of operations. In March 2025 the pre-funded warrants were amended, and were thereafter deemed to qualify for equity classification. The Company recognized a final change in the fair value of the liability classified warrants immediately prior to the reclassification.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Redeemable Convertible Preferred Stock</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Company records shares of redeemable convertible preferred stock at their respective fair values on the dates of issuance, net of issuance costs. The Company has applied the guidance in ASC 480-10-S99-3A, SEC Staff Announcement: Classification and Measurement of Redeemable Securities, and has therefore classified the redeemable convertible preferred stock outside of stockholders’ equity because, if conversion to common stock is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060"/>
          </w:cols>
          <w:pgMar w:left="320" w:top="455" w:right="51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not approved by the stockholders, the redeemable convertible preferred stock will be redeemable at the option of the holders for cash equal to the closing price of the common stock on the last trading day prior to the holder’s redemption request. The Company determined that the conversion and redemption are outside of the Company’s control. Additionally, the Company determined the conversion and redemption features did not require bifurcation as derivatives.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funds paid to third parties for the provision of services for product candidate development, clinical and preclinical development and related supply and manufacturing costs, and regulatory compliance costs. The Company accrues and expenses preclinical studies and clinical trial activities performed by third parties based upon estimates of the proportion of work completed over the term of the individual trial and patient enrollment rates in accordance with agreements with clinical research organizations and clinical trial sites. The Company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However, actual costs and timing of clinical trials are highly uncertain, subject to risks and may change depending upon a number of factors, including the Company’s clinical development plan.</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Management makes estimates of the Company’s accrued expenses as of each balance sheet date in the Company’s consolidated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including fees for process development or manufacturing and distribution of clinical supplies that will be used in future research and development activities, are deferred and recognized as expense in the period that the related goods are consumed or services are performed.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uses the asset and liability method of accounting for income taxes. Deferred tax assets and liabilities are recognized for the estimated future tax consequences attributable to differences between the financial statement carrying amounts of existing assets and liabilities and their respective tax bases, and operating loss and credit carryforwards. Deferred tax assets and liabilities are measured using enacted tax rates expected to apply to taxable income in the years in which those temporary differences are expected to be recovered or settled. A valuation allowance is provided when it is more likely than not that some portion or all of a deferred tax asset will not be realized. The Company recognizes the benefit of an uncertain tax position that it has taken or expects to take on its income tax return if such a position is more likely than not to be sustained.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budget and tax legislation signed into law on July 4, 2025 includes changes to U.S. federal tax law, which may be subject to further clarification and the issuance of interpretive guidance. The Company has assessed the legislation and its effect on its consolidated financial statements. Due to the existence of a full valuation allowance against the Company’s U.S. federal deferred tax assets, the Company does not expect the enactment of this law to have a material impact on its consolidated financial statements.</w:t>
      </w:r>
    </w:p>
    <w:p>
      <w:pPr>
        <w:spacing w:after="0" w:line="180"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Under Internal Revenue Code section 382, if a corporation undergoes a specified change in ownership, the corporation’s ability to use its pre-change net operating loss (NOL) carryforwards and other pre-change tax attributes to offset its post-change income may be limited. Such limitation may result in the expiration of the NOL carryforwards generated before 2018 and other pre-change tax attributes prior to their utilization. During the quarter ended September 30, 2025 the Company performed a section 382 study and determined that an ownership change occurred on December 30, 2024 upon the completion of the acquisition of Nova. The Company calculated the section 382 annual limitation and evaluated the corporation’s ability to use its NOL carryforwards and other pre-change tax attributes in future periods and determined that a portion of them would</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likely expire before being utilized. Consequently, $62.6 million of pre-2018 federal NOLs, $230.2 million of state NOLs and $9 million of federal research and development tax credits were written off during the quarter. However, as the Company had previously recorded a full valuation allowance on all deferred tax assets, these write-offs resulted in no impact to the net deferred tax position or net income during the quarter.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purposes of net loss per share, shares of the Series B redeemable convertible preferred stock (Series B) have the same characteristics as common stock and have no material preferential rights over common stock, and accordingly have been considered as a second class of common stock in the computation of basic and diluted net loss per share regardless of their legal form. Losses are allocated between the common shares and the Series B on a pro rata basis as they share equally in losses and residual net assets on an as-converted basis.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by the weighted-average number of shares of common stock outstanding during each period, including pre-funded warrants. The pre-funded warrants to purchase common stock are included in the calculation of basic and diluted net loss per share as the exercise price of $0.001 per share is non-substantive and is virtually assured.</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Diluted loss per share of common stock includes the effect, if any, from the potential exercise or conversion of securities, such as stock options and common stock warrants, which would result in the issuance of incremental shares of common stock. Basic and diluted net loss per share data is the same due to the fact that when a net loss exists, dilutive securities are not included in the calculation as the impact is anti-dilutive.</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outstanding, as they would be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52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584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CCEEFF"/>
            </w:tcBorders>
          </w:tcPr>
          <w:p>
            <w:pPr>
              <w:spacing w:after="0"/>
              <w:rPr>
                <w:sz w:val="12"/>
                <w:szCs w:val="12"/>
                <w:color w:val="auto"/>
              </w:rPr>
            </w:pPr>
          </w:p>
        </w:tc>
      </w:tr>
      <w:tr>
        <w:trPr>
          <w:trHeight w:val="210"/>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10,599,059</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3,175,859</w:t>
            </w:r>
          </w:p>
        </w:tc>
        <w:tc>
          <w:tcPr>
            <w:tcW w:w="6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13,850,661</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13,850,661</w:t>
            </w:r>
          </w:p>
        </w:tc>
      </w:tr>
      <w:tr>
        <w:trPr>
          <w:trHeight w:val="223"/>
        </w:trPr>
        <w:tc>
          <w:tcPr>
            <w:tcW w:w="58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b w:val="1"/>
                <w:bCs w:val="1"/>
                <w:color w:val="auto"/>
              </w:rPr>
              <w:t>24,449,720</w:t>
            </w:r>
          </w:p>
        </w:tc>
        <w:tc>
          <w:tcPr>
            <w:tcW w:w="3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rPr>
              <w:t>17,026,520</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2024-04, “ASC 470-Debt with Conversion and Other Options, Induced Conversions of Convertible Debt Instruments,” (ASU 2024-04) which clarifies whether or not a settlement of a convertible debt instrument is subject to the induced conversion guidance. The Company adopted this ASU on January 1, 2026. The adoption did not have a material impact on the Company’s consolidated financial statements.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the disaggregation of certain expenses in the notes of the financials, to provide enhanced transparency into the expense captions presented on the face of the income statement. The guidance is effective for annual reporting periods beginning after December 15, 2026 and interim periods beginning after December 15, 2027 and may be applied either prospectively or retrospectively. The Company is assessing the impact of adopting this guidance on its consolidated financial statements.</w:t>
      </w:r>
    </w:p>
    <w:p>
      <w:pPr>
        <w:spacing w:after="0" w:line="183"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The updated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56" w:lineRule="auto"/>
        <w:rPr>
          <w:sz w:val="20"/>
          <w:szCs w:val="20"/>
          <w:color w:val="auto"/>
        </w:rPr>
      </w:pPr>
      <w:r>
        <w:rPr>
          <w:rFonts w:ascii="Times New Roman" w:cs="Times New Roman" w:eastAsia="Times New Roman" w:hAnsi="Times New Roman"/>
          <w:sz w:val="18"/>
          <w:szCs w:val="18"/>
          <w:color w:val="auto"/>
        </w:rPr>
        <w:t>guidance changes the accounting for internal-use software by eliminating references to sequential project stages. Eligible software development cost capitalization will begin when: (1) management has authorized and committed to funding the software project and (2) it is probable that the software will be completed and used as intended. The guidance is effective for annual periods beginning after December 15, 2027, and interim periods within those annual periods, with early adoption permitted. The guidance may be applied using a prospective transition method, a retrospective transition method or a modified prospective transition method. The Company is assessing the impact of adopting this guidance on its consolidated financial statements.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 Narrow Scope Improvements,” (ASU 2025-11) which is intended to improve the navigability of the guidance in ASC 270, Interim Reporting, and clarify when it applies. Under the amendments, an entity is subject to ASC 270 if it provides interim financial statements and notes in accordance with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and early adoption is permitted. The Company is assessing the impact of adopting this guidance on its consolidated financial statements.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Sale of assets</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In October 2025, the Company entered into an Asset Purchase and Sale Agreement, as amended (APA) with Biossil, Inc. (Biossil), pursuant to which Biossil acquired all of the Company’s right, title and interest in and to its assets related to avasopasem and rucosopasem and all other dismutase mimetics assets (the Transaction). The assets consisted of intellectual property rights related to dismutase mimetics and inventory of avasopasem and rucosopasem; there was no carrying value for these assets. Biossil assumed the Company’s existing agreements related to these assets.</w:t>
      </w:r>
    </w:p>
    <w:p>
      <w:pPr>
        <w:spacing w:after="0" w:line="16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received consideration from Biossil in the form of an upfront payment in October 2025 of $3.5 million, and is eligible to receive further payments upon the achievement of future regulatory and commercial milestones of up to $75.0 million, and received contingent value rights of up to $30.0 million should Biossil enter into an out-license for topical applications. The Company accounted for the Transaction as a sale of a nonfinancial asset group in accordance with ASC 610-20, Other Income-Gains and Losses from Derecognition of Nonfinancial Assets, and followed the principles of ASC 606, Revenue from Contracts with Customers. Future regulatory and commercial milestone payments and potential payments pursuant to the contingent value rights are considered variable consideration and fully constrained at the time of the sale and again at March 31, 2026, as it was determined that it was not probable that the variable consideration related to the contingent milestone payments and contingent value right payments will be received. The contingent milestone and contingent value right payments will be recognized if and when it becomes probable that the underlying milestones or events will be achieved and payments will be received. The Company transferred control of the nonfinancial asset group in October 2025 and recognized a gain of $3.5 million in the consolidated statements of operations related to the sale of dismutase mimetics assets and a gain of $151.0 million related to the extinguishment of the royalty purchase liability.</w:t>
      </w:r>
    </w:p>
    <w:p>
      <w:pPr>
        <w:spacing w:after="0" w:line="19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acquiring these assets, the Company assigned and Biossil assumed all of the Company’s rights and obligations under the Royalty Agreement with Blackstone (see Note 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00"/>
          </w:cols>
          <w:pgMar w:left="320" w:top="455" w:right="47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considering market participant assumptions in fair value measurements, the following fair value hierarchy distinguishes between observable and unobservable inputs, which are categorized in one of the following levels:</w:t>
      </w:r>
    </w:p>
    <w:p>
      <w:pPr>
        <w:spacing w:after="0" w:line="67" w:lineRule="exact"/>
        <w:rPr>
          <w:sz w:val="20"/>
          <w:szCs w:val="20"/>
          <w:color w:val="auto"/>
        </w:rPr>
      </w:pPr>
    </w:p>
    <w:p>
      <w:pPr>
        <w:ind w:left="540" w:right="200" w:hanging="316"/>
        <w:spacing w:after="0" w:line="282" w:lineRule="auto"/>
        <w:tabs>
          <w:tab w:leader="none" w:pos="5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67" w:lineRule="exact"/>
        <w:rPr>
          <w:rFonts w:ascii="Times New Roman" w:cs="Times New Roman" w:eastAsia="Times New Roman" w:hAnsi="Times New Roman"/>
          <w:sz w:val="18"/>
          <w:szCs w:val="18"/>
          <w:color w:val="auto"/>
        </w:rPr>
      </w:pPr>
    </w:p>
    <w:p>
      <w:pPr>
        <w:ind w:left="540" w:right="300" w:hanging="316"/>
        <w:spacing w:after="0" w:line="282" w:lineRule="auto"/>
        <w:tabs>
          <w:tab w:leader="none" w:pos="5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67" w:lineRule="exact"/>
        <w:rPr>
          <w:rFonts w:ascii="Times New Roman" w:cs="Times New Roman" w:eastAsia="Times New Roman" w:hAnsi="Times New Roman"/>
          <w:sz w:val="18"/>
          <w:szCs w:val="18"/>
          <w:color w:val="auto"/>
        </w:rPr>
      </w:pPr>
    </w:p>
    <w:p>
      <w:pPr>
        <w:ind w:left="540" w:right="440" w:hanging="316"/>
        <w:spacing w:after="0" w:line="282" w:lineRule="auto"/>
        <w:tabs>
          <w:tab w:leader="none" w:pos="5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the Company’s assets and liabilities that are measured at fair value on a recurring basis (amounts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(Level 1)</w:t>
            </w:r>
          </w:p>
        </w:tc>
        <w:tc>
          <w:tcPr>
            <w:tcW w:w="1560" w:type="dxa"/>
            <w:vAlign w:val="bottom"/>
            <w:gridSpan w:val="4"/>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(Level 3)</w:t>
            </w:r>
          </w:p>
        </w:tc>
        <w:tc>
          <w:tcPr>
            <w:tcW w:w="6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$ 5,401</w:t>
            </w: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6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(Level 1)</w:t>
            </w:r>
          </w:p>
        </w:tc>
        <w:tc>
          <w:tcPr>
            <w:tcW w:w="1560" w:type="dxa"/>
            <w:vAlign w:val="bottom"/>
            <w:gridSpan w:val="4"/>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8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w w:val="98"/>
              </w:rPr>
              <w:t>(Level 3)</w:t>
            </w:r>
          </w:p>
        </w:tc>
        <w:tc>
          <w:tcPr>
            <w:tcW w:w="60" w:type="dxa"/>
            <w:vAlign w:val="bottom"/>
          </w:tcPr>
          <w:p>
            <w:pPr>
              <w:spacing w:after="0"/>
              <w:rPr>
                <w:sz w:val="12"/>
                <w:szCs w:val="12"/>
                <w:color w:val="auto"/>
              </w:rPr>
            </w:pPr>
          </w:p>
        </w:tc>
      </w:tr>
      <w:tr>
        <w:trPr>
          <w:trHeight w:val="196"/>
        </w:trPr>
        <w:tc>
          <w:tcPr>
            <w:tcW w:w="64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 (included in cash equivalents)</w:t>
            </w: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$ 6,265</w:t>
            </w:r>
          </w:p>
        </w:tc>
        <w:tc>
          <w:tcPr>
            <w:tcW w:w="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
        </w:trPr>
        <w:tc>
          <w:tcPr>
            <w:tcW w:w="6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were no changes in valuation techniques during the three months ended March 31, 2026. The Company’s short-term investment instruments classified using Level 1 inputs within the fair value hierarchy are classified as such because they are valued using quoted market prices, broker or dealer quotations, or alternative pricing sources with reasonable levels of price transparency.</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The initial fair value of the pre-funded warrants was based on the closing price of the private placement that occurred in December 2024. Each subsequent reporting period prior to their reclassification to equity, the warrants were marked-to-market based on the period-end closing price of the Company’s common stock. The change in fair value of the warrant liabilities for the quarter ended March 31, 2025 was as follows (amounts in thousands):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to equity</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1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62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 consist of (amounts in thousands):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24"/>
                <w:szCs w:val="24"/>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70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563</w:t>
            </w: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720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vMerge w:val="restart"/>
          </w:tcPr>
          <w:p>
            <w:pPr>
              <w:ind w:left="3580"/>
              <w:spacing w:after="0"/>
              <w:rPr>
                <w:sz w:val="20"/>
                <w:szCs w:val="20"/>
                <w:color w:val="auto"/>
              </w:rPr>
            </w:pPr>
            <w:r>
              <w:rPr>
                <w:rFonts w:ascii="Times New Roman" w:cs="Times New Roman" w:eastAsia="Times New Roman" w:hAnsi="Times New Roman"/>
                <w:sz w:val="18"/>
                <w:szCs w:val="18"/>
                <w:color w:val="auto"/>
              </w:rPr>
              <w:t>F-44</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consist of (amounts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300" w:type="dxa"/>
            <w:vAlign w:val="bottom"/>
            <w:tcBorders>
              <w:bottom w:val="single" w:sz="8" w:color="CCEEFF"/>
            </w:tcBorders>
          </w:tcPr>
          <w:p>
            <w:pPr>
              <w:spacing w:after="0"/>
              <w:rPr>
                <w:sz w:val="15"/>
                <w:szCs w:val="15"/>
                <w:color w:val="auto"/>
              </w:rPr>
            </w:pPr>
          </w:p>
        </w:tc>
        <w:tc>
          <w:tcPr>
            <w:tcW w:w="16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Late filing penalty</w:t>
            </w:r>
          </w:p>
        </w:tc>
        <w:tc>
          <w:tcPr>
            <w:tcW w:w="1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23"/>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tcPr>
          <w:p>
            <w:pPr>
              <w:spacing w:after="0"/>
              <w:rPr>
                <w:sz w:val="19"/>
                <w:szCs w:val="19"/>
                <w:color w:val="auto"/>
              </w:rPr>
            </w:pPr>
          </w:p>
        </w:tc>
      </w:tr>
      <w:tr>
        <w:trPr>
          <w:trHeight w:val="216"/>
        </w:trPr>
        <w:tc>
          <w:tcPr>
            <w:tcW w:w="43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60"/>
              <w:spacing w:after="0"/>
              <w:rPr>
                <w:sz w:val="20"/>
                <w:szCs w:val="20"/>
                <w:color w:val="auto"/>
              </w:rPr>
            </w:pPr>
            <w:r>
              <w:rPr>
                <w:rFonts w:ascii="Times New Roman" w:cs="Times New Roman" w:eastAsia="Times New Roman" w:hAnsi="Times New Roman"/>
                <w:sz w:val="18"/>
                <w:szCs w:val="18"/>
                <w:color w:val="auto"/>
              </w:rPr>
              <w:t>442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r>
      <w:tr>
        <w:trPr>
          <w:trHeight w:val="20"/>
        </w:trPr>
        <w:tc>
          <w:tcPr>
            <w:tcW w:w="4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Royalty purchase liability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Pursuant to the Company’s Amended and Restated Purchase and Sale Agreement (as amended, the Royalty Agreement) with Clarus IV Galera Royalty AIV, L.P., Clarus IV-A, L.P., Clarus IV-B, L.P., Clarus IV-C, L.P. and Clarus IV-D, L.P. (collectively, Blackstone or Blackstone Life Sciences), the Company has received $117.5 million in aggregate proceeds. Proceeds from the Royalty Agreement were accounted as debt on the accompanying consolidated balance sheets. Interest expense was imputed based on the estimated royalty repayment period, which took into consideration the probability and timing of obtaining approval from the U.S. Food and Drug Administration (FDA) and the potential future revenue from commercializing its historical product candidates, and which resulted in a corresponding increase in the liability balance.</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suspended recognizing interest expense on the royalty purchase liability after October 2023, as the result of the uncertainty of any future royalties following its decision to discontinue the rucosopasem GRECO trials and that it was not feasible with its current resources for the Company to conduct another Phase 3 trial of avasopasem. Accordingly, no interest was recognized during the three months ended March 31, 2026 and 2025.</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August 2025, the Royalty Agreement was amended, which reduced the royalty rate on net sales of avasopasem and rucosopasem to four percent (4%). The amendment was accounted for as a modification of debt to which no immediate gain or loss is recognized.</w:t>
      </w:r>
    </w:p>
    <w:p>
      <w:pPr>
        <w:spacing w:after="0" w:line="162"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sale of the Company’s dismutase mimetics assets to Biossil in October 2025, the Company assigned and Biossil assumed all rights and obligations under the amended Royalty Agreement, and Blackstone acknowledged that it would look solely to Biossil to pay and perform the obligations and liabilities under the amended Royalty Agreement. Accordingly, the Company has extinguished the royalty purchase liability from its consolidated balance sheet, recording a $151.0 million noncash gain on the extinguishment in its consolidated statement of operations for the year ended December 31,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21" w:lineRule="exact"/>
        <w:rPr>
          <w:sz w:val="20"/>
          <w:szCs w:val="20"/>
          <w:color w:val="auto"/>
        </w:rPr>
      </w:pPr>
    </w:p>
    <w:p>
      <w:pPr>
        <w:jc w:val="both"/>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January 2025, the Company entered into an operating lease agreement for office space in Malvern, Pennsylvania. The lease commencement date was February 1, 2025, and the lease term was 12 months, after which it continues on a month-to-month basis, with 90 days’ notice required for cancellation.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320" w:top="455" w:right="45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Lease cost, as presented below, includes costs associated with leases for which right-of-use (ROU) assets have been recognized as well as short-term leases. The components of lease expense were as follows (amounts in thousands):</w:t>
      </w:r>
    </w:p>
    <w:p>
      <w:pPr>
        <w:spacing w:after="0" w:line="182"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434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4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CCEEFF"/>
            </w:tcBorders>
          </w:tcPr>
          <w:p>
            <w:pPr>
              <w:spacing w:after="0"/>
              <w:rPr>
                <w:sz w:val="12"/>
                <w:szCs w:val="12"/>
                <w:color w:val="auto"/>
              </w:rPr>
            </w:pPr>
          </w:p>
        </w:tc>
      </w:tr>
      <w:tr>
        <w:trPr>
          <w:trHeight w:val="196"/>
        </w:trPr>
        <w:tc>
          <w:tcPr>
            <w:tcW w:w="43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lease costs</w:t>
            </w:r>
          </w:p>
        </w:tc>
        <w:tc>
          <w:tcPr>
            <w:tcW w:w="2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rental expense</w:t>
            </w:r>
          </w:p>
        </w:tc>
        <w:tc>
          <w:tcPr>
            <w:tcW w:w="2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expense</w:t>
            </w:r>
          </w:p>
        </w:tc>
        <w:tc>
          <w:tcPr>
            <w:tcW w:w="2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(amounts in thousands):</w:t>
      </w:r>
    </w:p>
    <w:p>
      <w:pPr>
        <w:spacing w:after="0" w:line="246"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576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4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CCEEFF"/>
            </w:tcBorders>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Company’s subsidiary, Nova, has a worldwide license agreement (the License) with Houston Methodist. The License was executed in January</w:t>
      </w:r>
    </w:p>
    <w:p>
      <w:pPr>
        <w:spacing w:after="0" w:line="39" w:lineRule="exact"/>
        <w:rPr>
          <w:sz w:val="20"/>
          <w:szCs w:val="20"/>
          <w:color w:val="auto"/>
        </w:rPr>
      </w:pPr>
    </w:p>
    <w:p>
      <w:pPr>
        <w:jc w:val="both"/>
        <w:ind w:left="120" w:right="460"/>
        <w:spacing w:after="0" w:line="255" w:lineRule="auto"/>
        <w:rPr>
          <w:sz w:val="20"/>
          <w:szCs w:val="20"/>
          <w:color w:val="auto"/>
        </w:rPr>
      </w:pPr>
      <w:r>
        <w:rPr>
          <w:rFonts w:ascii="Times New Roman" w:cs="Times New Roman" w:eastAsia="Times New Roman" w:hAnsi="Times New Roman"/>
          <w:sz w:val="18"/>
          <w:szCs w:val="18"/>
          <w:color w:val="auto"/>
        </w:rPr>
        <w:t>2024 and gives Nova the exclusive rights to certain Houston Methodist patents for use in the field of oncology, and non-exclusive rights to certain Houston Methodist know-how for use in connection with the licensed patents. Under a separate patent prosecution agreement, fees of the law firm maintaining the licensed patents are billed to and payable directly by Nova.</w:t>
      </w:r>
    </w:p>
    <w:p>
      <w:pPr>
        <w:spacing w:after="0" w:line="18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License includes due diligence requirements for Nova to submit an Investigational New Drug (IND) application by January 31, 2028, and thereafter to initiate Phase 1, 2 and 3 clinical trials and file a Biologics License Application (BLA) by specified dates. If Nova receives FDA approval for a product covered by the License, fees are payable upon attainment of certain commercial milestones, and low-to-mid single digit royalties are payable on net sales. Fees are also payable on any sublicense revenue that Nova receives.</w:t>
      </w:r>
    </w:p>
    <w:p>
      <w:pPr>
        <w:spacing w:after="0" w:line="180"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As additional consideration for the License, Nova made an initial issuance of shares of Nova common stock to Houston Methodist, and subsequently issued additional shares such that Houston Methodist maintained an agreed percentage of Nova outstanding shares. On December 30, 2024, the Houston Methodist shares in Nova were exchanged for approximately 7,323 shares of the Company’s Series B.</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earlier terminated, the License expires on the later of January 31, 2044, or the end of the patent term for the last licensed patent to expire, after which the license continues on a nonexclusive, royalty-free basis.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Incentive Plan</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November 2012, the Company adopted the Galera Therapeutics, Inc. Equity Incentive Plan (the Prior Plan). The Prior Plan provided for the grant of incentive stock options, nonstatutory stock options, restricted stock awards, and stock appreciation rights. In connection with the adoption of the 2019 Plan (as defined below), the Company ceased issuing awards under the Prior Plan. As a result, no shares remain available for issuance under the Prior Plan; however, the Prior Plan continues to govern awards that are outstanding under it. The total number of shares subject to outstanding awards under the Prior Plan as of March 31, 2026 was 572,458.</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1120"/>
          </w:cols>
          <w:pgMar w:left="320" w:top="455" w:right="45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Initial Public Offering, or IPO, in November 2019, the Company’s board of directors adopted and the Company’s stockholders approved the Galera Therapeutics, Inc. 2019 Incentive Award Plan (the 2019 Plan), which became effective upon the effectiveness of the registration statement on Form S-1 for the IPO. Upon effectiveness of the 2019 Plan, the Company ceased granting new awards under the Prior Plan.</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2019 Plan provides for the grant of incentive stock options, nonstatutory stock options, restricted stock awards, restricted stock units, stock appreciation rights and other stock-based awards. The number of shares of common stock initially available for issuance under the 2019 Plan was 1,948,970 shares of common stock plus the number of shares subject to awards outstanding under the Prior Plan that expire, terminate or are otherwise surrendered, cancelled, forfeited or repurchased by the Company on or after the effective date of the 2019 Plan. In addition, the number of shares of common stock available for issuance under the 2019 Plan is subject to an annual increase on the first day of each calendar year beginning on January 1, 2020 and ending on and including January 1, 2029 equal to the lesser of (i) 4% of the Company’s outstanding shares of common stock on the final day of the immediately preceding calendar year, and (ii) such smaller number of shares of common stock as determined by the Company’s board of directors. As of March 31, 2026, there were 5,888,150 shares available for future issuance under the 2019 Plan, including 3,018,496 shares added pursuant to this provision effective January 1, 2026. The maximum number of shares of common stock that may be issued under the 2019 Plan upon the exercise of incentive stock options is 14,130,029.</w:t>
      </w:r>
    </w:p>
    <w:p>
      <w:pPr>
        <w:spacing w:after="0" w:line="194"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In November 2019, the Company’s board of directors adopted and the Company’s stockholders approved the Galera Therapeutics, Inc. 2019 Employee Stock Purchase Plan (the ESPP). The ESPP allows employees to buy Company stock through after-tax payroll deductions at a discount from market value. The number of shares of common stock initially available for issuance under the ESPP was 243,621 shares of common stock. In addition, the number of shares of common stock available for issuance under the ESPP is subject to an annual increase on the first day of each calendar year beginning on January 1, 2020 and ending on and including January 1, 2029 equal to the lesser of (i) 1% of the Company’s outstanding shares of common stock on the final day of the immediately preceding calendar year and (ii) such smaller number of shares of common stock as determined by the Company’s board of directors, provided that not more than 3,288,886 shares of common stock may be issued under the ESPP. As of March 31, 2026, there were 3,344,353 shares available for issuance under the ESPP, including 754,624 shares added pursuant to this provision effective January 1, 2026.</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2023 Employment Inducement Award Plan</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On April 28, 2023, the Board of Directors adopted the Galera Therapeutics, Inc. 2023 Employment Inducement Award Plan (Inducement Plan), which became effective on such date without stockholder approval pursuant to Rule 5635(c)(4) of The Nasdaq Stock Market LLC listing rules (Rule 5635(c)(4)). The Inducement Plan provides for the grant of nonstatutory stock options, stock appreciation rights, restricted stock, restricted stock units, and other stock-based awards. In accordance with Rule 5635(c)(4), awards under the Inducement Plan may only be granted to persons who (a) were not previously an employee or director of the Company, or (b) are commencing employment with the Company following a bona fide period of non-employment, in either case as an inducement material to the individual’s entering into employment with the Company. A total of 1,500,000 shares of common stock was reserved for issuance under the Inducement Plan. Any shares subject to awards previously granted under the Inducement Plan that expire, terminate or are otherwise surrendered, canceled, or forfeited, in a manner that results in the Company (i) acquiring the shares covered by the award at a price not greater than the price (as adjusted to reflect any equity restructuring) paid by the participant for such shares or (ii) not issuing any shares covered by the award, the unused shares covered by such awards will again be available for award grants under the Inducement Plan. As of March 31, 2026, there were 1,500,000 shares available for issuance under the Inducement Plan.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00"/>
          </w:cols>
          <w:pgMar w:left="320" w:top="455" w:right="47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Share-based compensation expense was as follows for the three months ended March 31, 2026 and 2025 (in thousands):</w:t>
      </w:r>
    </w:p>
    <w:p>
      <w:pPr>
        <w:spacing w:after="0" w:line="246" w:lineRule="exact"/>
        <w:rPr>
          <w:sz w:val="20"/>
          <w:szCs w:val="20"/>
          <w:color w:val="auto"/>
        </w:rPr>
      </w:pP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6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432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CCEEFF"/>
            </w:tcBorders>
          </w:tcPr>
          <w:p>
            <w:pPr>
              <w:spacing w:after="0"/>
              <w:rPr>
                <w:sz w:val="12"/>
                <w:szCs w:val="12"/>
                <w:color w:val="auto"/>
              </w:rPr>
            </w:pPr>
          </w:p>
        </w:tc>
      </w:tr>
      <w:tr>
        <w:trPr>
          <w:trHeight w:val="209"/>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43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r>
      <w:tr>
        <w:trPr>
          <w:trHeight w:val="20"/>
        </w:trPr>
        <w:tc>
          <w:tcPr>
            <w:tcW w:w="4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stock option grants for the three months ended March 31, 2026:</w:t>
      </w:r>
    </w:p>
    <w:p>
      <w:pPr>
        <w:spacing w:after="0" w:line="23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3"/>
          </w:tcPr>
          <w:p>
            <w:pPr>
              <w:jc w:val="center"/>
              <w:ind w:left="216"/>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2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2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2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4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2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10,969,734</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1.27</w:t>
            </w:r>
          </w:p>
        </w:tc>
        <w:tc>
          <w:tcPr>
            <w:tcW w:w="6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81"/>
              </w:rPr>
              <w:t>— </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Forfeited/Expired</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(370,675)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2.43</w:t>
            </w: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10,599,059</w:t>
            </w:r>
          </w:p>
        </w:tc>
        <w:tc>
          <w:tcPr>
            <w:tcW w:w="3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center"/>
              <w:ind w:left="53"/>
              <w:spacing w:after="0"/>
              <w:rPr>
                <w:sz w:val="20"/>
                <w:szCs w:val="20"/>
                <w:color w:val="auto"/>
              </w:rPr>
            </w:pPr>
            <w:r>
              <w:rPr>
                <w:rFonts w:ascii="Times New Roman" w:cs="Times New Roman" w:eastAsia="Times New Roman" w:hAnsi="Times New Roman"/>
                <w:sz w:val="18"/>
                <w:szCs w:val="18"/>
                <w:color w:val="auto"/>
              </w:rPr>
              <w:t>1.23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March 31, 2026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3,878,171</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3.28</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10,599,059</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rPr>
              <w:t>1.23</w:t>
            </w:r>
          </w:p>
        </w:tc>
        <w:tc>
          <w:tcPr>
            <w:tcW w:w="62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stock option awards vest based on the terms in the governing agreements and generally vest over four years and have a term of 10</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years.</w:t>
      </w:r>
    </w:p>
    <w:p>
      <w:pPr>
        <w:spacing w:after="0" w:line="20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As of March 31, 2026, the unrecognized compensation cost was $0.3 million and will be recognized over an estimated weighted-average remaining amortization period of 1.8 years. The aggregate intrinsic value of options outstanding and of options exercisable as of March 31, 2026 were $0.2 million and less than $0.1 million, respectively. Options granted during the three months ended March 31, 2025 had weighted-average grant-date fair values of $0.03 per share. There were no options granted during the three months ended March 31, 2026.</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fair value of options is estimated using the Black-Scholes option pricing model, which takes into account inputs such as the exercise price, the estimated fair value of the underlying common stock at the grant date, expected term, expected stock price volatility, risk-free interest rate and dividend yield. The fair value of stock options granted during the three months ended March 31, 2025 was determined using the methods and assumptions discussed below.</w:t>
      </w:r>
    </w:p>
    <w:p>
      <w:pPr>
        <w:spacing w:after="0" w:line="85" w:lineRule="exact"/>
        <w:rPr>
          <w:sz w:val="20"/>
          <w:szCs w:val="20"/>
          <w:color w:val="auto"/>
        </w:rPr>
      </w:pPr>
    </w:p>
    <w:p>
      <w:pPr>
        <w:ind w:left="540" w:hanging="316"/>
        <w:spacing w:after="0" w:line="289" w:lineRule="auto"/>
        <w:tabs>
          <w:tab w:leader="none" w:pos="540" w:val="left"/>
        </w:tabs>
        <w:numPr>
          <w:ilvl w:val="0"/>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expected term of employee stock options with service-based vesting is determined using the “simplified” method, as prescribed in SEC’s Staff Accounting Bulletin (SAB) No. 107, whereby the expected life equals the arithmetic average of the vesting term and the original contractual term of the option due to the Company’s lack of sufficient historical data. The expected term of nonemployee options is equal to the contractual term.</w:t>
      </w:r>
    </w:p>
    <w:p>
      <w:pPr>
        <w:spacing w:after="0" w:line="63" w:lineRule="exact"/>
        <w:rPr>
          <w:rFonts w:ascii="Times New Roman" w:cs="Times New Roman" w:eastAsia="Times New Roman" w:hAnsi="Times New Roman"/>
          <w:sz w:val="17"/>
          <w:szCs w:val="17"/>
          <w:color w:val="auto"/>
        </w:rPr>
      </w:pPr>
    </w:p>
    <w:p>
      <w:pPr>
        <w:ind w:left="540" w:right="200" w:hanging="316"/>
        <w:spacing w:after="0" w:line="282" w:lineRule="auto"/>
        <w:tabs>
          <w:tab w:leader="none" w:pos="5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stock price volatility is based on historical volatilities of the Company as well as comparable public entities within the Company’s industry which were commensurate with the expected term assumption as described in SAB No. 107.</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20"/>
          </w:cols>
          <w:pgMar w:left="320" w:top="455" w:right="45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740" w:hanging="316"/>
        <w:spacing w:after="0" w:line="282" w:lineRule="auto"/>
        <w:tabs>
          <w:tab w:leader="none" w:pos="5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interest rate payable on U.S. Treasury securities in effect at the time of grant for a period that is commensurate with the expected term.</w:t>
      </w:r>
    </w:p>
    <w:p>
      <w:pPr>
        <w:spacing w:after="0" w:line="67" w:lineRule="exact"/>
        <w:rPr>
          <w:rFonts w:ascii="Times New Roman" w:cs="Times New Roman" w:eastAsia="Times New Roman" w:hAnsi="Times New Roman"/>
          <w:sz w:val="18"/>
          <w:szCs w:val="18"/>
          <w:color w:val="auto"/>
        </w:rPr>
      </w:pPr>
    </w:p>
    <w:p>
      <w:pPr>
        <w:ind w:left="540" w:hanging="316"/>
        <w:spacing w:after="0" w:line="282" w:lineRule="auto"/>
        <w:tabs>
          <w:tab w:leader="none" w:pos="5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is 0% because the Company has not historically paid, and does not expect for the foreseeable future to pay, a dividend on its common stock.</w:t>
      </w:r>
    </w:p>
    <w:p>
      <w:pPr>
        <w:spacing w:after="0" w:line="67" w:lineRule="exact"/>
        <w:rPr>
          <w:rFonts w:ascii="Times New Roman" w:cs="Times New Roman" w:eastAsia="Times New Roman" w:hAnsi="Times New Roman"/>
          <w:sz w:val="18"/>
          <w:szCs w:val="18"/>
          <w:color w:val="auto"/>
        </w:rPr>
      </w:pPr>
    </w:p>
    <w:p>
      <w:pPr>
        <w:ind w:left="540" w:right="160" w:hanging="316"/>
        <w:spacing w:after="0" w:line="282" w:lineRule="auto"/>
        <w:tabs>
          <w:tab w:leader="none" w:pos="5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has determined the per share value of the Company’s common stock based on the closing price as reported by the OTCQB Market on the date of the grant.</w:t>
      </w:r>
    </w:p>
    <w:p>
      <w:pPr>
        <w:spacing w:after="0" w:line="162"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The grant date fair value of each option grant was estimated throughout the three months ended March 31, 2025 using the Black-Scholes option-pricing model using the following weighted-average assumptions. There were no options granted during the three months ended March 31, 2026.</w:t>
      </w:r>
    </w:p>
    <w:p>
      <w:pPr>
        <w:spacing w:after="0" w:line="14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48"/>
        </w:trPr>
        <w:tc>
          <w:tcPr>
            <w:tcW w:w="602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0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5"/>
                <w:szCs w:val="15"/>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96.6%</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r>
      <w:tr>
        <w:trPr>
          <w:trHeight w:val="234"/>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IntellectMap Advisory Services</w:t>
      </w:r>
    </w:p>
    <w:p>
      <w:pPr>
        <w:spacing w:after="0" w:line="119"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IntellectMap provides information technology advisory services to the Company. The chief executive officer of IntellectMap is the brother of the Company’s chief executive officer. Fees incurred by the Company with respect to IntellectMap during the three months ended March 31, 2026 and 2025 were $43,000 and $30,000, respectively.</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Friedman Independent Contractor Agreement</w:t>
      </w:r>
    </w:p>
    <w:p>
      <w:pPr>
        <w:spacing w:after="0" w:line="119"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In March 2025 the Company entered into an Independent Contractor Agreement with Michael Friedman (the Contractor Agreement) to provide corporate and business development services, with an effective date of January 1, 2025. Fees incurred by the Company with respect to Mr. Friedman during the three months ended March 31, 2026 and 2025 were $30,000 in each quarter. Mr. Friedman serves on the Company’s board of directors.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On April 7, 2026, the Company converted 76,479.175 shares of its Series B into 76,479,164 shares of its common stock, par value $0.001 per share, pursuant to and in accordance with the Certificate of Designation of Preferences, Rights and Limitations of the Series B, as amended (the Certificate of Designation). No fractional shares of common stock were issued in connection with the partial mandatory conversion; in lieu of any fractional shares, the Company will pay each holder an amount in cash equal to the trading value of such fractional shares as of the close of business on the date of the conversion in accordance with the Certificate of Designation. Following the conversion, 42,839.11 shares of Series B remain issued and outstanding.</w:t>
      </w:r>
    </w:p>
    <w:p>
      <w:pPr>
        <w:spacing w:after="0" w:line="187"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April 8, 2026, certain affiliates of Ikarian exercised a portion of their pre-funded warrants to purchase an aggregate of 8,488,229 shares of common stock at an exercise price of $0.001 per share, and the related aggregate exercise price of approximately $8,488.23 was paid to the Company. Following the exercise, pre-funded warrants to purchase an additional 14,552,811 shares of common stock remain outstanding.</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On April 14, 2026, the Company entered into the Merger Agreement with Obsidian and three newly formed companies - Parent, a subsidiary of Galera, and Onyx MergerSub, Inc. and Gazelle Merger Subsidiary, Inc.,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wholly-owned subsidiaries of Parent - which were incorporated in Delaware on April 10, 2026. Pursuant to the Merger Agreement, and upon the terms and subject to the satisfaction or waiver of the conditions described therein, Galera will be merged with and into Gazelle Merger Subsidiary, with Galera surviving as a wholly-owned subsidiary of Parent, and Obsidian will be merged with and into Obsidian Merger-Sub, with Obsidian surviving as a wholly-owned subsidiary of Parent. These mergers are intended to qualify as a tax-free reorganization for U.S. federal income tax purposes.</w:t>
      </w:r>
    </w:p>
    <w:p>
      <w:pPr>
        <w:spacing w:after="0" w:line="180"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Assuming that the Obsidian Merger is closed, the pre-merger equityholders of Obsidian will own approximately 53.2% and the pre-merger equityholders of Galera will own approximately 1.8% of the combined company. A PIPE financing will be closed concurrently with the Obsidian Merger for approximately $350.0 million, and the PIPE investors will own approximately 45.0% of the combined company. The percentage owned by Galera equityholders is based on a valuation of $13.8 million, including an assumption of net cash at closing of $1.8 million; for every $200,000 decrease in the Company’s net cash at closing the percentage owned by Galera equityholders will decrease approximately 2.5 basis points. Net cash as defined in the Merger Agreement can be, and likely will be, a negative number and the amount of the adjustment is not capped. For example, if Final Galera net cash is $(1.0) million, the valuation of Galera would be $11.0 million, and (assuming gross proceeds of $350.0 million from the concurrent financing), the pre-closing Galera security holders (other than the investors participating in the concurrent financing) would own approximately 1.42% of the combined company, the pre-closing Obsidian security holders would own approximately 53.39% of the combined company, and investors in the concurrent financing would own approximately 45.19% of the combined company.</w:t>
      </w:r>
    </w:p>
    <w:p>
      <w:pPr>
        <w:spacing w:after="0" w:line="19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Furthermore, each holder of Galera common stock of record as of immediately prior to the consummation of the PIPE will be entitled to (i) one CVR for each share of Galera common stock held by such holder, representing the right to receive a pro rata portion of 80% of any potential future net proceeds received by Parent or its affiliates from the development, commercialization, licensing, sale or other disposition of Galera’s product candidate, tilarginine, or related intellectual property during the five years following the closing of the Obsidian Merger and (ii) one CVR for each share of Galera common stock held by such holder, representing the right to receive a pro rata portion of 95% of any potential future net proceeds received by Parent or its affiliates from the divestiture effected by the Asset Purchase and Sale Agreement with Biossil during the ten years following the closing of the Obsidian Merger.</w:t>
      </w:r>
    </w:p>
    <w:p>
      <w:pPr>
        <w:spacing w:after="0" w:line="18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To effect the Obsidian Merger, the Company filed a registration statement on Form S-4 with the Securities and Exchange Commission (SEC) on April 22, 2026, which is subject to SEC review and comments before becoming effective. The Obsidian Merger will close after approval by the shareholders of Galera and Obsidian, the S-4 becomes effective, and certain other conditions, as specified in the Merger Agreement, are satisfied.</w:t>
      </w:r>
    </w:p>
    <w:p>
      <w:pPr>
        <w:spacing w:after="0" w:line="176"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At the Company’s Combined 2025 and 2026 Annual Meeting of Stockholders held on May 8, 2026, holders of a majority of the shares of the Company’s common stock approved an increase in the number of shares of authorized common stock from 200 million to 400 million. An amendment to the Company’s Restated Certificate of Incorporation reflecting the increase in authorized common stock was filed on May 11, 2026.</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00"/>
          </w:cols>
          <w:pgMar w:left="320" w:top="455" w:right="47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Obsidian Therapeutics, Inc.:</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Obsidian Therapeutics, Inc. and subsidiary (the Company) as of December 31, 2025 and 2024, the related consolidated statements of operations and comprehensive loss, redeemable convertible preferred stock and stockholders’ deficit, and cash flows for the years then ended,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U.S. generally accepted accounting principles.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11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negative operating cash flows, and has an accumulated deficit,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ind w:left="120" w:right="1680" w:hanging="4"/>
        <w:spacing w:after="0" w:line="490" w:lineRule="auto"/>
        <w:tabs>
          <w:tab w:leader="none" w:pos="3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We determined that there are no critical audit matters. /s/ KPMG LLP</w:t>
      </w: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22, 2026</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80"/>
          </w:cols>
          <w:pgMar w:left="320" w:top="455" w:right="49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40,405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49,761</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40,081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118,509</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4,578</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172,848</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3,322</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6,539</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1,004</w:t>
            </w:r>
          </w:p>
        </w:tc>
      </w:tr>
      <w:tr>
        <w:trPr>
          <w:trHeight w:val="223"/>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88,580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183,713</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1,818</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12,291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11,278</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2,966</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15,362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16,086</w:t>
            </w: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3,824</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206</w:t>
            </w:r>
          </w:p>
        </w:tc>
      </w:tr>
      <w:tr>
        <w:trPr>
          <w:trHeight w:val="230"/>
        </w:trPr>
        <w:tc>
          <w:tcPr>
            <w:tcW w:w="8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20,116</w:t>
            </w:r>
          </w:p>
        </w:tc>
        <w:tc>
          <w:tcPr>
            <w:tcW w:w="120" w:type="dxa"/>
            <w:vAlign w:val="bottom"/>
          </w:tcPr>
          <w:p>
            <w:pPr>
              <w:spacing w:after="0"/>
              <w:rPr>
                <w:sz w:val="20"/>
                <w:szCs w:val="20"/>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Redeemable convertible preferred stock; aggregate liquidation preference of $337,001 at December 31, 2025 and 2024</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338,028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338,028</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9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274,320,131 shares authorized; 13,941,901 and 13,921,755 shares issued and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9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as of December 31, 2025 and 2024, respectively</w:t>
            </w:r>
          </w:p>
        </w:tc>
        <w:tc>
          <w:tcPr>
            <w:tcW w:w="100" w:type="dxa"/>
            <w:vAlign w:val="bottom"/>
          </w:tcPr>
          <w:p>
            <w:pPr>
              <w:spacing w:after="0"/>
              <w:rPr>
                <w:sz w:val="20"/>
                <w:szCs w:val="20"/>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29,874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20,923</w:t>
            </w:r>
          </w:p>
        </w:tc>
      </w:tr>
      <w:tr>
        <w:trPr>
          <w:trHeight w:val="216"/>
        </w:trPr>
        <w:tc>
          <w:tcPr>
            <w:tcW w:w="8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6"/>
              </w:rPr>
              <w:t>(295,935)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(195,328)</w:t>
            </w:r>
          </w:p>
        </w:tc>
      </w:tr>
      <w:tr>
        <w:trPr>
          <w:trHeight w:val="230"/>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(266,037</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(174,431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88,580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183,713</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40"/>
          </w:cols>
          <w:pgMar w:left="320" w:top="455" w:right="4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92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86,113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73,187</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19,554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18,068</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(105,667)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(91,255)</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8,146</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(100,607)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(83,109)</w:t>
            </w:r>
          </w:p>
        </w:tc>
        <w:tc>
          <w:tcPr>
            <w:tcW w:w="0" w:type="dxa"/>
            <w:vAlign w:val="bottom"/>
          </w:tcPr>
          <w:p>
            <w:pPr>
              <w:spacing w:after="0"/>
              <w:rPr>
                <w:sz w:val="1"/>
                <w:szCs w:val="1"/>
                <w:color w:val="auto"/>
              </w:rPr>
            </w:pPr>
          </w:p>
        </w:tc>
      </w:tr>
      <w:tr>
        <w:trPr>
          <w:trHeight w:val="23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(100,607)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(83,109)</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(100,557)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(83,163)</w:t>
            </w: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8"/>
              </w:rPr>
              <w:t>13,935,769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12,848,484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320" w:top="455" w:right="43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300" w:type="dxa"/>
            <w:vAlign w:val="bottom"/>
          </w:tcPr>
          <w:p>
            <w:pPr>
              <w:spacing w:after="0"/>
              <w:rPr>
                <w:sz w:val="3"/>
                <w:szCs w:val="3"/>
                <w:color w:val="auto"/>
              </w:rPr>
            </w:pPr>
          </w:p>
        </w:tc>
        <w:tc>
          <w:tcPr>
            <w:tcW w:w="15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300" w:type="dxa"/>
            <w:vAlign w:val="bottom"/>
          </w:tcPr>
          <w:p>
            <w:pPr>
              <w:spacing w:after="0"/>
              <w:rPr>
                <w:sz w:val="10"/>
                <w:szCs w:val="10"/>
                <w:color w:val="auto"/>
              </w:rPr>
            </w:pPr>
          </w:p>
        </w:tc>
        <w:tc>
          <w:tcPr>
            <w:tcW w:w="1540" w:type="dxa"/>
            <w:vAlign w:val="bottom"/>
            <w:gridSpan w:val="4"/>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540" w:type="dxa"/>
            <w:vAlign w:val="bottom"/>
            <w:gridSpan w:val="4"/>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920" w:type="dxa"/>
            <w:vAlign w:val="bottom"/>
            <w:gridSpan w:val="2"/>
            <w:vMerge w:val="restart"/>
          </w:tcPr>
          <w:p>
            <w:pPr>
              <w:jc w:val="right"/>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right"/>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8"/>
        </w:trPr>
        <w:tc>
          <w:tcPr>
            <w:tcW w:w="3300" w:type="dxa"/>
            <w:vAlign w:val="bottom"/>
          </w:tcPr>
          <w:p>
            <w:pPr>
              <w:spacing w:after="0"/>
              <w:rPr>
                <w:sz w:val="5"/>
                <w:szCs w:val="5"/>
                <w:color w:val="auto"/>
              </w:rPr>
            </w:pPr>
          </w:p>
        </w:tc>
        <w:tc>
          <w:tcPr>
            <w:tcW w:w="15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Borders>
              <w:right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300" w:type="dxa"/>
            <w:vAlign w:val="bottom"/>
          </w:tcPr>
          <w:p>
            <w:pPr>
              <w:spacing w:after="0"/>
              <w:rPr>
                <w:sz w:val="9"/>
                <w:szCs w:val="9"/>
                <w:color w:val="auto"/>
              </w:rPr>
            </w:pPr>
          </w:p>
        </w:tc>
        <w:tc>
          <w:tcPr>
            <w:tcW w:w="1540" w:type="dxa"/>
            <w:vAlign w:val="bottom"/>
            <w:tcBorders>
              <w:bottom w:val="single" w:sz="8" w:color="auto"/>
            </w:tcBorders>
            <w:gridSpan w:val="4"/>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Borders>
              <w:bottom w:val="single" w:sz="8" w:color="auto"/>
            </w:tcBorders>
            <w:gridSpan w:val="3"/>
            <w:vMerge w:val="continue"/>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gridSpan w:val="2"/>
            <w:vMerge w:val="restart"/>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1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0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00" w:type="dxa"/>
            <w:vAlign w:val="bottom"/>
          </w:tcPr>
          <w:p>
            <w:pPr>
              <w:spacing w:after="0" w:line="20" w:lineRule="exact"/>
              <w:rPr>
                <w:sz w:val="1"/>
                <w:szCs w:val="1"/>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line="20" w:lineRule="exact"/>
              <w:rPr>
                <w:sz w:val="1"/>
                <w:szCs w:val="1"/>
                <w:color w:val="auto"/>
              </w:rPr>
            </w:pPr>
          </w:p>
        </w:tc>
        <w:tc>
          <w:tcPr>
            <w:tcW w:w="60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continue"/>
          </w:tcPr>
          <w:p>
            <w:pPr>
              <w:spacing w:after="0" w:line="20" w:lineRule="exact"/>
              <w:rPr>
                <w:sz w:val="1"/>
                <w:szCs w:val="1"/>
                <w:color w:val="auto"/>
              </w:rPr>
            </w:pPr>
          </w:p>
        </w:tc>
        <w:tc>
          <w:tcPr>
            <w:tcW w:w="11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0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800" w:type="dxa"/>
            <w:vAlign w:val="bottom"/>
            <w:gridSpan w:val="2"/>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130,471,047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$178,060</w:t>
            </w: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10,877,392</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11,316</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(112,219)</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(100,875)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of stock options</w:t>
            </w:r>
          </w:p>
        </w:tc>
        <w:tc>
          <w:tcPr>
            <w:tcW w:w="94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right w:val="single" w:sz="8" w:color="auto"/>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3,044,363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2,547</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7,060</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Sale of Series C preferred stock, net of</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issuance costs of $532</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84,567,145</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159,968</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192"/>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gain (loss) on marketable</w:t>
            </w: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securities</w:t>
            </w:r>
          </w:p>
        </w:tc>
        <w:tc>
          <w:tcPr>
            <w:tcW w:w="9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right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3"/>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6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1"/>
              </w:rPr>
              <w:t>— </w:t>
            </w:r>
          </w:p>
        </w:tc>
        <w:tc>
          <w:tcPr>
            <w:tcW w:w="80" w:type="dxa"/>
            <w:vAlign w:val="bottom"/>
            <w:gridSpan w:val="2"/>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1"/>
              </w:rPr>
              <w:t>— 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(83,109)</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(83,109)</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215,038,192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$338,028</w:t>
            </w: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13,921,755</w:t>
            </w:r>
          </w:p>
        </w:tc>
        <w:tc>
          <w:tcPr>
            <w:tcW w:w="46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20,923</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(195,328)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(174,431)</w:t>
            </w:r>
          </w:p>
        </w:tc>
        <w:tc>
          <w:tcPr>
            <w:tcW w:w="0" w:type="dxa"/>
            <w:vAlign w:val="bottom"/>
          </w:tcPr>
          <w:p>
            <w:pPr>
              <w:spacing w:after="0"/>
              <w:rPr>
                <w:sz w:val="1"/>
                <w:szCs w:val="1"/>
                <w:color w:val="auto"/>
              </w:rPr>
            </w:pPr>
          </w:p>
        </w:tc>
      </w:tr>
      <w:tr>
        <w:trPr>
          <w:trHeight w:val="189"/>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of stock options</w:t>
            </w:r>
          </w:p>
        </w:tc>
        <w:tc>
          <w:tcPr>
            <w:tcW w:w="94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right w:val="single" w:sz="8" w:color="auto"/>
            </w:tcBorders>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8,931</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gain (loss) on marketable</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securities</w:t>
            </w:r>
          </w:p>
        </w:tc>
        <w:tc>
          <w:tcPr>
            <w:tcW w:w="940" w:type="dxa"/>
            <w:vAlign w:val="bottom"/>
            <w:gridSpan w:val="3"/>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(100,607)</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(100,607)</w:t>
            </w:r>
          </w:p>
        </w:tc>
        <w:tc>
          <w:tcPr>
            <w:tcW w:w="0" w:type="dxa"/>
            <w:vAlign w:val="bottom"/>
          </w:tcPr>
          <w:p>
            <w:pPr>
              <w:spacing w:after="0"/>
              <w:rPr>
                <w:sz w:val="1"/>
                <w:szCs w:val="1"/>
                <w:color w:val="auto"/>
              </w:rPr>
            </w:pPr>
          </w:p>
        </w:tc>
      </w:t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Balances at December 31, 2025</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215,038,192</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96"/>
              </w:rPr>
              <w:t>$</w:t>
            </w:r>
            <w:r>
              <w:rPr>
                <w:rFonts w:ascii="Times New Roman" w:cs="Times New Roman" w:eastAsia="Times New Roman" w:hAnsi="Times New Roman"/>
                <w:sz w:val="16"/>
                <w:szCs w:val="16"/>
                <w:color w:val="auto"/>
                <w:w w:val="96"/>
              </w:rPr>
              <w:t>338,028</w:t>
            </w: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13,941,901</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29,874</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(295,935</w:t>
            </w:r>
          </w:p>
        </w:tc>
        <w:tc>
          <w:tcPr>
            <w:tcW w:w="2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(266,037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F-54</w:t>
      </w:r>
    </w:p>
    <w:p>
      <w:pPr>
        <w:sectPr>
          <w:pgSz w:w="11900" w:h="16838" w:orient="portrait"/>
          <w:cols w:equalWidth="0" w:num="1">
            <w:col w:w="11140"/>
          </w:cols>
          <w:pgMar w:left="320" w:top="455" w:right="43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9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(100,607)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(83,109)</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1,527</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7,060</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preferred stock warrant liability</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(2,207)</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(2,733)</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3,584</w:t>
            </w: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(90,393)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(75,002)</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(779)</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(80,910)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(131,095)</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78,000</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(53,874)</w:t>
            </w: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2,547</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Series C financing</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160,500</w:t>
            </w: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Series C issuance costs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w:t>
            </w:r>
          </w:p>
        </w:tc>
      </w:tr>
      <w:tr>
        <w:trPr>
          <w:trHeight w:val="230"/>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162,515</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(33,639)</w:t>
            </w: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17,126</w:t>
            </w:r>
          </w:p>
        </w:tc>
      </w:tr>
      <w:tr>
        <w:trPr>
          <w:trHeight w:val="27"/>
        </w:trPr>
        <w:tc>
          <w:tcPr>
            <w:tcW w:w="9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50,765</w:t>
            </w:r>
          </w:p>
        </w:tc>
      </w:tr>
      <w:tr>
        <w:trPr>
          <w:trHeight w:val="20"/>
        </w:trPr>
        <w:tc>
          <w:tcPr>
            <w:tcW w:w="9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40"/>
          </w:cols>
          <w:pgMar w:left="320" w:top="455" w:right="43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left="120" w:right="20" w:firstLine="440"/>
        <w:spacing w:after="0" w:line="221" w:lineRule="auto"/>
        <w:rPr>
          <w:sz w:val="20"/>
          <w:szCs w:val="20"/>
          <w:color w:val="auto"/>
        </w:rPr>
      </w:pPr>
      <w:r>
        <w:rPr>
          <w:rFonts w:ascii="Times New Roman" w:cs="Times New Roman" w:eastAsia="Times New Roman" w:hAnsi="Times New Roman"/>
          <w:sz w:val="18"/>
          <w:szCs w:val="18"/>
          <w:color w:val="auto"/>
        </w:rPr>
        <w:t>Obsidian Therapeutics, Inc. (the “Company”) is a clinical-stage biopharmaceutical company harnessing novel protein-regulation technology to develop engineered tumor infiltrating lymphocytes (“TIL”) cell therapies for the treatment of patients with solid tumors. The Company’s proprietary cytoDRiVE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is highly versatile and allows it to leverage drug responsive domains to control protein function, with its initial focus on TIL cell therapies developed from this platform (“cytoTILs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Company’s lead product candidate, OBX-115, is a novel, genetically engineered, autologous TIL cell therapy currently in a Phase 2 clinical trial for the treatment of advanced melanoma and a Phase 1 clinical trial for the treatment of non-small cell lung cancer.</w:t>
      </w:r>
    </w:p>
    <w:p>
      <w:pPr>
        <w:spacing w:after="0" w:line="19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was incorporated in 2015 under the laws of the State of Delaware, and its principal offices are in Cambridge, Massachusetts. Since its inception, the Company has devoted substantially all its efforts to raising capital, obtaining financing, and incurring research and development costs related to advancing its scientific platform.</w:t>
      </w:r>
    </w:p>
    <w:p>
      <w:pPr>
        <w:spacing w:after="0" w:line="17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Obsidian Therapeutics Securities Corporation. All intercompany balances and transactions have been eliminated.</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currently under development will likely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and consultants. Even if the Company’s product development efforts are successful, it is uncertain when, if ever, the Company will generate significant revenue from product sales.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whether there are conditions and events, considered in the aggregate, that raise substantial doubt about the Company’s ability to continue as a going concern for at least one year after the issuance of these consolidated financial statements. As a result of this evaluation, substantial doubt about the Company’s ability to continue as a going concern exists.</w:t>
      </w:r>
    </w:p>
    <w:p>
      <w:pPr>
        <w:spacing w:after="0" w:line="176" w:lineRule="exact"/>
        <w:rPr>
          <w:sz w:val="20"/>
          <w:szCs w:val="20"/>
          <w:color w:val="auto"/>
        </w:rPr>
      </w:pPr>
    </w:p>
    <w:p>
      <w:pPr>
        <w:ind w:left="120" w:right="120" w:firstLine="440"/>
        <w:spacing w:after="0" w:line="274" w:lineRule="auto"/>
        <w:rPr>
          <w:sz w:val="20"/>
          <w:szCs w:val="20"/>
          <w:color w:val="auto"/>
        </w:rPr>
      </w:pPr>
      <w:r>
        <w:rPr>
          <w:rFonts w:ascii="Times New Roman" w:cs="Times New Roman" w:eastAsia="Times New Roman" w:hAnsi="Times New Roman"/>
          <w:sz w:val="17"/>
          <w:szCs w:val="17"/>
          <w:color w:val="auto"/>
        </w:rPr>
        <w:t>The Company has a history of operating losses and negative cash flows from operations and expects to continue generating losses as it advances its research and development programs. As of December 31, 2025, the Company had cash, cash equivalents, and marketable securities of $80.5 million and an accumulated deficit of $295.9 million. Net cash used in operating activities was $90.4 million for the year ended December 31, 2025. The Company expects to incur additional losses and negative cash flows from operations over the next several years as the product candidates currently under development will require significant additional research and clinical development efforts prior to commercialization. Based on the Company’s accumulated deficit, current and future expected losses, and current cash flow projections, which exclude any new capital raising activities,</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F-56</w:t>
      </w:r>
    </w:p>
    <w:p>
      <w:pPr>
        <w:sectPr>
          <w:pgSz w:w="11900" w:h="16838" w:orient="portrait"/>
          <w:cols w:equalWidth="0" w:num="1">
            <w:col w:w="11120"/>
          </w:cols>
          <w:pgMar w:left="320" w:top="455" w:right="459" w:bottom="1440" w:gutter="0" w:footer="0" w:header="0"/>
        </w:sectPr>
      </w:pPr>
    </w:p>
    <w:bookmarkStart w:id="427" w:name="page428"/>
    <w:bookmarkEnd w:id="4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management determined that the Company does not have adequate financial resources to fund its forecasted operating costs for at least one year after the issuance date of these consolidated financial statements.</w:t>
      </w:r>
    </w:p>
    <w:p>
      <w:pPr>
        <w:spacing w:after="0" w:line="162" w:lineRule="exact"/>
        <w:rPr>
          <w:sz w:val="20"/>
          <w:szCs w:val="20"/>
          <w:color w:val="auto"/>
        </w:rPr>
      </w:pPr>
    </w:p>
    <w:p>
      <w:pPr>
        <w:jc w:val="both"/>
        <w:ind w:left="120" w:right="480" w:firstLine="440"/>
        <w:spacing w:after="0" w:line="258" w:lineRule="auto"/>
        <w:rPr>
          <w:sz w:val="20"/>
          <w:szCs w:val="20"/>
          <w:color w:val="auto"/>
        </w:rPr>
      </w:pPr>
      <w:r>
        <w:rPr>
          <w:rFonts w:ascii="Times New Roman" w:cs="Times New Roman" w:eastAsia="Times New Roman" w:hAnsi="Times New Roman"/>
          <w:sz w:val="18"/>
          <w:szCs w:val="18"/>
          <w:color w:val="auto"/>
        </w:rPr>
        <w:t>Management’s plans to alleviate this uncertainty include pursuing additional equity or debt financing, reducing discretionary spending, and exploring strategic collaborations. However, these plans are not fully within the Company’s control, and there is no assurance that such funding or arrangements will be available on acceptable terms or at all. Because of the uncertainty inherent in these efforts, the Company has concluded that substantial doubt exists with respect to its ability to continue as a going concern for one year after the issuance date of these consolidated financial statements.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the Company will continue operating as a going concern, and no adjustments have been made to the carrying amounts or classification of assets and liabilities that may be necessary if the Company were unable to continue as a going concern.</w:t>
      </w:r>
    </w:p>
    <w:p>
      <w:pPr>
        <w:spacing w:after="0" w:line="280" w:lineRule="exact"/>
        <w:rPr>
          <w:sz w:val="20"/>
          <w:szCs w:val="20"/>
          <w:color w:val="auto"/>
        </w:rPr>
      </w:pPr>
    </w:p>
    <w:p>
      <w:pPr>
        <w:ind w:left="120" w:right="7440" w:hanging="4"/>
        <w:spacing w:after="0" w:line="377" w:lineRule="auto"/>
        <w:tabs>
          <w:tab w:leader="none" w:pos="300" w:val="left"/>
        </w:tabs>
        <w:numPr>
          <w:ilvl w:val="0"/>
          <w:numId w:val="2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conformity with accounting principles generally accepted in the United States of America (“U.S. GAAP”). Any reference in these notes to applicable guidance is meant to refer to the authoritative U.S. GAAP as found in the Accounting Standards Codification (“ASC”) and as amended by Accounting Standard Updates (“ASU”) of the Financial Accounting Standards Board (“FASB”).</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liabilities, expenses, and disclosures. Significant estimates and assumptions reflected in these financial statements include, but are not limited to, research and development expenses, fair value of common stock and any resulting equity-based compensation expense, and income taxes. The Company evaluates its estimates and assumptions on an ongoing basis. All revisions to accounting estimates are recognized in the period in which the estimates are revised and in any future periods affected. Actual results could differ from the Company’s estimates.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that are readily convertible into cash with original maturities three months or less at the time of purchase to be cash equivalents. Cash equivalents are stated at fair value.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Marketable securities consist of U.S. treasuries with maturities greater than three months. The Company classifies all of its marketable securities as available for sale based upon its intent with regard to such investments. The Company classifies marketable securities as short term when their remaining contractual maturities are one year or less from the balance sheet date, and as long term when the marketable security has a remaining contractual maturity of more than one year from the balance sheet date.</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amortized cost of marketable securities is adjusted for amortization of premiums and accretion of discounts to maturity. Such amortization and accretion is included in interest income. Dividends are also included in interest and other income.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120"/>
          </w:cols>
          <w:pgMar w:left="320" w:top="455" w:right="459" w:bottom="1440" w:gutter="0" w:footer="0" w:header="0"/>
        </w:sectPr>
      </w:pPr>
    </w:p>
    <w:bookmarkStart w:id="428" w:name="page429"/>
    <w:bookmarkEnd w:id="4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periodically reviews its investments for impairment based on a security-specific analysis as of each balance sheet date. If the fair value of a security is below its amortized cost, the Company first assesses whether it intends to sell the security or is more likely than not required to sell it before recovery of its amortized cost. If neither condition is met, the Company evaluates whether a portion of the decline is attributable to credit loss. Any credit-related impairment is recorded as an allowance for credit losses through earnings, with non-credit-related unrealized losses recorded in other comprehensive income (loss). The Company did not recognize any credit loss relating to its investments for the years ended December 31, 2025 or 2024.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manages its operations as a single segment for the purpose of assessing performance and making operating decisions. The Company is developing therapeutic treatments for cancer-related diseases. The Company has determined that its chief operating decision maker is its Chief Executive Officer. The Company’s chief operating decision maker reviews the Company’s financial information on an aggregated basis for purposes of allocating resources and assessing financial performance. All of the Company’s tangible assets are located in the United States and all of the Company’s historical collaboration revenue was derived from its collaboration partners headquartered in the United States.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Concentration of Credit Risk and of Significant Suppliers</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Financial instruments that potentially expose the Company to concentrations of credit risk consist of cash, cash equivalents, and marketable securities. The Company limits its exposure to credit loss by placing its cash with major financial institutions and invests only in short-term obligations. The deposits, at times, may exceed federally insured limits. The Company has not experienced any losses in such accounts. The Company has no significant off-balance sheet concentrations of credit risk such as foreign exchange contracts, option contracts or other foreign hedging arrangements.</w:t>
      </w:r>
    </w:p>
    <w:p>
      <w:pPr>
        <w:spacing w:after="0" w:line="164"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is dependent on third-party manufacturers to supply certain products for research and development activities in its programs. Certain key raw materials can be difficult to acquire on a consistent basis. If the Company cannot access adequate supply sources its programs could be adversely affected by an interruption in the availability of these raw materials.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has restricted cash in the form of letters of credit which are held in interest bearing money market accounts as collateral for the Company’s Cambridge, Massachusetts, and Bedford, Massachusetts leases. The Company has classified both money market accounts collateralizing the letters of credit issued as long-term restricted cash on its consolidated balance sheets as the remaining term of each lease exceeds twelve months as of December 21, 2025 and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182" w:lineRule="exact"/>
        <w:rPr>
          <w:sz w:val="20"/>
          <w:szCs w:val="20"/>
          <w:color w:val="auto"/>
        </w:rPr>
      </w:pPr>
    </w:p>
    <w:tbl>
      <w:tblPr>
        <w:tblLayout w:type="fixed"/>
        <w:tblInd w:w="1880" w:type="dxa"/>
        <w:tblCellMar>
          <w:top w:w="0" w:type="dxa"/>
          <w:left w:w="0" w:type="dxa"/>
          <w:bottom w:w="0" w:type="dxa"/>
          <w:right w:w="0" w:type="dxa"/>
        </w:tblCellMar>
      </w:tblPr>
      <w:tr>
        <w:trPr>
          <w:trHeight w:val="187"/>
        </w:trPr>
        <w:tc>
          <w:tcPr>
            <w:tcW w:w="2700" w:type="dxa"/>
            <w:vAlign w:val="bottom"/>
            <w:tcBorders>
              <w:bottom w:val="single" w:sz="8" w:color="CCEEFF"/>
            </w:tcBorders>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Shorter of the lease term or estimated useful life</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346"/>
        </w:trPr>
        <w:tc>
          <w:tcPr>
            <w:tcW w:w="2700" w:type="dxa"/>
            <w:vAlign w:val="bottom"/>
          </w:tcPr>
          <w:p>
            <w:pPr>
              <w:spacing w:after="0"/>
              <w:rPr>
                <w:sz w:val="24"/>
                <w:szCs w:val="24"/>
                <w:color w:val="auto"/>
              </w:rPr>
            </w:pPr>
          </w:p>
        </w:tc>
        <w:tc>
          <w:tcPr>
            <w:tcW w:w="47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F-58</w:t>
            </w:r>
          </w:p>
        </w:tc>
      </w:tr>
    </w:tbl>
    <w:p>
      <w:pPr>
        <w:sectPr>
          <w:pgSz w:w="11900" w:h="16838" w:orient="portrait"/>
          <w:cols w:equalWidth="0" w:num="1">
            <w:col w:w="11100"/>
          </w:cols>
          <w:pgMar w:left="320" w:top="455" w:right="47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Maintenance and repairs are charged to expense as incurred. When assets are retired or otherwise disposed of, the cost of these assets and related accumulated depreciation or amortization are eliminated from the consolidated balance sheets and any resulting gains or losses are included in the consolidated statements of operations in the period of disposals.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Recoverability of assets to be held and used is measured by a comparison of the carrying amount of an asset to future undiscounted net cash flows expected to be generated. Impairment charges are recognized at the amount by which the carrying amount of an asset exceeds the fair value of the asset. There were no impairments for the years ended December 31, 2025 or 2024.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ASU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determines whether an arrangement is or contains a lease at inception. A contract is or contains a lease if the contract conveys the right to control the use of an identified asset for a period of time in exchange for consideration. The Company classifies leases at the lease commencement date, when control of the underlying asset is transferred from the lessor to the lessee, as operating or finance leases and records a right of use (“ROU”) asset and a lease liability on the consolidated balance sheets for all leases with an initial lease term of greater than 12 months. The Company has elected to not recognize leases with a lease term of 12 months or less, and payments are recognized as expense on a straight-line basis over the lease term.</w:t>
      </w:r>
    </w:p>
    <w:p>
      <w:pPr>
        <w:spacing w:after="0" w:line="18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contain both lease and non-lease components. Non-lease components may include maintenance, utilities, and other operating costs. For leases of real estate, the Company combines the lease and associated non-lease components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Finance and operating lease assets and liabilities are recognized at the lease commencement date based on the present value of the lease payments over the lease term using the discount rate implicit in the lease if readily determinable. If the rate implicit is not readily determinable, the Company utilizes its incremental borrowing rate, which reflects the fixed rate at which the Company could borrow on a collateralized basis over a similar term and amount equal to the lease payments in a similar economic environment. ROU assets are further adjusted for initial direct costs, prepaid rent, or incentives received. Operating lease payments are expensed using the straight-line method as an operating expense over the lease term. The Company’s lease terms may include options to extend or terminate the lease when it is reasonably certain that the Company will exercise that option. Finance lease assets are amortized to depreciation expense using the straight-line method over the shorter of the useful life of the related asset or the lease term. Finance lease payments are bifurcated into (i) a portion that is recorded as interest expense using the effective interest method and (ii) a portion that reduces the finance liability associated with the lease.</w:t>
      </w:r>
    </w:p>
    <w:p>
      <w:pPr>
        <w:spacing w:after="0" w:line="188"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addition, the Company examines other contracts with suppliers, vendors and outside parties to identify whether such contracts contain an embedded lease and, as applicable, accounts for such embedded leases in accordance with ASC 842.</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20"/>
          </w:cols>
          <w:pgMar w:left="320" w:top="455" w:right="459" w:bottom="1440" w:gutter="0" w:footer="0" w:header="0"/>
        </w:sectPr>
      </w:pPr>
    </w:p>
    <w:bookmarkStart w:id="430" w:name="page431"/>
    <w:bookmarkEnd w:id="4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25" w:lineRule="exact"/>
        <w:rPr>
          <w:sz w:val="20"/>
          <w:szCs w:val="20"/>
          <w:color w:val="auto"/>
        </w:rPr>
      </w:pPr>
    </w:p>
    <w:p>
      <w:pPr>
        <w:ind w:left="560" w:right="4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quoted prices), such as quoted prices in active markets for similar assets or liabilities, quoted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prices in markets that are not active for identical or similar assets or liabilities, or other inputs that are observable or can be corroborated by observable market data.</w:t>
      </w:r>
    </w:p>
    <w:p>
      <w:pPr>
        <w:spacing w:after="0" w:line="173" w:lineRule="exact"/>
        <w:rPr>
          <w:sz w:val="20"/>
          <w:szCs w:val="20"/>
          <w:color w:val="auto"/>
        </w:rPr>
      </w:pPr>
    </w:p>
    <w:p>
      <w:pPr>
        <w:ind w:left="5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determining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including pricing models, discounted cash flow methodologies and similar techniques.</w:t>
      </w:r>
    </w:p>
    <w:p>
      <w:pPr>
        <w:spacing w:after="0" w:line="16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Company’s preferred stock warrant liability is carried at fair value, determined according to Level 3 inputs in the fair value hierarchy described above. The carrying values of the Company’s accounts payable and accrued expenses and other current liabilities approximate their fair value due to the short-term nature of these liabilities.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121"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Company’s redeemable convertible preferred stock is classified as temporary equity in the accompanying consolidated balance sheets and excluded from stockholders’ deficit as the potential redemption of such stock is outside the Company’s control. Costs incurred in connection with the issuance of redeemable convertible preferred stock are recorded as a reduction of gross proceeds from issuance.</w:t>
      </w:r>
    </w:p>
    <w:p>
      <w:pPr>
        <w:spacing w:after="0" w:line="176"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The Company did not accrete the carrying values of the preferred stock to the redemption values since the occurrence of either a merger or consolidation; or a sale, lease, transfer, exclusive license or other disposition, in a single transaction or series of related transactions, of all, or substantially all, of the Company’s assets or intellectual property of the Company (a “Deemed Liquidation Event”) was not considered probable as of December 31, 2025 or 2024. Subsequent adjustments of the carrying values to the ultimate redemption values will be made only when it becomes probable that these events will occur. In the event of such a Deemed Liquidation Event, the proceeds from the event are distributed in accordance with the liquidation preferences, provided that the holders of preferred stock have not converted their shares into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Collaboration Agreements</w:t>
      </w:r>
    </w:p>
    <w:p>
      <w:pPr>
        <w:spacing w:after="0" w:line="11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analyzes its collaboration arrangements to assess whether they are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throughout the life of the arrangement based on changes in the responsibilities of all parties in the arrangement. When the Company has concluded that a collaborator meets the definition of a customer the Company follows the guidance in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120"/>
          </w:cols>
          <w:pgMar w:left="320" w:top="455" w:right="459" w:bottom="1440" w:gutter="0" w:footer="0" w:header="0"/>
        </w:sectPr>
      </w:pPr>
    </w:p>
    <w:bookmarkStart w:id="431" w:name="page432"/>
    <w:bookmarkEnd w:id="4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Under ASC 606, the Company recognizes revenue associated with collaboration agreements when its customer obtains control of promised goods or services in an amount that reflects the consideration that the Company expects to receive in exchange for those goods or services. To determine revenue recognition for arrangements within the scope of ASC 606, the Company performs the following five steps: (i) identify the contract(s) with a customer; (ii) identify the performance obligations in the contract; (iii) determine the transaction price, including variable consideration, if any;</w:t>
      </w:r>
    </w:p>
    <w:p>
      <w:pPr>
        <w:spacing w:after="0" w:line="3" w:lineRule="exact"/>
        <w:rPr>
          <w:sz w:val="20"/>
          <w:szCs w:val="20"/>
          <w:color w:val="auto"/>
        </w:rPr>
      </w:pPr>
    </w:p>
    <w:p>
      <w:pPr>
        <w:ind w:left="120" w:right="600" w:hanging="4"/>
        <w:spacing w:after="0" w:line="260" w:lineRule="auto"/>
        <w:tabs>
          <w:tab w:leader="none" w:pos="425"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 (v) recognize revenue when (or as) the Company satisfies a performance obligation.</w:t>
      </w:r>
    </w:p>
    <w:p>
      <w:pPr>
        <w:spacing w:after="0" w:line="18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assesses the goods or services promised within each contract and determines those that are performance obligations. The Company’s collaboration agreements typically consist of promises to transfer licenses to the Company’s intellectual property, research and development services, and related supporting activities.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Company assesses whether each promised good or service is distinct for the purpose of identifying the performance obligations in the contract. This assessment involves subjective determinations and requires management to make judgments about the individual promised goods or services, including the significance of the Company’s integration service, the interdependency of their utility, and the customer’s ability to derive their intended benefit from the contract and whether such are separable from the other aspects of the contractual relationship. Promised goods and services are considered distinct provided that: (i) the customer can benefit from the good or service either on its own or together with other resources that are readily available to the customer (that is, the good or service is capable of being distinct) and (ii) the Company’s promise to transfer the good or service to the customer is separately identifiable from other promises in the contract (that is, the promise to transfer the good or service is distinct within the context of the contract). In assessing whether a promised good or service is distinct, the Company considers factors such as the research, development, manufacturing and commercialization capabilities of the customer and the availability of similar services in the general marketplace. If a promised good or service is not distinct, an entity is required to combine that good or service with other promised goods or services until it identifies a bundle of goods or services that is distinct.</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When an arrangement includes a customer option for additional goods or services, the Company assesses whether the option provides the customer with a material right. A material right is an option to purchase the underlying goods and services at a price below their standalone selling price that the customer would not have received had it not entered into the initial contract. When an option is deemed to provide a material right to the customer, it is accounted for as a separate performance obligation.</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transaction price is the sum of fixed and estimated variable consideration. Variable consideration is estimated using the most likely amount or expected value method to determine the amount of consideration to which the Company expects to be entitled in exchange for transferring the promised goods or services to a customer. The amount of variable consideration included in the transaction price is constrained to the amount for which it is probable that a significant reversal of cumulative revenue recognized will not occur. At each reporting date, the Company re-evaluates the estimate of variable consideration and the constraint.</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When arrangements include development and regulatory milestone payments, the Company evaluates whether the milestones are considered probable of being reached and estimates the amount to be included in the transaction price using the most likely amount method. Milestone payments triggered by events that have significant uncertainty and are not within the Company’s control such as regulatory approvals, are not considered probable of being achieved until those approvals are received and are excluded from the transaction price.</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arrangements with licenses of intellectual property, where the license is deemed to be the predominant item to which the royalties relate, the Company utilizes the royalty exception and recognizes revenue and</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080"/>
          </w:cols>
          <w:pgMar w:left="320" w:top="455" w:right="499" w:bottom="1440" w:gutter="0" w:footer="0" w:header="0"/>
        </w:sectPr>
      </w:pPr>
    </w:p>
    <w:bookmarkStart w:id="432" w:name="page433"/>
    <w:bookmarkEnd w:id="4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sales-based royalties and milestones at the later of (i) when the related sales occur, or (ii) upon satisfaction of the related performance obligation.</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determining the transaction price, the Company adjusts consideration for the effects of the time value of money if the timing of payments provides the Company with a significant benefit of financing. If the expectation at contract inception is such that the period between the transfer of the promised goods or services to the customer and the payment by the customer will be one year or less, the Company will elect the practical expedient provided by ASC 606 to forego this assessment and conclude a significant financing component does not exist.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Variable consideration may be allocated to a single performance obligation or a subset of distinct goods or services within a series performance obligation if the variable consideration is both earned by the efforts or outcomes of transferring the service and the allocation objective it met. The remaining transaction price is allocated to the identified performance obligations in proportion to their standalone selling prices (“SSP”) on a relative SSP basis. SSP is determined at contract inception using an approach that maximizes the use of available inputs and may include the adjusted market assessment or cost-plus margin approach. The SSP estimate is not updated to reflect changes between contract inception and when the performance obligations are satisfied. Determining the SSP for performance obligations may require significant judgment, including consideration market conditions, entity-specific pricing strategies, and observable data points on expected costs and profit margins.</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Company then recognizes as revenue the amount of the transaction price that is allocated to the respective performance obligation when, or as, each performance obligation is satisfied, either at a point in time or over time, and if over time, recognition is based on the measure of progress that most faithfully depicts our performance towards transferring the related goods and services. The estimate of the Company’s measure of progress is updated at each reporting date.</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records amounts as accounts receivable when the right to consideration is deemed unconditional. When consideration is received, or such consideration is unconditionally due, from a customer prior to transferring goods or services to the customer, a contract liability, which the Company refers to as deferred revenue, is recorded.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and Manufacturing Contract Costs and Accruals</w:t>
      </w:r>
    </w:p>
    <w:p>
      <w:pPr>
        <w:spacing w:after="0" w:line="121"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costs for salaries and bonuses, employee benefits, subcontractors, facility-related expenses, depreciation, stock-based compensation, third-party license fees, laboratory supplies, and external costs of outside vendors engaged to conduct discovery and preclinical development activities as well as to begin to manufacture materials for upcoming clinical trials.</w:t>
      </w:r>
    </w:p>
    <w:p>
      <w:pPr>
        <w:spacing w:after="0" w:line="180"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or services to be provided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Upfront payments under license agreements are expensed as research and development expense upon receipt of the license, and annual maintenance fees under license agreements are expensed in the period in which they are incurred. Contingent milestone payments are recognized when the related contingency is resolved and the amounts are paid or become payable.</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research institutions and other companies. These agreements are generally cancelable, and related costs are recorded as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320" w:top="455" w:right="479" w:bottom="1440" w:gutter="0" w:footer="0" w:header="0"/>
        </w:sectPr>
      </w:pPr>
    </w:p>
    <w:bookmarkStart w:id="433" w:name="page434"/>
    <w:bookmarkEnd w:id="4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as incurred. The Company records accruals for estimated ongoing research, development and manufacturing costs.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research, development and manufacturing activities, invoicing to date under the contracts, communication from the research institutions and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Patent Costs</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For the periods ended December 31, 2025 and 2024, costs associated with successful and pending applications of patents and trademarks are recognized as general and administrative expenses as incurred.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measures stock-based awards granted to employees, nonemployees and directors based on the fair value on the date of the grant and recognizes compensation expense for those awards over the requisite service period, which is generally the vesting period of the respective award. Forfeitures are accounted for as they occur. Generally, the Company issues stock-based awards in the form of stock options with only service-based vesting conditions and records the expense for these awards using the straight-line method. The Company has also issued stock-based awards in the form of stock options with both performance and service-based vesting conditions. The Company records the expense for stock-based awards with both performance and service-based vesting using an accelerated attribution method, once the performance conditions are considered probable of being achieved, using management’s best estimates.</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fair value of each share option is estimated on the date of grant using the Black-Scholes option pricing model, which requires inputs based on certain subjective assumptions, including:</w:t>
      </w:r>
    </w:p>
    <w:p>
      <w:pPr>
        <w:spacing w:after="0" w:line="65" w:lineRule="exact"/>
        <w:rPr>
          <w:sz w:val="20"/>
          <w:szCs w:val="20"/>
          <w:color w:val="auto"/>
        </w:rPr>
      </w:pPr>
    </w:p>
    <w:p>
      <w:pPr>
        <w:ind w:left="1080" w:right="40" w:hanging="424"/>
        <w:spacing w:after="0" w:line="256"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Fair Value of Common Stock </w:t>
      </w:r>
      <w:r>
        <w:rPr>
          <w:rFonts w:ascii="Times New Roman" w:cs="Times New Roman" w:eastAsia="Times New Roman" w:hAnsi="Times New Roman"/>
          <w:sz w:val="18"/>
          <w:szCs w:val="18"/>
          <w:color w:val="auto"/>
        </w:rPr>
        <w:t>– Because there is no public market for the Company’s common shares, the Company has determined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the Company’s common stock based on the independent third-party appraisals. The fair value of the Company’s common stock has been determined using a market approach to estimate the Company’s enterprise value and applies a hybrid method for allocation of equity value to different classes of equity. The hybrid method is a combination of an option pricing method (“OPM”) and a probability-weighted expected return method (“PWERM”) that contemplated the Company’s financial position and historical financial performance, the status of development of the Company’s programs, the current climate in the marketplace, the illiquid nature of the common stock, the effect of the rights and preferences of the preferred stockholders, and the prospects of a liquidity event, among others.</w:t>
      </w:r>
    </w:p>
    <w:p>
      <w:pPr>
        <w:spacing w:after="0" w:line="88" w:lineRule="exact"/>
        <w:rPr>
          <w:rFonts w:ascii="Times New Roman" w:cs="Times New Roman" w:eastAsia="Times New Roman" w:hAnsi="Times New Roman"/>
          <w:sz w:val="18"/>
          <w:szCs w:val="18"/>
          <w:color w:val="auto"/>
        </w:rPr>
      </w:pPr>
    </w:p>
    <w:p>
      <w:pPr>
        <w:ind w:left="1080" w:right="440" w:hanging="424"/>
        <w:spacing w:after="0" w:line="267"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Estimated Volatility </w:t>
      </w:r>
      <w:r>
        <w:rPr>
          <w:rFonts w:ascii="Times New Roman" w:cs="Times New Roman" w:eastAsia="Times New Roman" w:hAnsi="Times New Roman"/>
          <w:sz w:val="18"/>
          <w:szCs w:val="18"/>
          <w:color w:val="auto"/>
        </w:rPr>
        <w:t>– As a private company the Company lacks company-specific historical and implied volatility information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therefore, the Company estimates its expected share price volatility based on the historical volatility of publicly traded peer companies.</w:t>
      </w:r>
    </w:p>
    <w:p>
      <w:pPr>
        <w:spacing w:after="0" w:line="78" w:lineRule="exact"/>
        <w:rPr>
          <w:rFonts w:ascii="Times New Roman" w:cs="Times New Roman" w:eastAsia="Times New Roman" w:hAnsi="Times New Roman"/>
          <w:sz w:val="18"/>
          <w:szCs w:val="18"/>
          <w:color w:val="auto"/>
        </w:rPr>
      </w:pPr>
    </w:p>
    <w:p>
      <w:pPr>
        <w:ind w:left="1080" w:right="80" w:hanging="424"/>
        <w:spacing w:after="0" w:line="257" w:lineRule="auto"/>
        <w:tabs>
          <w:tab w:leader="none" w:pos="10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expected term represents the period that the stock-based awards are expected to be outstanding. The Company 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simplified method to determine the expected term for “plain-vanilla” options, which is based on the average of the time-to-vesting and the contractual life of the options. For awards with both performance and service based vesting conditions, the expected term has been determined using management’s best estimate considering the characteristics of the award, contractual life, the timing of the expected achievement of the performance conditions, and the remaining time-based vesting period, if any. For nonemployees, the Company determines the life to be the contractual term of the option.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320" w:top="455" w:right="459" w:bottom="1440" w:gutter="0" w:footer="0" w:header="0"/>
        </w:sectPr>
      </w:pPr>
    </w:p>
    <w:bookmarkStart w:id="434" w:name="page435"/>
    <w:bookmarkEnd w:id="4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080" w:hanging="424"/>
        <w:spacing w:after="0" w:line="284"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Risk Free Interest Rate </w:t>
      </w:r>
      <w:r>
        <w:rPr>
          <w:rFonts w:ascii="Times New Roman" w:cs="Times New Roman" w:eastAsia="Times New Roman" w:hAnsi="Times New Roman"/>
          <w:sz w:val="18"/>
          <w:szCs w:val="18"/>
          <w:color w:val="auto"/>
        </w:rPr>
        <w:t>– The risk-free interest rate is determined by reference to the U.S. Treasury yield curve in effect at the time of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award for time periods approximately equal to the expected term of the award.</w:t>
      </w:r>
    </w:p>
    <w:p>
      <w:pPr>
        <w:spacing w:after="0" w:line="63" w:lineRule="exact"/>
        <w:rPr>
          <w:rFonts w:ascii="Times New Roman" w:cs="Times New Roman" w:eastAsia="Times New Roman" w:hAnsi="Times New Roman"/>
          <w:sz w:val="18"/>
          <w:szCs w:val="18"/>
          <w:color w:val="auto"/>
        </w:rPr>
      </w:pPr>
    </w:p>
    <w:p>
      <w:pPr>
        <w:ind w:left="1080" w:right="180" w:hanging="424"/>
        <w:spacing w:after="0" w:line="284" w:lineRule="auto"/>
        <w:tabs>
          <w:tab w:leader="none" w:pos="108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 Yield </w:t>
      </w:r>
      <w:r>
        <w:rPr>
          <w:rFonts w:ascii="Times New Roman" w:cs="Times New Roman" w:eastAsia="Times New Roman" w:hAnsi="Times New Roman"/>
          <w:sz w:val="18"/>
          <w:szCs w:val="18"/>
          <w:color w:val="auto"/>
        </w:rPr>
        <w:t>– The Company has used an expected dividend yield of zero based on the fact that it has never paid cash dividends 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and does not expect to pay any cash dividends in the future.</w:t>
      </w:r>
    </w:p>
    <w:p>
      <w:pPr>
        <w:spacing w:after="0" w:line="160"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9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recognizes interest and penalties related to unrecognized tax benefits within income tax expense. Any accrued interest and penalties are included within the related tax liability. As of December 31, 2025 and 2024, the Company had not accrued interest or penalties related to uncertain tax positions and no amounts have been recognized in the Company’s consolidated statements of operations.</w:t>
      </w:r>
    </w:p>
    <w:p>
      <w:pPr>
        <w:spacing w:after="0" w:line="18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the Company’s stockholders or the Company. The Company assesses the impact of various tax reform proposals and modifications to existing tax treaties in all jurisdictions where the Company has operations to determine the potential effect on its business and any assumptions the Company has made about its future taxable income. The Company cannot predict whether any specific proposals will be enacted, the terms of any such proposals or what effect, if any, such proposals would have on its business if they were to be enacted.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Company calculated basic and diluted net loss per share attributable to common stockholders in conformity with the two-class method required for companies with participating securities. The Company’s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080"/>
          </w:cols>
          <w:pgMar w:left="320" w:top="455" w:right="499" w:bottom="1440" w:gutter="0" w:footer="0" w:header="0"/>
        </w:sectPr>
      </w:pPr>
    </w:p>
    <w:bookmarkStart w:id="435" w:name="page436"/>
    <w:bookmarkEnd w:id="4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Preferred Stock (as defined below) is considered to be a participating security as the holders are entitled to receive dividends at a dividend rate payable in preference and priority to the holders of common stock.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has been distributed. There is no allocation required under the two-class method during periods of loss since the participating securities do not have a contractual obligation to share in the losses of the Company.</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Under the two-class method, basic net loss per share attributable to common stockholders is calculated by dividing the net loss attributable to common stockholders by the weighted-average number of shares of common stock outstanding during the period. Diluted net loss per share attributable to common stockholders is computed by (i) adjusting net loss attributable to common stockholders to reallocate undistributed earnings based on the potential impact of dilutive securities and (ii) dividing the diluted net loss attributable to common stockholders by the weighted-average number of common shares outstanding for the period, including potential dilutive common shares. For purposes of this calculation, Preferred Stock, preferred stock warrants, and stock options to purchase common stock are considered potential dilutive common shares.</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Comprehensive Loss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deficit that result from transactions and economic events other than those with stockholders. Other comprehensive loss consists of unrealized gains (losses) on marketable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119"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 to Income Tax Disclosures</w:t>
      </w:r>
      <w:r>
        <w:rPr>
          <w:rFonts w:ascii="Times New Roman" w:cs="Times New Roman" w:eastAsia="Times New Roman" w:hAnsi="Times New Roman"/>
          <w:sz w:val="18"/>
          <w:szCs w:val="18"/>
          <w:color w:val="auto"/>
        </w:rPr>
        <w:t xml:space="preserve"> (“ASU 2023-09”), to enhance the transparency and decision usefulness of income tax disclosures. ASU 2023-09 became effective for annual periods beginning after December 15, 2024 on a prospective basis for public business entities. For all other entities, the ASU is effective for annual periods beginning after December 15, 2025 on a prospective basis. Early adoption and retrospective application in all prior periods presented is permitted. The Company has early adopted and applied the pronouncement on a retrospective basis. The adoption of ASU 2023-09 did not result in a material impact to the consolidated financial statements and related disclosures.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119"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requires public business entities to disclose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our financial statement disclosures.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120"/>
          </w:cols>
          <w:pgMar w:left="320" w:top="455" w:right="459" w:bottom="1440" w:gutter="0" w:footer="0" w:header="0"/>
        </w:sectPr>
      </w:pPr>
    </w:p>
    <w:bookmarkStart w:id="436" w:name="page437"/>
    <w:bookmarkEnd w:id="4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Financial Instruments and Fair Value Measurements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and indicate the level of the fair value hierarchy used to determine such fair values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gridSpan w:val="19"/>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gridSpan w:val="4"/>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4"/>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920" w:type="dxa"/>
            <w:vAlign w:val="bottom"/>
            <w:gridSpan w:val="6"/>
          </w:tcPr>
          <w:p>
            <w:pPr>
              <w:ind w:left="2200"/>
              <w:spacing w:after="0"/>
              <w:rPr>
                <w:sz w:val="20"/>
                <w:szCs w:val="20"/>
                <w:color w:val="auto"/>
              </w:rPr>
            </w:pPr>
            <w:r>
              <w:rPr>
                <w:rFonts w:ascii="Times New Roman" w:cs="Times New Roman" w:eastAsia="Times New Roman" w:hAnsi="Times New Roman"/>
                <w:sz w:val="18"/>
                <w:szCs w:val="18"/>
                <w:color w:val="auto"/>
              </w:rPr>
              <w:t>$39,905</w:t>
            </w:r>
          </w:p>
        </w:tc>
        <w:tc>
          <w:tcPr>
            <w:tcW w:w="4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90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 — </w:t>
            </w:r>
          </w:p>
        </w:tc>
        <w:tc>
          <w:tcPr>
            <w:tcW w:w="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$39,905</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40,081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40,081</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39,905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40,081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79,986</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2300" w:type="dxa"/>
            <w:vAlign w:val="bottom"/>
            <w:gridSpan w:val="3"/>
          </w:tcPr>
          <w:p>
            <w:pPr>
              <w:ind w:left="220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19"/>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20" w:type="dxa"/>
            <w:vAlign w:val="bottom"/>
            <w:tcBorders>
              <w:top w:val="single" w:sz="8" w:color="auto"/>
            </w:tcBorders>
            <w:gridSpan w:val="5"/>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5"/>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5"/>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0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800" w:type="dxa"/>
            <w:vAlign w:val="bottom"/>
            <w:gridSpan w:val="5"/>
          </w:tcPr>
          <w:p>
            <w:pPr>
              <w:ind w:left="2000"/>
              <w:spacing w:after="0"/>
              <w:rPr>
                <w:sz w:val="20"/>
                <w:szCs w:val="20"/>
                <w:color w:val="auto"/>
              </w:rPr>
            </w:pPr>
            <w:r>
              <w:rPr>
                <w:rFonts w:ascii="Times New Roman" w:cs="Times New Roman" w:eastAsia="Times New Roman" w:hAnsi="Times New Roman"/>
                <w:sz w:val="18"/>
                <w:szCs w:val="18"/>
                <w:color w:val="auto"/>
              </w:rPr>
              <w:t>$49,733</w:t>
            </w:r>
          </w:p>
        </w:tc>
        <w:tc>
          <w:tcPr>
            <w:tcW w:w="120" w:type="dxa"/>
            <w:vAlign w:val="bottom"/>
          </w:tcPr>
          <w:p>
            <w:pPr>
              <w:spacing w:after="0"/>
              <w:rPr>
                <w:sz w:val="18"/>
                <w:szCs w:val="18"/>
                <w:color w:val="auto"/>
              </w:rPr>
            </w:pP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106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color w:val="auto"/>
              </w:rPr>
              <w:t>$ — 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49,733</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5"/>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118,509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118,509</w:t>
            </w:r>
          </w:p>
        </w:tc>
      </w:tr>
      <w:tr>
        <w:trPr>
          <w:trHeight w:val="230"/>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49,733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118,509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460" w:type="dxa"/>
            <w:vAlign w:val="bottom"/>
            <w:gridSpan w:val="2"/>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168,242</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22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200" w:type="dxa"/>
            <w:vAlign w:val="bottom"/>
            <w:gridSpan w:val="2"/>
            <w:shd w:val="clear" w:color="auto" w:fill="CCEEFF"/>
          </w:tcPr>
          <w:p>
            <w:pPr>
              <w:ind w:left="2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81"/>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 to Purchase Redeemable Convertible Preferred Stock Subject to Conditional Redemption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PacificWestern Bank (“PWB”) term loan entered into May 2018, the Company granted PWB a warrant to purchase 22,124 shares of Series A-1 preferred stock at an exercise price of $1.1291 per share. The warrant, which was deemed to be classified as a liability, expires on May 25, 2028. The term loan with PWB was fully paid in January 2019 and has since expired. As of December 31, 2025, the warrant has not been exercised.</w:t>
      </w:r>
    </w:p>
    <w:p>
      <w:pPr>
        <w:spacing w:after="0" w:line="180"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fair value of the preferred stock warrant liability is based on significant inputs not observable in the market, which represent a Level 3 measurement within the fair value hierarchy. The Company’s valuation of the preferred stock warrant utilized the Black-Scholes option-pricing model, which incorporates a number of assumptions and estimates. Changes in the fair value of the preferred stock warrant are recognized as other income (expense) in the consolidated statements of operations and comprehensive loss and were not material for the years ended December 31, 2025 and 2024.</w:t>
      </w:r>
    </w:p>
    <w:p>
      <w:pPr>
        <w:spacing w:after="0" w:line="164"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estimated fair value of the Series A-1 warrant was $0.13 and $0.28 per share, respectively. The fair value of each warrant share is estimated on the date of grant and at each reporting period using the Black-Scholes option pricing model, which requires inputs based on certain subjective assumptions including fair value of the underlying preferred stock, estimated volatility, expected term, risk-free interest rate, and expected dividend yield.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60"/>
          </w:cols>
          <w:pgMar w:left="320" w:top="455" w:right="519" w:bottom="1440" w:gutter="0" w:footer="0" w:header="0"/>
        </w:sectPr>
      </w:pPr>
    </w:p>
    <w:bookmarkStart w:id="437" w:name="page438"/>
    <w:bookmarkEnd w:id="4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assesses its financial liabilities measured at fair value on a recurring basis and transfers its financial liabilities between the relevant fair value hierarchies at the end of each reporting period, as needed. The following table represents a roll-forward of the fair value of the Level 3 preferred stock warrant liability for each of the periods indicated (in thousands):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beginning of year</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80" w:type="dxa"/>
            <w:vAlign w:val="bottom"/>
          </w:tcPr>
          <w:p>
            <w:pPr>
              <w:spacing w:after="0"/>
              <w:rPr>
                <w:sz w:val="18"/>
                <w:szCs w:val="18"/>
                <w:color w:val="auto"/>
              </w:rPr>
            </w:pPr>
          </w:p>
        </w:tc>
        <w:tc>
          <w:tcPr>
            <w:tcW w:w="10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end of year</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6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December 31, 2025 and 2024 there were no transfers between Level 1, Level 2 and Level 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121"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Company’s cash, cash equivalents and marketable securities as of December 31, 2025 and 2024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16"/>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3"/>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500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3"/>
              </w:rPr>
              <w:t>$ — </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39,905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39,905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40,058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40,081</w:t>
            </w: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2"/>
              </w:rPr>
              <w:t>80,463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w w:val="88"/>
              </w:rPr>
              <w:t>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80,486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40,405</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Pr>
          <w:p>
            <w:pPr>
              <w:spacing w:after="0"/>
              <w:rPr>
                <w:sz w:val="18"/>
                <w:szCs w:val="18"/>
                <w:color w:val="auto"/>
              </w:rPr>
            </w:pPr>
          </w:p>
        </w:tc>
        <w:tc>
          <w:tcPr>
            <w:tcW w:w="7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 — </w:t>
            </w:r>
          </w:p>
        </w:tc>
        <w:tc>
          <w:tcPr>
            <w:tcW w:w="8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$40,405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40,058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40,081</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2"/>
              </w:rPr>
              <w:t>80,463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w w:val="88"/>
              </w:rPr>
              <w:t>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color w:val="auto"/>
              </w:rPr>
              <w:t xml:space="preserve">— </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 </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80,486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6"/>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94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360" w:type="dxa"/>
            <w:vAlign w:val="bottom"/>
          </w:tcPr>
          <w:p>
            <w:pPr>
              <w:spacing w:after="0"/>
              <w:rPr>
                <w:sz w:val="10"/>
                <w:szCs w:val="10"/>
                <w:color w:val="auto"/>
              </w:rPr>
            </w:pPr>
          </w:p>
        </w:tc>
        <w:tc>
          <w:tcPr>
            <w:tcW w:w="7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80" w:type="dxa"/>
            <w:vAlign w:val="bottom"/>
          </w:tcPr>
          <w:p>
            <w:pPr>
              <w:spacing w:after="0"/>
              <w:rPr>
                <w:sz w:val="12"/>
                <w:szCs w:val="12"/>
                <w:color w:val="auto"/>
              </w:rPr>
            </w:pPr>
          </w:p>
        </w:tc>
        <w:tc>
          <w:tcPr>
            <w:tcW w:w="940" w:type="dxa"/>
            <w:vAlign w:val="bottom"/>
            <w:gridSpan w:val="7"/>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6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82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60" w:type="dxa"/>
            <w:vAlign w:val="bottom"/>
          </w:tcPr>
          <w:p>
            <w:pPr>
              <w:spacing w:after="0"/>
              <w:rPr>
                <w:sz w:val="15"/>
                <w:szCs w:val="15"/>
                <w:color w:val="auto"/>
              </w:rPr>
            </w:pPr>
          </w:p>
        </w:tc>
        <w:tc>
          <w:tcPr>
            <w:tcW w:w="7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— </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6"/>
              </w:rPr>
              <w:t>— </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— </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tcPr>
          <w:p>
            <w:pPr>
              <w:spacing w:after="0"/>
              <w:rPr>
                <w:sz w:val="18"/>
                <w:szCs w:val="18"/>
                <w:color w:val="auto"/>
              </w:rPr>
            </w:pP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49,733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49,733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118,536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— </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118,509</w:t>
            </w: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168,297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30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73"/>
              </w:rPr>
              <w:t>(57)</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32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168,270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49,761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18"/>
                <w:szCs w:val="18"/>
                <w:color w:val="auto"/>
              </w:rPr>
            </w:pPr>
          </w:p>
        </w:tc>
        <w:tc>
          <w:tcPr>
            <w:tcW w:w="72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w w:val="83"/>
              </w:rPr>
              <w:t>$ — 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49,761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118,536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88"/>
              </w:rPr>
              <w:t>— </w:t>
            </w:r>
          </w:p>
        </w:tc>
        <w:tc>
          <w:tcPr>
            <w:tcW w:w="8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118,509</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7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168,297</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30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73"/>
              </w:rPr>
              <w:t>(57)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p>
        </w:tc>
        <w:tc>
          <w:tcPr>
            <w:tcW w:w="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168,270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left="840" w:right="40"/>
        <w:spacing w:after="0" w:line="454" w:lineRule="auto"/>
        <w:rPr>
          <w:sz w:val="20"/>
          <w:szCs w:val="20"/>
          <w:color w:val="auto"/>
        </w:rPr>
      </w:pPr>
      <w:r>
        <w:rPr>
          <w:rFonts w:ascii="Times New Roman" w:cs="Times New Roman" w:eastAsia="Times New Roman" w:hAnsi="Times New Roman"/>
          <w:sz w:val="18"/>
          <w:szCs w:val="18"/>
          <w:color w:val="auto"/>
        </w:rPr>
        <w:t>None of the Company’s available-for-sale marketable securities had remaining maturities longer than one year as of December 31, 2025 and 2024. F-67</w:t>
      </w:r>
    </w:p>
    <w:p>
      <w:pPr>
        <w:sectPr>
          <w:pgSz w:w="11900" w:h="16838" w:orient="portrait"/>
          <w:cols w:equalWidth="0" w:num="1">
            <w:col w:w="11140"/>
          </w:cols>
          <w:pgMar w:left="320" w:top="455" w:right="439" w:bottom="1440" w:gutter="0" w:footer="0" w:header="0"/>
        </w:sectPr>
      </w:pPr>
    </w:p>
    <w:bookmarkStart w:id="438" w:name="page439"/>
    <w:bookmarkEnd w:id="4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and equipment, net, are recorded at historical cost and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0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10,017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385</w:t>
            </w: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11,421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6"/>
              </w:rPr>
              <w:t>11,348</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(8,026)</w:t>
            </w:r>
          </w:p>
        </w:tc>
      </w:tr>
      <w:tr>
        <w:trPr>
          <w:trHeight w:val="27"/>
        </w:trPr>
        <w:tc>
          <w:tcPr>
            <w:tcW w:w="6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3,322</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Depreciation expense amounted to $1.5 million for each of the years ended December 31, 2025 and 2024.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12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2"/>
                <w:szCs w:val="12"/>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6,361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3,959</w:t>
            </w: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979</w:t>
            </w:r>
          </w:p>
        </w:tc>
      </w:tr>
      <w:tr>
        <w:trPr>
          <w:trHeight w:val="27"/>
        </w:trPr>
        <w:tc>
          <w:tcPr>
            <w:tcW w:w="5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12,291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11,278</w:t>
            </w:r>
          </w:p>
        </w:tc>
      </w:tr>
      <w:tr>
        <w:trPr>
          <w:trHeight w:val="20"/>
        </w:trPr>
        <w:tc>
          <w:tcPr>
            <w:tcW w:w="5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Redeemable Convertible Preferred Stock</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issued Series A-1 redeemable convertible preferred stock (the “Series A-1 Preferred Stock”), Series A-2 redeemable convertible preferred stock (the “Series A-2 Preferred Stock”), Series A-3 redeemable convertible preferred stock, (the “Series A-3 Preferred Stock”), Series B redeemable convertible preferred stock (the “Series B Preferred Stock”) and Series C redeemable convertible preferred stock (the “Series C Preferred Stock”); collectively referred to as the “Preferred Stock” and the holders of the Preferred Stock as the “Preferred Stockholders.” All series of Preferred Stock have a par value of $0.0001.</w:t>
      </w:r>
    </w:p>
    <w:p>
      <w:pPr>
        <w:spacing w:after="0" w:line="183"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March 2024, the Company entered into a stock purchase agreement (the “Series C Purchase Agreement”) pursuant to which the Company issued and sold an aggregate of 84,567,145 shares of Series C Preferred Stock at a price of $1.8979 per share, for gross proceeds of approximately $160.5 million and incurred issuance costs of $0.5 million.</w:t>
      </w:r>
    </w:p>
    <w:p>
      <w:pPr>
        <w:spacing w:after="0" w:line="176"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Upon issuance of each class of Preferred Stock, the Company assessed the embedded conversion and liquidation features of the shares and determined that such features did not require the Company to separately account for these features. The Company also concluded that no beneficial conversion feature existed on the issuance dates of each class of Preferred Stock.</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F-68</w:t>
      </w:r>
    </w:p>
    <w:p>
      <w:pPr>
        <w:sectPr>
          <w:pgSz w:w="11900" w:h="16838" w:orient="portrait"/>
          <w:cols w:equalWidth="0" w:num="1">
            <w:col w:w="10960"/>
          </w:cols>
          <w:pgMar w:left="320" w:top="455" w:right="619" w:bottom="1440" w:gutter="0" w:footer="0" w:header="0"/>
        </w:sectPr>
      </w:pPr>
    </w:p>
    <w:bookmarkStart w:id="439" w:name="page440"/>
    <w:bookmarkEnd w:id="4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December 31, 2025 and 2024, the Preferred Stock is summarized below (in thousands, except share amounts):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4"/>
                <w:szCs w:val="14"/>
                <w:b w:val="1"/>
                <w:bCs w:val="1"/>
                <w:color w:val="auto"/>
              </w:rPr>
              <w:t>Amounts at December 31, 2025 and December 31, 2024</w:t>
            </w:r>
          </w:p>
        </w:tc>
        <w:tc>
          <w:tcPr>
            <w:tcW w:w="10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3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39"/>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120" w:type="dxa"/>
            <w:vAlign w:val="bottom"/>
            <w:gridSpan w:val="4"/>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Upon</w:t>
            </w:r>
          </w:p>
        </w:tc>
        <w:tc>
          <w:tcPr>
            <w:tcW w:w="0" w:type="dxa"/>
            <w:vAlign w:val="bottom"/>
          </w:tcPr>
          <w:p>
            <w:pPr>
              <w:spacing w:after="0"/>
              <w:rPr>
                <w:sz w:val="1"/>
                <w:szCs w:val="1"/>
                <w:color w:val="auto"/>
              </w:rPr>
            </w:pPr>
          </w:p>
        </w:tc>
      </w:tr>
      <w:tr>
        <w:trPr>
          <w:trHeight w:val="173"/>
        </w:trPr>
        <w:tc>
          <w:tcPr>
            <w:tcW w:w="538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40" w:type="dxa"/>
            <w:vAlign w:val="bottom"/>
          </w:tcPr>
          <w:p>
            <w:pPr>
              <w:spacing w:after="0"/>
              <w:rPr>
                <w:sz w:val="15"/>
                <w:szCs w:val="15"/>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33,222,339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33,200,215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33,200,215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14,936,323</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14,936,323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14,936</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14,936,323</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 Preferred Stock</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6,146,592</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6,146,592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9,035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6,146,592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76,187,917</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76,187,917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114,732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115,044</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76,187,917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84,567,145</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84,567,145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159,968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160,500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84,567,145</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215,060,316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215,038,192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338,028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337,001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215,038,192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rights and preferences of the Preferred Stock are as follows: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Preferred Stockholders vote on an as-converted basis with holders of common stock on all general matters. Additionally, holders of Series A Preferred Stock, Series B Preferred Stock, and Series C Preferred Stock each have the exclusive right to elect one director per series, voting separately as a class. Holders of Series A-3 Preferred Stock, Series B Preferred Stock, and Series C Preferred Stock also hold series-specific protective voting rights requiring their separate approval for certain amendments or capital structure actions, and all Preferred Stockholders voting together as a single class (with a required majority of holders of Series C Preferred Stock included) must approve major corporate actions such as liquidation events, charter amendments affecting rights of Preferred Stockholders, creation of senior or junior securities, certain indebtedness, and other key matters.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Preferred Stockholders are entitled to receive, prior to the payment of any dividend on the common stock, a dividend on each outstanding share of preferred stock on an as converted to common stock basis immediately prior to the record date. Any such dividends shall be payable only when, as, and if declared by the Company’s board of directors. No dividends have been declared through December 31,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Liquidation Preference</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Series C Preferred Stock ranks senior to the Series B Preferred Stock, Series A Preferred Stock and Common Stock of the Company. In the event of a liquidation of the Company, or certain deemed liquidation events, the Series C is redeemable for a price equal to the greater of (i) Series C Original Issue Price of $1.8979 per share, plus any dividends declared but unpaid, or (ii) such amount per share as would have been payable had all Series C Preferred Stock converted into common stock immediately prior to the liquidation or deemed liquidation. If assets or surplus remain after satisfying the Series C Preferred Stockholders, the Series B Preferred Stock is redeemable for a price equal to the greater of (i) Series B Original Issue Price of $1.51 per share, plus any dividends declared but unpaid, or (ii) such amount per share as would have been payable had all Series B Preferred Stock converted into common stock immediately prior to the liquidation or deemed liquidation. If assets or surplus remain after satisfying the Series B Preferred Stockholders, the Series A Preferred Stockholders is redeemable for a price equal to the greater of (i) Series A-1, Series A-2, and Series A-3 Original Issue Price of $1.1291, $1.00, and $1.47 per share, respectively, plus any dividends declared but unpaid, or (ii) such amount per share as would have been payable had all Series A-1, A-2 and A-3 Preferred Stock converted into common stock immediately prior to the liquidation or deemed liquidation.</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320" w:top="455" w:right="439" w:bottom="1440" w:gutter="0" w:footer="0" w:header="0"/>
        </w:sectPr>
      </w:pPr>
    </w:p>
    <w:bookmarkStart w:id="440" w:name="page441"/>
    <w:bookmarkEnd w:id="4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event of a liquidation event or deemed liquidation, if the assets or surplus funds to be distributed to the holders of Series C Preferred Stock, are insufficient to permit the payment to such holders of their full aggregate distribution due, the assets and surplus legally available for distribution shall be distributed ratably among the holders of Series C Preferred Stock in proportion to the full aggregate Series C distributions each such holder is otherwise entitled to receive. After distribution to Series C Preferred Stockholders the same distribution would take place to Series B Preferred Stockholders if any assets or surplus remain. After distribution to Series B Preferred Stockholders the same distribution would take place to Series A Preferred Stockholders if any assets or surplus remain. No payment shall be made with respect to the common stock unless and until full payment has been made to the holders of the Series C Preferred Stock, Series B Preferred Stock and Series A Preferred Stock of the distribution amounts that they are entitled to receive.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Preferred Stockholders do not have redemption rights, except upon a Deemed Liquidation Event.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Optional Conversion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Each share of Preferred Stock, at the option of the holder, is convertible into a number of fully paid shares of common stock as determined by dividing issue price by the conversion price in effect at the time. The initial conversion price per share for Series A-1, Series A-2 and Series A-3 Preferred Stock is $1.1291, $1.00, and $1.47, respectively, the Series B Preferred Stock initial conversion price is $1.51 per share and the Series C Preferred Stock initial conversion price if $1.8979. Such initial conversion prices, and the rate at which shares of Preferred Stock may be converted into shares of common stock, shall be subject to adjustment as provided in the Company’s fourth amended and restated certificate of incorporation.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Mandatory Conversion</w:t>
      </w:r>
    </w:p>
    <w:p>
      <w:pPr>
        <w:spacing w:after="0" w:line="12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All outstanding shares of Preferred Stock will automatically convert into a number of fully paid shares of common stock at the then applicable conversion price upon the completion of either (i) the closing of the sale of shares of common stock to the public in a sale price of at least $2.8469 per share resulting in gross proceeds to the Company of at least $100.0 million (“Qualified IPO”) or; (ii) the direct listing on a nationally recognized stock exchange with a reference price of at least $2.8469 per share or; (iii) a special purpose acquisition company (“SPAC”) transaction or reverse merger transaction resulting in a sale price of at least $2.8469 per share or; (iv) other event that results in the Company or its successor in interest having its common equity listed for trading on a nationally recognized stock exchange with a share price of at least $2.8469 per share or upon the vote or written consent of a majority of holders of the then outstanding shares of Preferred Stock voting together as a single class on an as-converted to common stock basis.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Company’s fourth amended and restated certificate of incorporation authorizes the authorizes the Company to issue 274,320,131 shares of common stock. As of December 31, 2025, the Company had reserved 215,060,316 shares of common stock for the conversion of the Preferred Stock (Note 6), as applicable.</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holders of shares of common stock are entitled to one vote for each share held with respect to all matters voted on by the stockholders of the Company. The holders of common stock are also entitled to receive dividends whenever funds are legally available and when declared by the board of directors, subject to the prior rights of holders of all classes of stock outstanding. In a Deemed Liquidation Event, after the payment in full of all preferential amounts required to be paid to the holder of shares of Preferred Stock, the holders of the then outstanding common stock are entitled to receive that portion of the remaining funds to be distributed to holders of common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20"/>
          </w:cols>
          <w:pgMar w:left="320" w:top="455" w:right="459" w:bottom="1440" w:gutter="0" w:footer="0" w:header="0"/>
        </w:sectPr>
      </w:pPr>
    </w:p>
    <w:bookmarkStart w:id="441" w:name="page442"/>
    <w:bookmarkEnd w:id="4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680" w:hanging="4"/>
        <w:spacing w:after="0" w:line="400" w:lineRule="auto"/>
        <w:tabs>
          <w:tab w:leader="none" w:pos="300" w:val="left"/>
        </w:tabs>
        <w:numPr>
          <w:ilvl w:val="0"/>
          <w:numId w:val="2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2016 Equity Incentive Plan</w:t>
      </w: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March 2016, the Company adopted the 2016 Stock Option and Grant Plan (the “2016 Plan”), which allows the granting of awards in the form of incentive stock options, nonqualified stock options, and stock grants, which may include restricted stock, to eligible employees, outside directors and consultants of the Company. The total number of common stock reserved for grant under the 2016 Plan was 48,749,161 shares as of December 31, 2025 and December 31, 2024, of which 4,475,263 and 1,993,987 shares remained available for future issuance as of December 31, 2025 and 2024, respectively. Shares that are expired, terminated, surrendered, or canceled without having been fully exercised will be available for future awards under the 2016 Plan.</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2016 Plan is administered by the Company’s board of directors. The terms of stock awards agreements, including type of stock award to be granted, the provisions of each stock award, including the number of shares, vesting requirements, and exercise prices, are determined by the board of directors, and are subject to the provisions of the 2016 Plan. Option awards generally vest over a four-year period and expire after ten years. Certain options provide for accelerated vesting in the event of a change in control, as defined. The exercise price per share for stock options granted may not be less than the fair market value of the common stock at the date of grant.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has granted stock options with service-based vesting conditions, performance-based, and with both service and performance-based vesting conditions. The Company typically grants stock options to employees and nonemployees at exercise prices deemed by the Board to be equal to the fair value of the common stock at the time of grant. Stock options typically vest over four years and have a maximum term of ten years.</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the stock options issued using the Black-Scholes option pricing model on the date of grant. The key assumptions used to apply this pricing model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76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380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top w:val="single" w:sz="8" w:color="auto"/>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18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$0.78 – 1.13</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$1.01 – 1.13</w:t>
            </w:r>
          </w:p>
        </w:tc>
        <w:tc>
          <w:tcPr>
            <w:tcW w:w="2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4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color w:val="auto"/>
              </w:rPr>
              <w:t>3.94%</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346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6.1</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4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89.54%</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133.20%</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fair value of options granted during the years ended December 31, 2025 and 2024 was $0.62 and $1.03, respectively.</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option activity under the 2016 Plan for the year ended December 31, 2025:</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22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4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Term</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8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0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40,628,032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5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22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432,000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0.78</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2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(20,146)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0.97</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2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(2,530,814)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1.05</w:t>
            </w: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2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(447,462)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0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38,061,610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5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2025</w:t>
            </w:r>
          </w:p>
        </w:tc>
        <w:tc>
          <w:tcPr>
            <w:tcW w:w="2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23,056,967</w:t>
            </w: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0.77</w:t>
            </w:r>
          </w:p>
        </w:tc>
        <w:tc>
          <w:tcPr>
            <w:tcW w:w="13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22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15,004,643</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0.78</w:t>
            </w: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46"/>
        </w:trPr>
        <w:tc>
          <w:tcPr>
            <w:tcW w:w="4080" w:type="dxa"/>
            <w:vAlign w:val="bottom"/>
          </w:tcPr>
          <w:p>
            <w:pPr>
              <w:spacing w:after="0"/>
              <w:rPr>
                <w:sz w:val="24"/>
                <w:szCs w:val="24"/>
                <w:color w:val="auto"/>
              </w:rPr>
            </w:pPr>
          </w:p>
        </w:tc>
        <w:tc>
          <w:tcPr>
            <w:tcW w:w="2280" w:type="dxa"/>
            <w:vAlign w:val="bottom"/>
            <w:gridSpan w:val="3"/>
          </w:tcPr>
          <w:p>
            <w:pPr>
              <w:jc w:val="right"/>
              <w:ind w:right="1120"/>
              <w:spacing w:after="0"/>
              <w:rPr>
                <w:sz w:val="20"/>
                <w:szCs w:val="20"/>
                <w:color w:val="auto"/>
              </w:rPr>
            </w:pPr>
            <w:r>
              <w:rPr>
                <w:rFonts w:ascii="Times New Roman" w:cs="Times New Roman" w:eastAsia="Times New Roman" w:hAnsi="Times New Roman"/>
                <w:sz w:val="18"/>
                <w:szCs w:val="18"/>
                <w:color w:val="auto"/>
              </w:rPr>
              <w:t>F-71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442" w:name="page443"/>
    <w:bookmarkEnd w:id="4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Included within the total stock options outstanding at December 31, 2025, are 2,027,700 stock options to purchase common stock which have either both performance and service-based vesting criteria or performance only vesting criteria (collectively, the “Performance Awards”) and were granted to certain employees and officers during 2023 and 2024. Of the total 2,027,700 Performance Awards outstanding: (i) 1,231,034 outstanding stock options were granted in 2023 and had performance criteria tied to the achievement of three scientific milestones, each followed by two years of service vesting. Expense was recognized when achievement became probable. As of December 31, 2025, all three milestones associated with this grant had either been achieved or partially achieved; (ii) 442,592 outstanding stock options were granted in 2023 and had performance criteria tied to the completion of a strategic transaction, which was achieved upon the close of the Series C Preferred Stock financing in March 2024, and therefore the grant date fair value of the stock options was expensed in full upon achievement of the financing; and (iii) 354,074 outstanding stock options were granted in 2024 and had performance criteria tied to the achievement of strategic milestones of the Company along with service-based vesting conditions. As of December 31, 2025, the performance milestones have not yet been achieved and are not deemed probable of being achieved. Total stock-based compensation expense associated with performance stock options was $0.2 million and $0.7 million during the years ended December 31, 2025 and 2024, respectively.</w:t>
      </w:r>
    </w:p>
    <w:p>
      <w:pPr>
        <w:spacing w:after="0" w:line="19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 of options exercised for each of the years ended December 31, 2025 and 2024 totaled zero and $0.8 million, respectively. As of December 31, 2025 there was $13.3 million of unrecognized compensation expense, which the Company expects to recognize over a weighted-average period of 2.03 years.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recorded stock-based compensation expense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44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Borders>
              <w:top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$3,733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$2,938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5,198</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4,122</w:t>
            </w:r>
          </w:p>
        </w:tc>
      </w:tr>
      <w:tr>
        <w:trPr>
          <w:trHeight w:val="27"/>
        </w:trPr>
        <w:tc>
          <w:tcPr>
            <w:tcW w:w="44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8,931</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7,060</w:t>
            </w:r>
          </w:p>
        </w:tc>
      </w:tr>
      <w:tr>
        <w:trPr>
          <w:trHeight w:val="20"/>
        </w:trPr>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ind w:left="120" w:firstLine="440"/>
        <w:spacing w:after="0" w:line="312" w:lineRule="auto"/>
        <w:rPr>
          <w:sz w:val="20"/>
          <w:szCs w:val="20"/>
          <w:color w:val="auto"/>
        </w:rPr>
      </w:pPr>
      <w:r>
        <w:rPr>
          <w:rFonts w:ascii="Times New Roman" w:cs="Times New Roman" w:eastAsia="Times New Roman" w:hAnsi="Times New Roman"/>
          <w:sz w:val="17"/>
          <w:szCs w:val="17"/>
          <w:color w:val="auto"/>
        </w:rPr>
        <w:t>For the years ended December 31, 2025 and 2024, no income tax expense was recorded due to the Company’s net operating loss (“NOL”) and full valuation allowance. The Company has historically incurred net operating losses and maintains a full valuation allowance against its deferred tax assets.</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of the Company’s operating losses since inception have been generated in the United States.</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reported amount of income tax expense for the years differs from the amount that would result from applying domestic federal statutory rates to pretax losses primarily because of changes in the valuation allowance.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100"/>
          </w:cols>
          <w:pgMar w:left="320" w:top="455" w:right="479" w:bottom="1440" w:gutter="0" w:footer="0" w:header="0"/>
        </w:sectPr>
      </w:pPr>
    </w:p>
    <w:bookmarkStart w:id="443" w:name="page444"/>
    <w:bookmarkEnd w:id="4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reconciliation of the Company’s statutory income tax rate to the Company’s effective income tax rate is as follows: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88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100" w:type="dxa"/>
            <w:vAlign w:val="bottom"/>
            <w:tcBorders>
              <w:bottom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tcBorders>
              <w:bottom w:val="single" w:sz="8" w:color="auto"/>
            </w:tcBorders>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80" w:type="dxa"/>
            <w:vAlign w:val="bottom"/>
          </w:tcPr>
          <w:p>
            <w:pPr>
              <w:spacing w:after="0"/>
              <w:rPr>
                <w:sz w:val="10"/>
                <w:szCs w:val="10"/>
                <w:color w:val="auto"/>
              </w:rPr>
            </w:pPr>
          </w:p>
        </w:tc>
        <w:tc>
          <w:tcPr>
            <w:tcW w:w="110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Amount (in</w:t>
            </w:r>
          </w:p>
        </w:tc>
        <w:tc>
          <w:tcPr>
            <w:tcW w:w="100" w:type="dxa"/>
            <w:vAlign w:val="bottom"/>
          </w:tcPr>
          <w:p>
            <w:pPr>
              <w:spacing w:after="0"/>
              <w:rPr>
                <w:sz w:val="10"/>
                <w:szCs w:val="10"/>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520" w:type="dxa"/>
            <w:vAlign w:val="bottom"/>
            <w:vMerge w:val="restart"/>
          </w:tcPr>
          <w:p>
            <w:pPr>
              <w:spacing w:after="0"/>
              <w:rPr>
                <w:sz w:val="10"/>
                <w:szCs w:val="10"/>
                <w:color w:val="auto"/>
              </w:rPr>
            </w:pPr>
          </w:p>
        </w:tc>
        <w:tc>
          <w:tcPr>
            <w:tcW w:w="120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Amount (in</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8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3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w:t>
            </w: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777</w:t>
            </w: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(0.77)%</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644</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w:t>
            </w: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(0.07)%</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(123)</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(3,781)</w:t>
            </w:r>
          </w:p>
        </w:tc>
        <w:tc>
          <w:tcPr>
            <w:tcW w:w="11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3.76%</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(4,999)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24,058</w:t>
            </w: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(23.91)%</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22,002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2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8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0.00%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vMerge w:val="continue"/>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2025 and 2024, state and local income taxes in Massachusetts comprised the majority of the state and local income taxes, net of federal benefit category.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Net deferred tax assets (liabilities) as of December 31, 2025 and 2024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49,893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17,753</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23,251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18,430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1,794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2,192</w:t>
            </w: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IRC 174 capitalized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27,129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69,319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(98,055)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(67,584)</w:t>
            </w: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1,735</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right-of-use asset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(1,734)</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(1,735)</w:t>
            </w: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federal NOL carryforwards of $186.5 million and $66.2 million, respectively, and state NOL carryforwards of $171.0 million and $61.2 million, respectively, which may be available to offset future taxable income. Federal NOL carryforwards do not expire and state NOLs begin to expire in 2037.</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also had federal research and development tax credit carryforwards of $17.1 million and $13.3 million, respectively, and state research and development credit carryforwards of $7.7 million and $6.5 million, respectively, which may be available to offset future income tax liabilities. Federal and state research and development tax credit carryforwards begin to expire in 2037 and 2031, respectively.</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F-73</w:t>
      </w:r>
    </w:p>
    <w:p>
      <w:pPr>
        <w:sectPr>
          <w:pgSz w:w="11900" w:h="16838" w:orient="portrait"/>
          <w:cols w:equalWidth="0" w:num="1">
            <w:col w:w="11020"/>
          </w:cols>
          <w:pgMar w:left="320" w:top="455" w:right="559" w:bottom="1440" w:gutter="0" w:footer="0" w:header="0"/>
        </w:sectPr>
      </w:pPr>
    </w:p>
    <w:bookmarkStart w:id="444" w:name="page445"/>
    <w:bookmarkEnd w:id="4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Utilization of the net operating loss carryforwards may be subject to a substantial annual limitation under Section 382 of the Internal Revenue Code of 1986 due to ownership change limitations that have occurred previously or that could occur in the future. These ownership changes may limit the amount of net operating loss carryforwards that can be utilized annually to offset future taxable income and tax, respectively. The Company has completed an evaluation of ownership changes through December 31, 2022 to assess whether utilization of the Company’s net operating loss or research and development credit carryforwards would be subject to an annual limitation under Section 382, and it was determined that an ownership change has occurred. The Company has determined that no attributes will expire unused, as of December 31, 2022, based on the limitation analysis. To the extent a subsequent ownership change occurs, the net operating loss and credit carryforwards may be subject to additional limitation.</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not yet conducted a study of its research and development credit carryforwards. This study may result in an increase or decrease to the Company’s credit carryforwards, however, until a study is completed, and any adjustment is known, no amounts are being presented as an uncertain tax position. A full valuation allowance has been provided against the Company’s credits, and if an adjustment is required, this adjustment would be offset by an adjustment to the valuation allowance. As a result, there would be no impact to the consolidated statements of operations and comprehensive loss or consolidated statements of cash flows if an adjustment were required.</w:t>
      </w:r>
    </w:p>
    <w:p>
      <w:pPr>
        <w:spacing w:after="0" w:line="183"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which are comprised principally of net operating loss carryforwards and research and development credit carryforwards. Management has considered the Company’s history of net losses incurred since inception and its lack of commercialization of any products or generation of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2025 and 2024. Management reevaluates the positive and negative evidence at each reporting period.</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Changes in the valuation allowance for deferred tax assets during the years ended December 31, 2025 and 2024 related primarily to the increase in net operating loss carryforwards and were as follows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1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60" w:type="dxa"/>
            <w:vAlign w:val="bottom"/>
            <w:tcBorders>
              <w:top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2024 </w:t>
            </w:r>
          </w:p>
        </w:tc>
        <w:tc>
          <w:tcPr>
            <w:tcW w:w="40" w:type="dxa"/>
            <w:vAlign w:val="bottom"/>
          </w:tcPr>
          <w:p>
            <w:pPr>
              <w:spacing w:after="0"/>
              <w:rPr>
                <w:sz w:val="12"/>
                <w:szCs w:val="12"/>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the beginning of the year</w:t>
            </w:r>
          </w:p>
        </w:tc>
        <w:tc>
          <w:tcPr>
            <w:tcW w:w="1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67,584</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40,458</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Increases recorded to income tax provision</w:t>
            </w:r>
          </w:p>
        </w:tc>
        <w:tc>
          <w:tcPr>
            <w:tcW w:w="1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30,471</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6"/>
              </w:rPr>
              <w:t>27,126</w:t>
            </w:r>
          </w:p>
        </w:tc>
        <w:tc>
          <w:tcPr>
            <w:tcW w:w="40" w:type="dxa"/>
            <w:vAlign w:val="bottom"/>
          </w:tcPr>
          <w:p>
            <w:pPr>
              <w:spacing w:after="0"/>
              <w:rPr>
                <w:sz w:val="19"/>
                <w:szCs w:val="19"/>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at end of the year</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98,055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67,584</w:t>
            </w:r>
          </w:p>
        </w:tc>
      </w:tr>
      <w:tr>
        <w:trPr>
          <w:trHeight w:val="20"/>
        </w:trPr>
        <w:tc>
          <w:tcPr>
            <w:tcW w:w="4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increase in the valuation allowance of $30.5 million during the year ended December 31, 2025 related primarily to the increase in net operating loss carryforwards.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the tax position meeting the more-likely-than-not threshold, the tax amount recognized in the financial statements is reduced by the largest benefit that has a greater than 50% likelihood of being realized upon the ultimate settlement with the relevant taxing authority. As of December 31, 2025 and 2024, the Company had not recorded any reserves for uncertain tax positions or related interest and penalties.</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 of the jurisdiction in which it operates. In the normal course of business, the Company is subject to examination by federal and state jurisdiction, where applicable. Since the Company is in a loss carryforward position, it is generally subject to examination by the U.S. federal, state, and local income tax authorities for all tax years in which a loss carryforward is available.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F-74</w:t>
      </w:r>
    </w:p>
    <w:p>
      <w:pPr>
        <w:sectPr>
          <w:pgSz w:w="11900" w:h="16838" w:orient="portrait"/>
          <w:cols w:equalWidth="0" w:num="1">
            <w:col w:w="11120"/>
          </w:cols>
          <w:pgMar w:left="320" w:top="455" w:right="459" w:bottom="1440" w:gutter="0" w:footer="0" w:header="0"/>
        </w:sectPr>
      </w:pPr>
    </w:p>
    <w:bookmarkStart w:id="445" w:name="page446"/>
    <w:bookmarkEnd w:id="4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January 2017, and as amended in February 2020, the Company established a defined contribution plan under Section 401(k) of the Internal Revenue Code (the “401(k) Plan”). The 401(k) Plan covers all employees who meet defined minimum age and service requirements and allows participants to defer a portion of their annual compensation on a pre-tax basis. Starting in 2020, the Company makes matching contributions at a rate of 100% of each employee’s contribution up to a maximum employee contribution of 3% of eligible plan compensation. For each of the years ended December 31, 2025 and 2024, the Company made matching contributions of $0.5 million.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Company enters into contracts in the normal course of business with third parties for preclinical research studies, upcoming clinical trials and testing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service providers, up to the date of cancellation and in the case of certain arrangements may include noncancelable fees.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220" w:firstLine="44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At each reporting date, the Company evaluates whether a potential loss amount or a potential range of losses is probable and reasonably estimable under the provisions of the authoritative guidance that addresses accounting for contingencies. The Company expenses as incurred the costs related to such legal proceedings.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University of Texas M.D. Anderson Cancer Center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November 2020, the Company entered into a multi-year collaborative research and option agreement (the “Collaboration Agreement”) with the Board of Regents (the “Board of Regents”) of The University of Texas System, on behalf of the University of Texas M.D. Anderson Cancer Center (“M.D. Anderson”) designed to expedite the research and development of novel engineered TIL for the treatment of solid tumors. Pursuant to the Collaboration Agreement, as amended, the Company agreed to fund research activities of up to $8.3 million over approximately two years and received the option to obtain a license to certain intellectual property arising from the collaboration. The collaboration focused on developing TIL containing regulated membrane-bound IL15 (“mbIL15”) with the potential to enhance anti-tumor efficacy and reduce tumor burden in patients suffering from different types of solid tumors. The collaboration’s purpose was to accelerate the development of cytoTIL, including process and analytical development and clinical readiness activities. The Collaboration Agreement expired in 2023 and, prior to such expiration, the Company exercised its option to license certain intellectual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F-75</w:t>
      </w:r>
    </w:p>
    <w:p>
      <w:pPr>
        <w:sectPr>
          <w:pgSz w:w="11900" w:h="16838" w:orient="portrait"/>
          <w:cols w:equalWidth="0" w:num="1">
            <w:col w:w="11120"/>
          </w:cols>
          <w:pgMar w:left="320" w:top="455" w:right="459" w:bottom="1440" w:gutter="0" w:footer="0" w:header="0"/>
        </w:sectPr>
      </w:pPr>
    </w:p>
    <w:bookmarkStart w:id="446" w:name="page447"/>
    <w:bookmarkEnd w:id="4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property arising from the collaboration and subsequently entered into the resulting license agreement with the Board of Regents on behalf of M.D.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Anderson (“M.D. Anderson License Agreement”) in October 2021.</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the M.D. Anderson License Agreement, the Company is obligated to pay to M.D. Anderson (a) a royalty on net sales of Developed Products and licensed products at a low single digit percentage (b) milestone payments of up to (i) $75.0 million upon the achievement of certain specified clinical and regulatory milestones and (ii) $90.0 million upon the achievement of certain specified sales milestones, which milestones may be payable with respect to multiple products and indications and (c) a share of certain consideration received by the Company from sublicensees under any sublicense agreements with third parties. As of December 31, 2025, no additional milestone payments were considered probable of achievement and, accordingly, no related liability has been recognized.</w:t>
      </w:r>
    </w:p>
    <w:p>
      <w:pPr>
        <w:spacing w:after="0" w:line="187"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M.D. Anderson License Agreement may be terminated by the Board of Regents upon notice for an uncured challenge of the Board of Regents’ patents and by mutual agreement of us and the Board of Regents.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leases laboratory and office space in Cambridge, Massachusetts under an operating lease with a term expiring in January 2027.</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Additionally, the Company leases office space in Bedford, Massachusetts under an operating lease with a term expiring in December 2028. During the year ended December 31, 2025, and 2024, the components of operating lease cost were as follows, and are reflected in general and administrative expenses and research and development expenses, as determined by the underlying activities (in thousands):</w:t>
      </w:r>
    </w:p>
    <w:p>
      <w:pPr>
        <w:spacing w:after="0" w:line="19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196"/>
        </w:trPr>
        <w:tc>
          <w:tcPr>
            <w:tcW w:w="6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Lease cost</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cost</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$2,757</w:t>
            </w:r>
          </w:p>
        </w:tc>
        <w:tc>
          <w:tcPr>
            <w:tcW w:w="2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$2,757</w:t>
            </w:r>
          </w:p>
        </w:tc>
      </w:tr>
      <w:tr>
        <w:trPr>
          <w:trHeight w:val="216"/>
        </w:trPr>
        <w:tc>
          <w:tcPr>
            <w:tcW w:w="6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Variable operating lease cost</w:t>
            </w:r>
          </w:p>
        </w:tc>
        <w:tc>
          <w:tcPr>
            <w:tcW w:w="74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541</w:t>
            </w:r>
          </w:p>
        </w:tc>
        <w:tc>
          <w:tcPr>
            <w:tcW w:w="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516</w:t>
            </w:r>
          </w:p>
        </w:tc>
      </w:tr>
      <w:tr>
        <w:trPr>
          <w:trHeight w:val="223"/>
        </w:trPr>
        <w:tc>
          <w:tcPr>
            <w:tcW w:w="68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3,298</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3,273</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related to the measurement of the Company’s operating leases for the years ended December 31, 2025 and 2024 (in thousands):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14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10"/>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6.82%</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$2,896</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$2,776</w:t>
            </w: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Maturities of the Company’s operating lease liabilities at December 31, 2025 are as follows (in thousands):</w:t>
      </w:r>
    </w:p>
    <w:p>
      <w:pPr>
        <w:spacing w:after="0" w:line="27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$2,976</w:t>
            </w: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4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w:t>
            </w:r>
          </w:p>
        </w:tc>
      </w:tr>
      <w:tr>
        <w:trPr>
          <w:trHeight w:val="223"/>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8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100" w:type="dxa"/>
            <w:vAlign w:val="bottom"/>
          </w:tcPr>
          <w:p>
            <w:pPr>
              <w:spacing w:after="0"/>
              <w:rPr>
                <w:sz w:val="19"/>
                <w:szCs w:val="19"/>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Interest portion</w:t>
            </w:r>
          </w:p>
        </w:tc>
        <w:tc>
          <w:tcPr>
            <w:tcW w:w="4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w:t>
            </w:r>
          </w:p>
        </w:tc>
      </w:tr>
      <w:tr>
        <w:trPr>
          <w:trHeight w:val="223"/>
        </w:trPr>
        <w:tc>
          <w:tcPr>
            <w:tcW w:w="3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present value of operating lease liabilities</w:t>
            </w:r>
          </w:p>
        </w:tc>
        <w:tc>
          <w:tcPr>
            <w:tcW w:w="38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4,272</w:t>
            </w: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4480" w:type="dxa"/>
            <w:vAlign w:val="bottom"/>
            <w:gridSpan w:val="3"/>
          </w:tcPr>
          <w:p>
            <w:pPr>
              <w:jc w:val="right"/>
              <w:ind w:right="4000"/>
              <w:spacing w:after="0"/>
              <w:rPr>
                <w:sz w:val="20"/>
                <w:szCs w:val="20"/>
                <w:color w:val="auto"/>
              </w:rPr>
            </w:pPr>
            <w:r>
              <w:rPr>
                <w:rFonts w:ascii="Times New Roman" w:cs="Times New Roman" w:eastAsia="Times New Roman" w:hAnsi="Times New Roman"/>
                <w:sz w:val="18"/>
                <w:szCs w:val="18"/>
                <w:color w:val="auto"/>
              </w:rPr>
              <w:t>F-76</w:t>
            </w:r>
          </w:p>
        </w:tc>
      </w:tr>
    </w:tbl>
    <w:p>
      <w:pPr>
        <w:sectPr>
          <w:pgSz w:w="11900" w:h="16838" w:orient="portrait"/>
          <w:cols w:equalWidth="0" w:num="1">
            <w:col w:w="11120"/>
          </w:cols>
          <w:pgMar w:left="320" w:top="455" w:right="459" w:bottom="1440" w:gutter="0" w:footer="0" w:header="0"/>
        </w:sectPr>
      </w:pPr>
    </w:p>
    <w:bookmarkStart w:id="447" w:name="page448"/>
    <w:bookmarkEnd w:id="4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periods presented (in thousands, except share and per share amounts):</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gridSpan w:val="6"/>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0"/>
        </w:trPr>
        <w:tc>
          <w:tcPr>
            <w:tcW w:w="5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(100,607)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(83,109)</w:t>
            </w: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6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w w:val="96"/>
              </w:rPr>
              <w:t>13,935,769</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12,848,484</w:t>
            </w: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6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(7.22)</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(6.47)</w:t>
            </w:r>
          </w:p>
        </w:tc>
      </w:tr>
      <w:tr>
        <w:trPr>
          <w:trHeight w:val="20"/>
        </w:trPr>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shares from the computation of diluted net loss per share attributable to common stockholders’ during the year ended December 31, 2025, and 2024 because including them would have had an anti-dilutive effect:</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580" w:type="dxa"/>
            <w:vAlign w:val="bottom"/>
            <w:shd w:val="clear" w:color="auto" w:fill="CCEEFF"/>
          </w:tcPr>
          <w:p>
            <w:pPr>
              <w:spacing w:after="0"/>
              <w:rPr>
                <w:sz w:val="18"/>
                <w:szCs w:val="18"/>
                <w:color w:val="auto"/>
              </w:rPr>
            </w:pPr>
          </w:p>
        </w:tc>
        <w:tc>
          <w:tcPr>
            <w:tcW w:w="2780" w:type="dxa"/>
            <w:vAlign w:val="bottom"/>
            <w:gridSpan w:val="5"/>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0"/>
        </w:trPr>
        <w:tc>
          <w:tcPr>
            <w:tcW w:w="558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215,038,192</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215,038,192</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Series A-1 redeemable convertible preferred stock</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22,124</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22,124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38,061,610</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40,628,032</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253,121,926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255,688,348</w:t>
            </w: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entered into individual collaboration and license agreements with Celgene Corporation (“Celgene”) in 2019 and 2020, respectively, and a collaboration agreement with Vertex Pharmaceuticals, Inc. (“Vertex”) in 2021. Both Celgene and Vertex purchased the Company’s Preferred Stock in connection with the collaboration agreements. All performance obligations under the collaboration agreements were satisfied in previous reporting periods. Accordingly, during the years ended December 31, 2025 and 2024, the Company did not recognize related party revenue associated with the collaboration agreements. The Celgene collaboration agreement was terminated in October 2025 and the Celgene license agreement was terminated in November 2025. The Vertex collaboration agreement expired in April 2025. No future revenue associated with these collaboration arrangements will be recognized.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21" w:lineRule="exact"/>
        <w:rPr>
          <w:sz w:val="20"/>
          <w:szCs w:val="20"/>
          <w:color w:val="auto"/>
        </w:rPr>
      </w:pPr>
    </w:p>
    <w:p>
      <w:pPr>
        <w:ind w:left="120" w:right="40" w:firstLine="440"/>
        <w:spacing w:after="0" w:line="209" w:lineRule="auto"/>
        <w:rPr>
          <w:sz w:val="20"/>
          <w:szCs w:val="20"/>
          <w:color w:val="auto"/>
        </w:rPr>
      </w:pPr>
      <w:r>
        <w:rPr>
          <w:rFonts w:ascii="Times New Roman" w:cs="Times New Roman" w:eastAsia="Times New Roman" w:hAnsi="Times New Roman"/>
          <w:sz w:val="18"/>
          <w:szCs w:val="18"/>
          <w:color w:val="auto"/>
        </w:rPr>
        <w:t>The Company operates and manages its business as a single segment, focused on developing engineered cell and gene therapies to deliver transformative outcomes for patients. The Company’s cytoDRiVE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is designed to precisely regulate the timing and level of protein function by using FDA-approved small molecule drugs. The Company’s lead investigational cytoTIL15</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program, OBX-115, is a novel engineered tumor-derived autologous T cell immunotherapy, with the potential to become a treatment option for metastatic melanoma and other solid tumors.</w:t>
      </w:r>
    </w:p>
    <w:p>
      <w:pPr>
        <w:spacing w:after="0" w:line="1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F-77</w:t>
      </w:r>
    </w:p>
    <w:p>
      <w:pPr>
        <w:sectPr>
          <w:pgSz w:w="11900" w:h="16838" w:orient="portrait"/>
          <w:cols w:equalWidth="0" w:num="1">
            <w:col w:w="11100"/>
          </w:cols>
          <w:pgMar w:left="320" w:top="455" w:right="47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determination of a single reporting and operating segment is consistent with the consolidated financial information regularly provided to the Company’s chief operating decision maker (“CODM”). The Company’s Chief Executive Officer (“CEO”), as the CODM, uses consolidated, single-segment financial information for purposes of evaluating performance, making operating decisions, allocating resources, and planning and forecasting for future periods. The CODM assesses performance and decides how to allocate resources based on consolidated net income (loss). This measure is used to monitor budget versus actual results to evaluate the performance of the segment. The CODM reviews cash, cash equivalents and marketable securities as a measure of segment assets. As of December 31, 2025 and 2024, the Company’s cash, cash equivalents and marketable securities were $80.5 million and $168.3 million, respectively.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tables illustrate information about segment revenue, significant segment expenses and segment operating loss for the years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2025 and 2024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40" w:type="dxa"/>
            <w:vAlign w:val="bottom"/>
            <w:gridSpan w:val="7"/>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21,828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24,537</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Drug discovery and platform</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844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Clinical and manufacturing activities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52,065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36,831</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8,037</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82,380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70,249</w:t>
            </w:r>
          </w:p>
        </w:tc>
        <w:tc>
          <w:tcPr>
            <w:tcW w:w="10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8,174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7,912</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4,791</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1,243</w:t>
            </w: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14,356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13,946</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7,060</w:t>
            </w:r>
          </w:p>
        </w:tc>
      </w:tr>
      <w:tr>
        <w:trPr>
          <w:trHeight w:val="216"/>
        </w:trPr>
        <w:tc>
          <w:tcPr>
            <w:tcW w:w="6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(8,146)</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Pr>
          <w:p>
            <w:pPr>
              <w:spacing w:after="0"/>
              <w:rPr>
                <w:sz w:val="19"/>
                <w:szCs w:val="19"/>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(100,607</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(83,109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82" w:lineRule="auto"/>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spacing w:after="0" w:line="67"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 for the years ended December 31, 2025 and 2024 exclude $3.7 million and $2.9 million of stock-based compensation expense, respectively, which is presented separately below.</w:t>
      </w:r>
    </w:p>
    <w:p>
      <w:pPr>
        <w:spacing w:after="0" w:line="67" w:lineRule="exact"/>
        <w:rPr>
          <w:rFonts w:ascii="Times New Roman" w:cs="Times New Roman" w:eastAsia="Times New Roman" w:hAnsi="Times New Roman"/>
          <w:sz w:val="18"/>
          <w:szCs w:val="18"/>
          <w:color w:val="auto"/>
        </w:rPr>
      </w:pPr>
    </w:p>
    <w:p>
      <w:pPr>
        <w:ind w:left="540" w:right="620" w:hanging="424"/>
        <w:spacing w:after="0" w:line="282" w:lineRule="auto"/>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&amp; administrative expense for the years ended December 31, 2025 and 2024 exclude $5.2 million and $4.1 million of stock-based compensation expense, respectively, which is presented separately below.</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interest and other income, net.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April 22, 2026, the date these consolidated financial statements were issued, and determined that there have been no events that have occurred that would require adjustments to the Company’s disclosures in the consolidated financial statements, except for the following:</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060"/>
          </w:cols>
          <w:pgMar w:left="320" w:top="455" w:right="519"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Conversion of Series A-1 Preferred Stock</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February 2026, a holder of the Company’s Series A-1 Preferred Stock delivered a notice electing to convert 7,085,290 shares of its Series A-1 Preferred Stock into an equivalent number of shares of the Company’s common stock on a one-for-one basis, in accordance with the conversion provisions of the Company’s fourth amended and restated certificate of incorporation. The conversion was effective upon the Company’s receipt of the notice and was not subject to any conditions. Following the conversion, 7,085,290 shares of Series A-1 Preferred Stock were cancelled, and an equal number of common shares were issued to such holder.</w:t>
      </w:r>
    </w:p>
    <w:p>
      <w:pPr>
        <w:spacing w:after="0" w:line="1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0980"/>
          </w:cols>
          <w:pgMar w:left="320" w:top="455" w:right="599" w:bottom="1440" w:gutter="0" w:footer="0" w:header="0"/>
        </w:sectPr>
      </w:pPr>
    </w:p>
    <w:bookmarkStart w:id="450" w:name="page451"/>
    <w:bookmarkEnd w:id="4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3"/>
                <w:szCs w:val="13"/>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r>
      <w:tr>
        <w:trPr>
          <w:trHeight w:val="142"/>
        </w:trPr>
        <w:tc>
          <w:tcPr>
            <w:tcW w:w="868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26,439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40,405</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32,317</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40,081</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5,284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w:t>
            </w:r>
          </w:p>
        </w:tc>
      </w:tr>
      <w:tr>
        <w:trPr>
          <w:trHeight w:val="223"/>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64,040</w:t>
            </w:r>
          </w:p>
        </w:tc>
        <w:tc>
          <w:tcPr>
            <w:tcW w:w="6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81,516</w:t>
            </w:r>
          </w:p>
        </w:tc>
        <w:tc>
          <w:tcPr>
            <w:tcW w:w="12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1,572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3,520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1,004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1,004</w:t>
            </w:r>
          </w:p>
        </w:tc>
      </w:tr>
      <w:tr>
        <w:trPr>
          <w:trHeight w:val="223"/>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70,136</w:t>
            </w:r>
          </w:p>
        </w:tc>
        <w:tc>
          <w:tcPr>
            <w:tcW w:w="6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88,580</w:t>
            </w:r>
          </w:p>
        </w:tc>
        <w:tc>
          <w:tcPr>
            <w:tcW w:w="12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11,960</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12,291</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2,522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3,048</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8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15,228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15,362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2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1,074</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6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16,305</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16,589</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aggregate liquidation preference of $329,001 and $337,001 at</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12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330,028</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338,028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6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274,320,131 shares authorized; 21,087,128 and 13,941,901 shares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issued and outstanding as of March 31, 2026 and December 31, 2025, respectively</w:t>
            </w:r>
          </w:p>
        </w:tc>
        <w:tc>
          <w:tcPr>
            <w:tcW w:w="120" w:type="dxa"/>
            <w:vAlign w:val="bottom"/>
          </w:tcPr>
          <w:p>
            <w:pPr>
              <w:spacing w:after="0"/>
              <w:rPr>
                <w:sz w:val="20"/>
                <w:szCs w:val="20"/>
                <w:color w:val="auto"/>
              </w:rPr>
            </w:pPr>
          </w:p>
        </w:tc>
        <w:tc>
          <w:tcPr>
            <w:tcW w:w="12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39,374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29,874</w:t>
            </w:r>
          </w:p>
        </w:tc>
      </w:tr>
      <w:tr>
        <w:trPr>
          <w:trHeight w:val="216"/>
        </w:trPr>
        <w:tc>
          <w:tcPr>
            <w:tcW w:w="8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6"/>
              </w:rPr>
              <w:t>(315,568)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(295,935)</w:t>
            </w: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(276,197)</w:t>
            </w:r>
          </w:p>
        </w:tc>
        <w:tc>
          <w:tcPr>
            <w:tcW w:w="6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(266,037)</w:t>
            </w:r>
          </w:p>
        </w:tc>
        <w:tc>
          <w:tcPr>
            <w:tcW w:w="12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70,136</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88,580</w:t>
            </w:r>
          </w:p>
        </w:tc>
      </w:tr>
      <w:tr>
        <w:trPr>
          <w:trHeight w:val="20"/>
        </w:trPr>
        <w:tc>
          <w:tcPr>
            <w:tcW w:w="8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140"/>
          </w:cols>
          <w:pgMar w:left="320" w:top="455" w:right="439" w:bottom="1440" w:gutter="0" w:footer="0" w:header="0"/>
        </w:sectPr>
      </w:pPr>
    </w:p>
    <w:bookmarkStart w:id="451" w:name="page452"/>
    <w:bookmarkEnd w:id="4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 (UNAUDITED)</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15,732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21,126</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4,548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5,477</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(26,603)</w:t>
            </w:r>
          </w:p>
        </w:tc>
        <w:tc>
          <w:tcPr>
            <w:tcW w:w="0" w:type="dxa"/>
            <w:vAlign w:val="bottom"/>
          </w:tcPr>
          <w:p>
            <w:pPr>
              <w:spacing w:after="0"/>
              <w:rPr>
                <w:sz w:val="1"/>
                <w:szCs w:val="1"/>
                <w:color w:val="auto"/>
              </w:rPr>
            </w:pPr>
          </w:p>
        </w:tc>
      </w:tr>
      <w:tr>
        <w:trPr>
          <w:trHeight w:val="22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647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(24,986)</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(19,633)</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(24,986)</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8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(19,661)</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(24,986)</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8"/>
              </w:rPr>
              <w:t>17,672,957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13,923,383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140"/>
          </w:cols>
          <w:pgMar w:left="320" w:top="455" w:right="439" w:bottom="1440" w:gutter="0" w:footer="0" w:header="0"/>
        </w:sectPr>
      </w:pPr>
    </w:p>
    <w:bookmarkStart w:id="452" w:name="page453"/>
    <w:bookmarkEnd w:id="4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DEFICIT</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DATA)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37"/>
        </w:trPr>
        <w:tc>
          <w:tcPr>
            <w:tcW w:w="3300" w:type="dxa"/>
            <w:vAlign w:val="bottom"/>
          </w:tcPr>
          <w:p>
            <w:pPr>
              <w:spacing w:after="0"/>
              <w:rPr>
                <w:sz w:val="3"/>
                <w:szCs w:val="3"/>
                <w:color w:val="auto"/>
              </w:rPr>
            </w:pPr>
          </w:p>
        </w:tc>
        <w:tc>
          <w:tcPr>
            <w:tcW w:w="1740" w:type="dxa"/>
            <w:vAlign w:val="bottom"/>
            <w:gridSpan w:val="7"/>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3300" w:type="dxa"/>
            <w:vAlign w:val="bottom"/>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14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740" w:type="dxa"/>
            <w:vAlign w:val="bottom"/>
            <w:gridSpan w:val="7"/>
            <w:vMerge w:val="continue"/>
          </w:tcPr>
          <w:p>
            <w:pPr>
              <w:spacing w:after="0"/>
              <w:rPr>
                <w:sz w:val="7"/>
                <w:szCs w:val="7"/>
                <w:color w:val="auto"/>
              </w:rPr>
            </w:pPr>
          </w:p>
        </w:tc>
        <w:tc>
          <w:tcPr>
            <w:tcW w:w="140" w:type="dxa"/>
            <w:vAlign w:val="bottom"/>
            <w:tcBorders>
              <w:lef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300" w:type="dxa"/>
            <w:vAlign w:val="bottom"/>
          </w:tcPr>
          <w:p>
            <w:pPr>
              <w:spacing w:after="0"/>
              <w:rPr>
                <w:sz w:val="5"/>
                <w:szCs w:val="5"/>
                <w:color w:val="auto"/>
              </w:rPr>
            </w:pPr>
          </w:p>
        </w:tc>
        <w:tc>
          <w:tcPr>
            <w:tcW w:w="15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vMerge w:val="restart"/>
          </w:tcPr>
          <w:p>
            <w:pPr>
              <w:spacing w:after="0"/>
              <w:rPr>
                <w:sz w:val="5"/>
                <w:szCs w:val="5"/>
                <w:color w:val="auto"/>
              </w:rPr>
            </w:pPr>
          </w:p>
        </w:tc>
        <w:tc>
          <w:tcPr>
            <w:tcW w:w="140" w:type="dxa"/>
            <w:vAlign w:val="bottom"/>
            <w:tcBorders>
              <w:lef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80" w:type="dxa"/>
            <w:vAlign w:val="bottom"/>
            <w:gridSpan w:val="5"/>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3300" w:type="dxa"/>
            <w:vAlign w:val="bottom"/>
          </w:tcPr>
          <w:p>
            <w:pPr>
              <w:spacing w:after="0"/>
              <w:rPr>
                <w:sz w:val="9"/>
                <w:szCs w:val="9"/>
                <w:color w:val="auto"/>
              </w:rPr>
            </w:pPr>
          </w:p>
        </w:tc>
        <w:tc>
          <w:tcPr>
            <w:tcW w:w="1560" w:type="dxa"/>
            <w:vAlign w:val="bottom"/>
            <w:tcBorders>
              <w:bottom w:val="single" w:sz="8" w:color="auto"/>
            </w:tcBorders>
            <w:gridSpan w:val="6"/>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Borders>
              <w:lef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tcBorders>
              <w:bottom w:val="single" w:sz="8" w:color="auto"/>
            </w:tcBorders>
            <w:gridSpan w:val="5"/>
            <w:vMerge w:val="continue"/>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3"/>
            <w:vMerge w:val="restart"/>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00" w:type="dxa"/>
            <w:vAlign w:val="bottom"/>
          </w:tcPr>
          <w:p>
            <w:pPr>
              <w:spacing w:after="0" w:line="20" w:lineRule="exact"/>
              <w:rPr>
                <w:sz w:val="1"/>
                <w:szCs w:val="1"/>
                <w:color w:val="auto"/>
              </w:rPr>
            </w:pPr>
          </w:p>
        </w:tc>
        <w:tc>
          <w:tcPr>
            <w:tcW w:w="9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line="20" w:lineRule="exact"/>
              <w:rPr>
                <w:sz w:val="1"/>
                <w:szCs w:val="1"/>
                <w:color w:val="auto"/>
              </w:rPr>
            </w:pPr>
          </w:p>
        </w:tc>
        <w:tc>
          <w:tcPr>
            <w:tcW w:w="7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0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80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December 31, 2025</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215,038,192</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$338,028</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left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13,941,901</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29,874</w:t>
            </w: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(295,935)</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(266,037)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lef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of stock options</w:t>
            </w:r>
          </w:p>
        </w:tc>
        <w:tc>
          <w:tcPr>
            <w:tcW w:w="940" w:type="dxa"/>
            <w:vAlign w:val="bottom"/>
            <w:gridSpan w:val="4"/>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1120" w:type="dxa"/>
            <w:vAlign w:val="bottom"/>
            <w:tcBorders>
              <w:left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59,937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3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Borders>
              <w:lef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Conversion of Series A Preferred Stock</w:t>
            </w:r>
          </w:p>
        </w:tc>
        <w:tc>
          <w:tcPr>
            <w:tcW w:w="9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(7,085,290)</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(8,000)</w:t>
            </w:r>
          </w:p>
        </w:tc>
        <w:tc>
          <w:tcPr>
            <w:tcW w:w="1120" w:type="dxa"/>
            <w:vAlign w:val="bottom"/>
            <w:tcBorders>
              <w:left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7,085,290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Unrealized gain (loss) on marketable</w:t>
            </w: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lef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Borders>
              <w:right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securities</w:t>
            </w:r>
          </w:p>
        </w:tc>
        <w:tc>
          <w:tcPr>
            <w:tcW w:w="940" w:type="dxa"/>
            <w:vAlign w:val="bottom"/>
            <w:gridSpan w:val="4"/>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Borders>
              <w:left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ind w:left="580"/>
              <w:spacing w:after="0"/>
              <w:rPr>
                <w:sz w:val="20"/>
                <w:szCs w:val="20"/>
                <w:color w:val="auto"/>
              </w:rPr>
            </w:pPr>
            <w:r>
              <w:rPr>
                <w:rFonts w:ascii="Times New Roman" w:cs="Times New Roman" w:eastAsia="Times New Roman" w:hAnsi="Times New Roman"/>
                <w:sz w:val="16"/>
                <w:szCs w:val="16"/>
                <w:color w:val="auto"/>
                <w:w w:val="91"/>
              </w:rPr>
              <w:t>— </w:t>
            </w:r>
          </w:p>
        </w:tc>
        <w:tc>
          <w:tcPr>
            <w:tcW w:w="1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6"/>
                <w:szCs w:val="16"/>
                <w:color w:val="auto"/>
                <w:w w:val="91"/>
              </w:rPr>
              <w:t>— 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(19,633)</w:t>
            </w:r>
          </w:p>
        </w:tc>
        <w:tc>
          <w:tcPr>
            <w:tcW w:w="16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(19,633)</w:t>
            </w:r>
          </w:p>
        </w:tc>
        <w:tc>
          <w:tcPr>
            <w:tcW w:w="0" w:type="dxa"/>
            <w:vAlign w:val="bottom"/>
          </w:tcPr>
          <w:p>
            <w:pPr>
              <w:spacing w:after="0"/>
              <w:rPr>
                <w:sz w:val="1"/>
                <w:szCs w:val="1"/>
                <w:color w:val="auto"/>
              </w:rPr>
            </w:pPr>
          </w:p>
        </w:tc>
      </w:tr>
      <w:tr>
        <w:trPr>
          <w:trHeight w:val="27"/>
        </w:trPr>
        <w:tc>
          <w:tcPr>
            <w:tcW w:w="3300" w:type="dxa"/>
            <w:vAlign w:val="bottom"/>
            <w:tcBorders>
              <w:righ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March 31, 2026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207,952,902</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330,028</w:t>
            </w:r>
          </w:p>
        </w:tc>
        <w:tc>
          <w:tcPr>
            <w:tcW w:w="1120" w:type="dxa"/>
            <w:vAlign w:val="bottom"/>
            <w:tcBorders>
              <w:left w:val="single" w:sz="8" w:color="auto"/>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21,087,128</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39,374</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(315,568)</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(276,197)</w:t>
            </w:r>
          </w:p>
        </w:tc>
        <w:tc>
          <w:tcPr>
            <w:tcW w:w="0" w:type="dxa"/>
            <w:vAlign w:val="bottom"/>
          </w:tcPr>
          <w:p>
            <w:pPr>
              <w:spacing w:after="0"/>
              <w:rPr>
                <w:sz w:val="1"/>
                <w:szCs w:val="1"/>
                <w:color w:val="auto"/>
              </w:rPr>
            </w:pPr>
          </w:p>
        </w:tc>
      </w:tr>
      <w:tr>
        <w:trPr>
          <w:trHeight w:val="40"/>
        </w:trPr>
        <w:tc>
          <w:tcPr>
            <w:tcW w:w="3300" w:type="dxa"/>
            <w:vAlign w:val="bottom"/>
          </w:tcPr>
          <w:p>
            <w:pPr>
              <w:spacing w:after="0"/>
              <w:rPr>
                <w:sz w:val="3"/>
                <w:szCs w:val="3"/>
                <w:color w:val="auto"/>
              </w:rPr>
            </w:pPr>
          </w:p>
        </w:tc>
        <w:tc>
          <w:tcPr>
            <w:tcW w:w="82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lef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960" w:type="dxa"/>
            <w:vAlign w:val="bottom"/>
            <w:tcBorders>
              <w:top w:val="single" w:sz="8" w:color="auto"/>
              <w:bottom w:val="single" w:sz="8" w:color="auto"/>
            </w:tcBorders>
            <w:gridSpan w:val="2"/>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3300" w:type="dxa"/>
            <w:vAlign w:val="bottom"/>
          </w:tcPr>
          <w:p>
            <w:pPr>
              <w:spacing w:after="0"/>
              <w:rPr>
                <w:sz w:val="18"/>
                <w:szCs w:val="18"/>
                <w:color w:val="auto"/>
              </w:rPr>
            </w:pPr>
          </w:p>
        </w:tc>
        <w:tc>
          <w:tcPr>
            <w:tcW w:w="1740" w:type="dxa"/>
            <w:vAlign w:val="bottom"/>
            <w:gridSpan w:val="7"/>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300" w:type="dxa"/>
            <w:vAlign w:val="bottom"/>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3300" w:type="dxa"/>
            <w:vAlign w:val="bottom"/>
          </w:tcPr>
          <w:p>
            <w:pPr>
              <w:spacing w:after="0"/>
              <w:rPr>
                <w:sz w:val="7"/>
                <w:szCs w:val="7"/>
                <w:color w:val="auto"/>
              </w:rPr>
            </w:pPr>
          </w:p>
        </w:tc>
        <w:tc>
          <w:tcPr>
            <w:tcW w:w="1740" w:type="dxa"/>
            <w:vAlign w:val="bottom"/>
            <w:gridSpan w:val="7"/>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gridSpan w:val="3"/>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gridSpan w:val="2"/>
            <w:vMerge w:val="restart"/>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gridSpan w:val="2"/>
            <w:vMerge w:val="restart"/>
          </w:tcPr>
          <w:p>
            <w:pPr>
              <w:jc w:val="center"/>
              <w:ind w:right="179"/>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300" w:type="dxa"/>
            <w:vAlign w:val="bottom"/>
          </w:tcPr>
          <w:p>
            <w:pPr>
              <w:spacing w:after="0"/>
              <w:rPr>
                <w:sz w:val="5"/>
                <w:szCs w:val="5"/>
                <w:color w:val="auto"/>
              </w:rPr>
            </w:pPr>
          </w:p>
        </w:tc>
        <w:tc>
          <w:tcPr>
            <w:tcW w:w="156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3300" w:type="dxa"/>
            <w:vAlign w:val="bottom"/>
          </w:tcPr>
          <w:p>
            <w:pPr>
              <w:spacing w:after="0"/>
              <w:rPr>
                <w:sz w:val="9"/>
                <w:szCs w:val="9"/>
                <w:color w:val="auto"/>
              </w:rPr>
            </w:pPr>
          </w:p>
        </w:tc>
        <w:tc>
          <w:tcPr>
            <w:tcW w:w="1560" w:type="dxa"/>
            <w:vAlign w:val="bottom"/>
            <w:tcBorders>
              <w:bottom w:val="single" w:sz="8" w:color="auto"/>
            </w:tcBorders>
            <w:gridSpan w:val="6"/>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gridSpan w:val="4"/>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2"/>
            <w:vMerge w:val="restart"/>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80" w:type="dxa"/>
            <w:vAlign w:val="bottom"/>
          </w:tcPr>
          <w:p>
            <w:pPr>
              <w:spacing w:after="0"/>
              <w:rPr>
                <w:sz w:val="9"/>
                <w:szCs w:val="9"/>
                <w:color w:val="auto"/>
              </w:rPr>
            </w:pPr>
          </w:p>
        </w:tc>
        <w:tc>
          <w:tcPr>
            <w:tcW w:w="114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9"/>
                <w:szCs w:val="9"/>
                <w:color w:val="auto"/>
              </w:rPr>
            </w:pPr>
          </w:p>
        </w:tc>
        <w:tc>
          <w:tcPr>
            <w:tcW w:w="108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300" w:type="dxa"/>
            <w:vAlign w:val="bottom"/>
          </w:tcPr>
          <w:p>
            <w:pPr>
              <w:spacing w:after="0" w:line="20" w:lineRule="exact"/>
              <w:rPr>
                <w:sz w:val="1"/>
                <w:szCs w:val="1"/>
                <w:color w:val="auto"/>
              </w:rPr>
            </w:pPr>
          </w:p>
        </w:tc>
        <w:tc>
          <w:tcPr>
            <w:tcW w:w="94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 w:type="dxa"/>
            <w:vAlign w:val="bottom"/>
          </w:tcPr>
          <w:p>
            <w:pPr>
              <w:spacing w:after="0" w:line="20" w:lineRule="exact"/>
              <w:rPr>
                <w:sz w:val="1"/>
                <w:szCs w:val="1"/>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4"/>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4"/>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300" w:type="dxa"/>
            <w:vAlign w:val="bottom"/>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5"/>
                <w:szCs w:val="15"/>
                <w:color w:val="auto"/>
              </w:rPr>
            </w:pPr>
          </w:p>
        </w:tc>
        <w:tc>
          <w:tcPr>
            <w:tcW w:w="800" w:type="dxa"/>
            <w:vAlign w:val="bottom"/>
            <w:gridSpan w:val="2"/>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330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December 31, 2024</w:t>
            </w:r>
          </w:p>
        </w:tc>
        <w:tc>
          <w:tcPr>
            <w:tcW w:w="86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9"/>
              </w:rPr>
              <w:t>215,038,192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$338,028</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8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13,921,755</w:t>
            </w: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20,923</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right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w w:val="82"/>
              </w:rPr>
              <w:t>(27)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(195,328)</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(174,431)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of stock options</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17,611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3"/>
              </w:rPr>
              <w:t>— 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3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3"/>
              </w:rPr>
              <w:t>— </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2,110</w:t>
            </w:r>
          </w:p>
        </w:tc>
        <w:tc>
          <w:tcPr>
            <w:tcW w:w="0" w:type="dxa"/>
            <w:vAlign w:val="bottom"/>
          </w:tcPr>
          <w:p>
            <w:pPr>
              <w:spacing w:after="0"/>
              <w:rPr>
                <w:sz w:val="1"/>
                <w:szCs w:val="1"/>
                <w:color w:val="auto"/>
              </w:rPr>
            </w:pPr>
          </w:p>
        </w:tc>
      </w:tr>
      <w:tr>
        <w:trPr>
          <w:trHeight w:val="189"/>
        </w:trPr>
        <w:tc>
          <w:tcPr>
            <w:tcW w:w="33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Unrealized gain (loss) on marketable</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securities</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3"/>
              </w:rPr>
              <w:t>— </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18"/>
                <w:szCs w:val="18"/>
                <w:color w:val="auto"/>
              </w:rPr>
            </w:pPr>
          </w:p>
        </w:tc>
        <w:tc>
          <w:tcPr>
            <w:tcW w:w="8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5"/>
        </w:trPr>
        <w:tc>
          <w:tcPr>
            <w:tcW w:w="330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2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Borders>
              <w:left w:val="single" w:sz="8" w:color="CCEEFF"/>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— </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3"/>
              </w:rPr>
              <w:t>— </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(24,986)</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(24,986)</w:t>
            </w:r>
          </w:p>
        </w:tc>
        <w:tc>
          <w:tcPr>
            <w:tcW w:w="0" w:type="dxa"/>
            <w:vAlign w:val="bottom"/>
          </w:tcPr>
          <w:p>
            <w:pPr>
              <w:spacing w:after="0"/>
              <w:rPr>
                <w:sz w:val="1"/>
                <w:szCs w:val="1"/>
                <w:color w:val="auto"/>
              </w:rPr>
            </w:pPr>
          </w:p>
        </w:tc>
      </w:tr>
      <w:tr>
        <w:trPr>
          <w:trHeight w:val="207"/>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2025</w:t>
            </w:r>
          </w:p>
        </w:tc>
        <w:tc>
          <w:tcPr>
            <w:tcW w:w="86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color w:val="auto"/>
                <w:w w:val="99"/>
              </w:rPr>
              <w:t>215,038,192</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338,028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13,939,366</w:t>
            </w: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23,039</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w w:val="82"/>
              </w:rPr>
              <w:t>(27)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(220,314</w:t>
            </w:r>
          </w:p>
        </w:tc>
        <w:tc>
          <w:tcPr>
            <w:tcW w:w="240" w:type="dxa"/>
            <w:vAlign w:val="bottom"/>
          </w:tcPr>
          <w:p>
            <w:pPr>
              <w:jc w:val="right"/>
              <w:ind w:right="160"/>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(197,301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140"/>
          </w:cols>
          <w:pgMar w:left="320" w:top="455" w:right="439" w:bottom="1440" w:gutter="0" w:footer="0" w:header="0"/>
        </w:sectPr>
      </w:pPr>
    </w:p>
    <w:bookmarkStart w:id="453" w:name="page454"/>
    <w:bookmarkEnd w:id="4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(UNAUDITED)</w:t>
      </w:r>
    </w:p>
    <w:p>
      <w:pPr>
        <w:spacing w:after="0" w:line="227" w:lineRule="exact"/>
        <w:rPr>
          <w:sz w:val="20"/>
          <w:szCs w:val="20"/>
          <w:color w:val="auto"/>
        </w:rPr>
      </w:pP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1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9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2"/>
                <w:szCs w:val="12"/>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w w:val="99"/>
              </w:rPr>
              <w:t>$(19,633)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$(24,986)</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340</w:t>
            </w:r>
          </w:p>
        </w:tc>
        <w:tc>
          <w:tcPr>
            <w:tcW w:w="3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1,454</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2,110</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Accretion of discount on marketable securities</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(264)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(874)</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(4,254)</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2,232</w:t>
            </w:r>
          </w:p>
        </w:tc>
      </w:tr>
      <w:tr>
        <w:trPr>
          <w:trHeight w:val="216"/>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726</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(1,880)</w:t>
            </w:r>
          </w:p>
        </w:tc>
      </w:tr>
      <w:tr>
        <w:trPr>
          <w:trHeight w:val="216"/>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(22,013)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(24,368)</w:t>
            </w:r>
          </w:p>
        </w:tc>
      </w:tr>
      <w:tr>
        <w:trPr>
          <w:trHeight w:val="223"/>
        </w:trPr>
        <w:tc>
          <w:tcPr>
            <w:tcW w:w="9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 w:type="dxa"/>
            <w:vAlign w:val="bottom"/>
          </w:tcPr>
          <w:p>
            <w:pPr>
              <w:spacing w:after="0"/>
              <w:rPr>
                <w:sz w:val="18"/>
                <w:szCs w:val="18"/>
                <w:color w:val="auto"/>
              </w:rPr>
            </w:pPr>
          </w:p>
        </w:tc>
        <w:tc>
          <w:tcPr>
            <w:tcW w:w="9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(22,442)</w:t>
            </w: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36,000</w:t>
            </w:r>
          </w:p>
        </w:tc>
      </w:tr>
      <w:tr>
        <w:trPr>
          <w:trHeight w:val="230"/>
        </w:trPr>
        <w:tc>
          <w:tcPr>
            <w:tcW w:w="9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13,502</w:t>
            </w:r>
          </w:p>
        </w:tc>
        <w:tc>
          <w:tcPr>
            <w:tcW w:w="120" w:type="dxa"/>
            <w:vAlign w:val="bottom"/>
          </w:tcPr>
          <w:p>
            <w:pPr>
              <w:spacing w:after="0"/>
              <w:rPr>
                <w:sz w:val="20"/>
                <w:szCs w:val="20"/>
                <w:color w:val="auto"/>
              </w:rPr>
            </w:pPr>
          </w:p>
        </w:tc>
      </w:tr>
      <w:tr>
        <w:trPr>
          <w:trHeight w:val="216"/>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(10,860)</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period</w:t>
            </w: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41,409</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50,765</w:t>
            </w:r>
          </w:p>
        </w:tc>
      </w:tr>
      <w:tr>
        <w:trPr>
          <w:trHeight w:val="223"/>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 and restricted cash at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$ 27,443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$ 39,905</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140"/>
          </w:cols>
          <w:pgMar w:left="320" w:top="455" w:right="439" w:bottom="1440" w:gutter="0" w:footer="0" w:header="0"/>
        </w:sectPr>
      </w:pPr>
    </w:p>
    <w:bookmarkStart w:id="454" w:name="page455"/>
    <w:bookmarkEnd w:id="4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ind w:left="120" w:right="20" w:firstLine="440"/>
        <w:spacing w:after="0" w:line="221" w:lineRule="auto"/>
        <w:rPr>
          <w:sz w:val="20"/>
          <w:szCs w:val="20"/>
          <w:color w:val="auto"/>
        </w:rPr>
      </w:pPr>
      <w:r>
        <w:rPr>
          <w:rFonts w:ascii="Times New Roman" w:cs="Times New Roman" w:eastAsia="Times New Roman" w:hAnsi="Times New Roman"/>
          <w:sz w:val="18"/>
          <w:szCs w:val="18"/>
          <w:color w:val="auto"/>
        </w:rPr>
        <w:t>Obsidian Therapeutics, Inc. (the “Company”) is a clinical-stage biopharmaceutical company harnessing novel protein-regulation technology to develop engineered tumor infiltrating lymphocytes (“TIL”) cell therapies for the treatment of patients with solid tumors. The Company’s proprietary cytoDRiVE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platform is highly versatile and allows it to leverage drug responsive domains to control protein function, with its initial focus on TIL cell therapies developed from this platform (“cytoTILs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Company’s lead product candidate, OBX-115, is a novel, genetically engineered, autologous TIL cell therapy currently in a Phase 2 clinical trial for the treatment of advanced melanoma and a Phase 1 clinical trial for the treatment of non-small cell lung cancer.</w:t>
      </w:r>
    </w:p>
    <w:p>
      <w:pPr>
        <w:spacing w:after="0" w:line="199"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was incorporated in 2015 under the laws of the State of Delaware, and its principal offices are in Cambridge, Massachusetts. Since its inception, the Company has devoted substantially all its efforts to raising capital, obtaining financing, and incurring research and development costs related to advancing its scientific platform.</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subsidiary, Obsidian Therapeutics Securities Corporation. All intercompany balances and transactions have been eliminated.</w:t>
      </w:r>
    </w:p>
    <w:p>
      <w:pPr>
        <w:spacing w:after="0" w:line="162"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Company is subject to risks and uncertainties common to early-stage companies in the biotechnology industry, including, but not limited to, development by competitors of new technological innovations, dependence on key personnel, protection of proprietary technology, compliance with government regulations, and ability to secure additional capital to fund operations. Product candidates currently under development will likely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and consultants. Even if the Company’s product development efforts are successful, it is uncertain when, if ever, the Company will generate significant revenue from product sales.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whether there are conditions and events, considered in the aggregate, that raise substantial doubt about the Company’s ability to continue as a going concern for at least one year after the issuance of these condensed consolidated financial statements. As a result of this evaluation, substantial doubt about the Company’s ability to continue as a going concern exists.</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has a history of operating losses and negative cash flows from operations and expects to continue generating losses as it advances its research and development programs. As of March 31, 2026 the Company had cash, cash equivalents, and marketable securities of $58.8 million and an accumulated deficit of $315.6 million. Net cash used in operating activities was $22.0 million and $24.4 million for three months ended March 31, 2026 and 2025, respectively. The Company expects to incur additional losses and negative cash flows from operations over the next several years as the product candidates currently under development will require significant additional research and clinical development efforts prior to commercialization. Based on the Company’s accumulated deficit, current and future expected losses, and current cash flow projections, which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120"/>
          </w:cols>
          <w:pgMar w:left="320" w:top="455" w:right="459" w:bottom="1440" w:gutter="0" w:footer="0" w:header="0"/>
        </w:sectPr>
      </w:pPr>
    </w:p>
    <w:bookmarkStart w:id="455" w:name="page456"/>
    <w:bookmarkEnd w:id="4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exclude any new capital raising activities, management determined that the Company does not have adequate financial resources to fund its forecasted operating costs for at least one year after the issuance date of these condensed consolidated financial statements.</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On April 14, 2026, the Company entered into a definitive merger agreement with Galera Therapeutics, Inc. (“Galera”), pursuant to which both companies are expected to become wholly owned subsidiaries of a newly formed holding company. In connection with the proposed merger, the Company and Galera announced commitments for a private placement financing with expected gross proceeds of approximately $350.0 million (less any proceeds received by the Company in connection with a Permitted Obsidian Bridge Financing), prior to the closing of the mergers.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completion of the merger and the related private placement financing are subject to a number of conditions outside the Company’s control, including regulatory approvals, effectiveness of the applicable registration statement, approval by Galera stockholders, and satisfaction of other customary closing conditions. As of the date these condensed consolidated financial statements are issued, those approvals have not been obtained and the transactions have not been consummated.</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Although management believes that the merger and private placement financing, if completed, would provide sufficient liquidity to fund the combined company’s operations beyond the one-year look-forward period, management cannot conclude that the completion of these transactions is probable as of the financial statement issuance date, as their successful execution depends on approvals and actions by third parties that are outside of management’s control.</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Accordingly, management has concluded that substantial doubt exists about the Company’s ability to continue as a going concern within one year after the date that these condensed consolidated financial statements are issued. The condensed consolidated financial statements do not include any adjustments that might result from the outcome of this uncertainty.</w:t>
      </w:r>
    </w:p>
    <w:p>
      <w:pPr>
        <w:spacing w:after="0" w:line="280" w:lineRule="exact"/>
        <w:rPr>
          <w:sz w:val="20"/>
          <w:szCs w:val="20"/>
          <w:color w:val="auto"/>
        </w:rPr>
      </w:pPr>
    </w:p>
    <w:p>
      <w:pPr>
        <w:ind w:left="120" w:right="7360" w:hanging="4"/>
        <w:spacing w:after="0" w:line="377" w:lineRule="auto"/>
        <w:tabs>
          <w:tab w:leader="none" w:pos="300" w:val="left"/>
        </w:tabs>
        <w:numPr>
          <w:ilvl w:val="0"/>
          <w:numId w:val="2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ind w:left="120" w:right="40" w:firstLine="440"/>
        <w:spacing w:after="0" w:line="273"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have been prepared in conformity with accounting principles generally accepted in the United States of America, or GAAP. In our opinion, the information furnished reflects all adjustments, all of which are of a normal and recurring nature, necessary for a fair presentation of the financial position and results of operations for the reported interim periods. We consider events or transactions that occur after the balance sheet date but before the condensed consolidated financial statements are issued to provide additional evidence relative to certain estimates or to identify matters that require additional disclosure. The results of operations for interim periods are not necessarily indicative of results to be expected for the full year or any other interim period. These unaudited interim condensed consolidated financial statements should be read in conjunction with the consolidated financial statements, including the related notes thereto, for the year ended December 31, 2025.</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changes to the Company’s significant accounting policies during the three months ended March 31, 2026 other than noted below.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Deferred Costs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capitalizes legal, accounting, and other professional fees directly related to anticipated equity offerings and the proposed reverse merger transaction, which are recorded within Prepaid expenses and other current assets on the condensed consolidated balance sheets and will be expensed or charged against additional paid-in capital, as applicable, upon consummation of the transaction, with such costs expensed as incurred if the transaction is not completed.</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040"/>
          </w:cols>
          <w:pgMar w:left="320" w:top="455" w:right="539" w:bottom="1440" w:gutter="0" w:footer="0" w:header="0"/>
        </w:sectPr>
      </w:pPr>
    </w:p>
    <w:bookmarkStart w:id="456" w:name="page457"/>
    <w:bookmarkEnd w:id="4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 Not Yet Adopted</w:t>
      </w:r>
    </w:p>
    <w:p>
      <w:pPr>
        <w:spacing w:after="0" w:line="11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requires public business entities to disclose specified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about certain costs and expenses on an interim and annual basis. ASU 2024-03 is effective for annual reporting periods beginning after December 15, 2026, and interim reporting periods beginning after December 15, 2027, with early adoption permitted. The Company is currently evaluating the impact that adoption of ASU 2024-03 will have on its consolidated financial statements and related disclosures.</w:t>
      </w:r>
    </w:p>
    <w:p>
      <w:pPr>
        <w:spacing w:after="0" w:line="18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(“ASU”) No. 2025-12, Codification Improvements, which includes amendments to Accounting Standards Codification (“ASC”) 260, Earnings Per Share. The amendments clarify guidance related to the calculation of diluted earnings per share when an entity reports a loss from continuing operations, including the evaluation of the effect of potential common shares. ASU 2025-12 is effective for annual reporting periods beginning after December 15, 2026, and interim reporting periods within those annual periods, and are required to be applied retrospectively. Early adoption is permitted. The Company is currently evaluating the impact of ASU 2025-12 on its consolidated financial statements and related disclosures.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Financial Instruments and Fair Value Measurements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and indicate the level of the fair value hierarchy used to determine such fair values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20" w:type="dxa"/>
            <w:vAlign w:val="bottom"/>
            <w:gridSpan w:val="13"/>
          </w:tcPr>
          <w:p>
            <w:pPr>
              <w:ind w:left="32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25,939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25,939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32,317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32,317</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25,939</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32,317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58,256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2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20" w:type="dxa"/>
            <w:vAlign w:val="bottom"/>
            <w:gridSpan w:val="13"/>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4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820" w:type="dxa"/>
            <w:vAlign w:val="bottom"/>
            <w:tcBorders>
              <w:top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2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39,905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39,905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40,081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40,081</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39,905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40,081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79,986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warrant liability</w:t>
            </w:r>
          </w:p>
        </w:tc>
        <w:tc>
          <w:tcPr>
            <w:tcW w:w="2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transfers between Level 1, Level 2 and Level 3 categories during the three months ended March 31, 2026.</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140"/>
          </w:cols>
          <w:pgMar w:left="320" w:top="455" w:right="439" w:bottom="1440" w:gutter="0" w:footer="0" w:header="0"/>
        </w:sectPr>
      </w:pPr>
    </w:p>
    <w:bookmarkStart w:id="457" w:name="page458"/>
    <w:bookmarkEnd w:id="4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 to Purchase Redeemable Convertible Preferred Stock Subject to Conditional Redemption</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terms, classification, or accounting for the Company’s warrants to purchase redeemable convertible preferred stock subject to conditional redemption during the three months ended March 31, 2026 and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121" w:lineRule="exact"/>
        <w:rPr>
          <w:sz w:val="20"/>
          <w:szCs w:val="20"/>
          <w:color w:val="auto"/>
        </w:rPr>
      </w:pPr>
    </w:p>
    <w:p>
      <w:pPr>
        <w:jc w:val="both"/>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summarizes the Company’s cash, cash equivalents and marketable securities as of March 31, 2026 and December 31, 2025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11"/>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2026</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Amortized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1"/>
              </w:rPr>
              <w:t>Unrealized</w:t>
            </w:r>
          </w:p>
        </w:tc>
        <w:tc>
          <w:tcPr>
            <w:tcW w:w="240" w:type="dxa"/>
            <w:vAlign w:val="bottom"/>
          </w:tcPr>
          <w:p>
            <w:pPr>
              <w:spacing w:after="0"/>
              <w:rPr>
                <w:sz w:val="12"/>
                <w:szCs w:val="12"/>
                <w:color w:val="auto"/>
              </w:rPr>
            </w:pPr>
          </w:p>
        </w:tc>
        <w:tc>
          <w:tcPr>
            <w:tcW w:w="900" w:type="dxa"/>
            <w:vAlign w:val="bottom"/>
            <w:gridSpan w:val="3"/>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1"/>
              </w:rPr>
              <w:t>Unrealized</w:t>
            </w: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$ 26,439</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1"/>
              </w:rPr>
              <w:t>— </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4"/>
                <w:szCs w:val="4"/>
                <w:color w:val="auto"/>
                <w:w w:val="97"/>
              </w:rPr>
              <w:t>$</w:t>
            </w:r>
          </w:p>
        </w:tc>
        <w:tc>
          <w:tcPr>
            <w:tcW w:w="5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1"/>
              </w:rPr>
              <w:t>— </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— </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$26,439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32,317</w:t>
            </w:r>
          </w:p>
        </w:tc>
        <w:tc>
          <w:tcPr>
            <w:tcW w:w="0" w:type="dxa"/>
            <w:vAlign w:val="bottom"/>
          </w:tcPr>
          <w:p>
            <w:pPr>
              <w:spacing w:after="0"/>
              <w:rPr>
                <w:sz w:val="1"/>
                <w:szCs w:val="1"/>
                <w:color w:val="auto"/>
              </w:rPr>
            </w:pPr>
          </w:p>
        </w:tc>
      </w:tr>
      <w:tr>
        <w:trPr>
          <w:trHeight w:val="27"/>
        </w:trPr>
        <w:tc>
          <w:tcPr>
            <w:tcW w:w="6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$ 58,761</w:t>
            </w:r>
          </w:p>
        </w:tc>
        <w:tc>
          <w:tcPr>
            <w:tcW w:w="18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xml:space="preserve">$ —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58,756</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reported:</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$ 26,439</w:t>
            </w:r>
          </w:p>
        </w:tc>
        <w:tc>
          <w:tcPr>
            <w:tcW w:w="18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$26,439</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32,317</w:t>
            </w:r>
          </w:p>
        </w:tc>
        <w:tc>
          <w:tcPr>
            <w:tcW w:w="0" w:type="dxa"/>
            <w:vAlign w:val="bottom"/>
          </w:tcPr>
          <w:p>
            <w:pPr>
              <w:spacing w:after="0"/>
              <w:rPr>
                <w:sz w:val="1"/>
                <w:szCs w:val="1"/>
                <w:color w:val="auto"/>
              </w:rPr>
            </w:pPr>
          </w:p>
        </w:tc>
      </w:tr>
      <w:tr>
        <w:trPr>
          <w:trHeight w:val="27"/>
        </w:trPr>
        <w:tc>
          <w:tcPr>
            <w:tcW w:w="61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$ 58,761</w:t>
            </w:r>
          </w:p>
        </w:tc>
        <w:tc>
          <w:tcPr>
            <w:tcW w:w="180" w:type="dxa"/>
            <w:vAlign w:val="bottom"/>
            <w:tcBorders>
              <w:lef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xml:space="preserve">$ —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58,756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1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11"/>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160" w:type="dxa"/>
            <w:vAlign w:val="bottom"/>
          </w:tcPr>
          <w:p>
            <w:pPr>
              <w:spacing w:after="0"/>
              <w:rPr>
                <w:sz w:val="10"/>
                <w:szCs w:val="10"/>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0"/>
                <w:szCs w:val="10"/>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Credit</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40" w:type="dxa"/>
            <w:vAlign w:val="bottom"/>
          </w:tcPr>
          <w:p>
            <w:pPr>
              <w:spacing w:after="0"/>
              <w:rPr>
                <w:sz w:val="12"/>
                <w:szCs w:val="12"/>
                <w:color w:val="auto"/>
              </w:rPr>
            </w:pPr>
          </w:p>
        </w:tc>
        <w:tc>
          <w:tcPr>
            <w:tcW w:w="9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616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$ 40,405</w:t>
            </w:r>
          </w:p>
        </w:tc>
        <w:tc>
          <w:tcPr>
            <w:tcW w:w="180" w:type="dxa"/>
            <w:vAlign w:val="bottom"/>
            <w:tcBorders>
              <w:top w:val="single" w:sz="8" w:color="CCEEFF"/>
              <w:left w:val="single" w:sz="8" w:color="CCEEFF"/>
            </w:tcBorders>
            <w:shd w:val="clear" w:color="auto" w:fill="CCEEFF"/>
          </w:tcPr>
          <w:p>
            <w:pPr>
              <w:spacing w:after="0"/>
              <w:rPr>
                <w:sz w:val="18"/>
                <w:szCs w:val="18"/>
                <w:color w:val="auto"/>
              </w:rPr>
            </w:pPr>
          </w:p>
        </w:tc>
        <w:tc>
          <w:tcPr>
            <w:tcW w:w="3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3"/>
              </w:rPr>
              <w:t>$ — </w:t>
            </w:r>
          </w:p>
        </w:tc>
        <w:tc>
          <w:tcPr>
            <w:tcW w:w="4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$40,405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40,081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$ 80,463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xml:space="preserve">$ —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80,486</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 reported:</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$ 40,405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$40,405</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40,081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$ 80,463</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 xml:space="preserve">$ — </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80,486</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None of the Company’s available-for-sale marketable securities had remaining maturities longer than one year as of March 31, 2026 and December 31, 2025.</w:t>
      </w:r>
    </w:p>
    <w:p>
      <w:pPr>
        <w:spacing w:after="0" w:line="16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held certain securities that were in an unrealized loss position of $5 thousand. The Company has the intent and ability to hold such securities until recovery. As a result, the Company did not record any charges for credit-related impairments for its marketable debt securities for the three months ended March 31, 2026.</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140"/>
          </w:cols>
          <w:pgMar w:left="320" w:top="455" w:right="43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Accrued Expenses and Other Current Liabilities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94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CCEEFF"/>
            </w:tcBorders>
          </w:tcPr>
          <w:p>
            <w:pPr>
              <w:spacing w:after="0"/>
              <w:rPr>
                <w:sz w:val="15"/>
                <w:szCs w:val="15"/>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40" w:type="dxa"/>
            <w:vAlign w:val="bottom"/>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6,602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6,361</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2,146</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685</w:t>
            </w: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40" w:type="dxa"/>
            <w:vAlign w:val="bottom"/>
          </w:tcPr>
          <w:p>
            <w:pPr>
              <w:spacing w:after="0"/>
              <w:rPr>
                <w:sz w:val="19"/>
                <w:szCs w:val="19"/>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0" w:type="dxa"/>
            <w:vAlign w:val="bottom"/>
            <w:gridSpan w:val="2"/>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11,960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12,291</w:t>
            </w:r>
          </w:p>
        </w:tc>
      </w:tr>
      <w:tr>
        <w:trPr>
          <w:trHeight w:val="20"/>
        </w:trPr>
        <w:tc>
          <w:tcPr>
            <w:tcW w:w="4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Redeemable Convertible Preferred Stock</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February 2026, Takeda Ventures, Inc., elected to convert 7,085,290 shares of Series A-1 Preferred Stock into Common Stock, at the conversion price of $1.1291.</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March 31, 2026 and December 31, 2025, the Preferred Stock is summarized below (in thousands, except share amounts):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9"/>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Amounts at March 31, 2026</w:t>
            </w:r>
          </w:p>
        </w:tc>
        <w:tc>
          <w:tcPr>
            <w:tcW w:w="11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13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Total Shares</w:t>
            </w:r>
          </w:p>
        </w:tc>
        <w:tc>
          <w:tcPr>
            <w:tcW w:w="10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Shares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33,222,339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26,114,925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29,486</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26,114,925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14,936,323</w:t>
            </w:r>
          </w:p>
        </w:tc>
        <w:tc>
          <w:tcPr>
            <w:tcW w:w="2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14,936,323</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14,936</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14,936,323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 Preferred Stock</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6,146,592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6,146,592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9,035</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6,146,592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76,187,917</w:t>
            </w:r>
          </w:p>
        </w:tc>
        <w:tc>
          <w:tcPr>
            <w:tcW w:w="2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76,187,917</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114,732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115,044</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76,187,917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84,567,145</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84,567,145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159,968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160,500</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84,567,145</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215,060,316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207,952,902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329,001</w:t>
            </w:r>
          </w:p>
        </w:tc>
        <w:tc>
          <w:tcPr>
            <w:tcW w:w="2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207,952,902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9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Amounts at December 31, 2025</w:t>
            </w: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940" w:type="dxa"/>
            <w:vAlign w:val="bottom"/>
          </w:tcPr>
          <w:p>
            <w:pPr>
              <w:spacing w:after="0"/>
              <w:rPr>
                <w:sz w:val="10"/>
                <w:szCs w:val="10"/>
                <w:color w:val="auto"/>
              </w:rPr>
            </w:pPr>
          </w:p>
        </w:tc>
        <w:tc>
          <w:tcPr>
            <w:tcW w:w="13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 Shares</w:t>
            </w:r>
          </w:p>
        </w:tc>
        <w:tc>
          <w:tcPr>
            <w:tcW w:w="13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Total Shares</w:t>
            </w:r>
          </w:p>
        </w:tc>
        <w:tc>
          <w:tcPr>
            <w:tcW w:w="10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0"/>
                <w:szCs w:val="10"/>
                <w:color w:val="auto"/>
              </w:rPr>
            </w:pPr>
          </w:p>
        </w:tc>
        <w:tc>
          <w:tcPr>
            <w:tcW w:w="11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Shares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Issued and</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4940" w:type="dxa"/>
            <w:vAlign w:val="bottom"/>
          </w:tcPr>
          <w:p>
            <w:pPr>
              <w:spacing w:after="0"/>
              <w:rPr>
                <w:sz w:val="15"/>
                <w:szCs w:val="15"/>
                <w:color w:val="auto"/>
              </w:rPr>
            </w:pP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5"/>
                <w:szCs w:val="15"/>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A-1 Preferred Stock</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33,222,339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33,200,215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37,486</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33,200,215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Series A-2 Preferred Stock</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14,936,323</w:t>
            </w:r>
          </w:p>
        </w:tc>
        <w:tc>
          <w:tcPr>
            <w:tcW w:w="2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14,936,323</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16,807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14,936</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14,936,323</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A-3 Preferred Stock</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6,146,592</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6,146,592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9,035</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6,146,592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76,187,917</w:t>
            </w:r>
          </w:p>
        </w:tc>
        <w:tc>
          <w:tcPr>
            <w:tcW w:w="2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76,187,917</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114,732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115,044</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76,187,917</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84,567,145</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84,567,145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159,968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160,500</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84,567,145</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215,060,316</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215,038,192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337,001</w:t>
            </w:r>
          </w:p>
        </w:tc>
        <w:tc>
          <w:tcPr>
            <w:tcW w:w="2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215,038,192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There has been no change to the rights and preferences of the Preferred Stock. Refer to the notes to the consolidated financial statements, for the year ended December 31, 2025 for a detailed discussion of the rights and preferences of the Preferred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Company’s fourth amended and restated certificate of incorporation authorizes the Company to issue 274,320,131 shares of common stock. As of March 31, 2026, the Company had reserved 207,952,902 shares of common stock for the conversion of the Preferred Stock (Note 5), as applicable.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140"/>
          </w:cols>
          <w:pgMar w:left="320" w:top="455" w:right="439" w:bottom="1440" w:gutter="0" w:footer="0" w:header="0"/>
        </w:sectPr>
      </w:pPr>
    </w:p>
    <w:bookmarkStart w:id="459" w:name="page460"/>
    <w:bookmarkEnd w:id="4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720" w:hanging="4"/>
        <w:spacing w:after="0" w:line="400" w:lineRule="auto"/>
        <w:tabs>
          <w:tab w:leader="none" w:pos="300" w:val="left"/>
        </w:tabs>
        <w:numPr>
          <w:ilvl w:val="0"/>
          <w:numId w:val="2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Stock-Based Compensation 2016 Equity Incentive Plan</w:t>
      </w: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March 2016, the Company adopted the 2016 Stock Option and Grant Plan (the “2016 Plan”), which allows the granting of awards in the form of incentive stock options, nonqualified stock options, and stock grants, which may include restricted stock, to eligible employees, outside directors and consultants of the Company. The total number of common stock reserved for grant under the 2016 Plan was 48,749,161 shares as of March 31, 2026 and December 31, 2025, of which 1,812,203 and 4,475,263 shares remained available for future issuance as of March 31, 2026 and December 31, 2025, respectively. Shares that are expired, terminated, surrendered, or canceled without having been fully exercised will be available for future awards under the 2016 Plan.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Company estimates the fair value of the stock options issued using the Black-Scholes option pricing model on the date of grant. The key assumptions used to apply this pricing model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580" w:type="dxa"/>
            <w:vAlign w:val="bottom"/>
            <w:gridSpan w:val="3"/>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w w:val="97"/>
              </w:rPr>
              <w:t>March 31,</w:t>
            </w:r>
          </w:p>
        </w:tc>
      </w:tr>
      <w:tr>
        <w:trPr>
          <w:trHeight w:val="142"/>
        </w:trPr>
        <w:tc>
          <w:tcPr>
            <w:tcW w:w="60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2"/>
                <w:szCs w:val="12"/>
                <w:color w:val="auto"/>
              </w:rPr>
            </w:pPr>
          </w:p>
        </w:tc>
      </w:tr>
      <w:tr>
        <w:trPr>
          <w:trHeight w:val="20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0.78-0.96</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 1.13</w:t>
            </w:r>
          </w:p>
        </w:tc>
        <w:tc>
          <w:tcPr>
            <w:tcW w:w="2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3.94%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gridSpan w:val="2"/>
            <w:shd w:val="clear" w:color="auto" w:fill="CCEEFF"/>
          </w:tcPr>
          <w:p>
            <w:pPr>
              <w:jc w:val="right"/>
              <w:ind w:right="488"/>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8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color w:val="auto"/>
              </w:rPr>
              <w:t>6.0</w:t>
            </w: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82.70%</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157.20%</w:t>
            </w:r>
          </w:p>
        </w:tc>
      </w:tr>
    </w:tbl>
    <w:p>
      <w:pPr>
        <w:spacing w:after="0" w:line="198"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granted during the three months ended March 31, 2026 and March 31, 2025 was $0.57 and $1.08, respectively.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option activity under the 2016 Plan for the three months ended March 31, 2026:</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2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460" w:type="dxa"/>
            <w:vAlign w:val="bottom"/>
            <w:gridSpan w:val="2"/>
          </w:tcPr>
          <w:p>
            <w:pPr>
              <w:jc w:val="right"/>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3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38,061,610</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6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5,353,691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0.79</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(59,937)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0.77</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(2,324,748)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0.78</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(300,883)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0.75</w:t>
            </w: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40,729,733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6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March 31, 2026</w:t>
            </w: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25,934,831</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0.77</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4,777</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15,794,902</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0.78</w:t>
            </w: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354,074 performance-based stock options granted in 2024 were forfeited, with approximately half forfeited due to employee termination and the remaining forfeited due to the related performance condition not being achieved. Additionally, during the quarter the Company granted 1,883,750 performance-based awards that vest upon the achievement of specified performance goals, with a portion subject to continued service-based vesting thereafter. As of March 31, 2026, the applicable performance conditions for these awards were not deemed probable, and therefore no compensation expense has been recognized related to these awards.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F-89</w:t>
      </w:r>
    </w:p>
    <w:p>
      <w:pPr>
        <w:sectPr>
          <w:pgSz w:w="11900" w:h="16838" w:orient="portrait"/>
          <w:cols w:equalWidth="0" w:num="1">
            <w:col w:w="11120"/>
          </w:cols>
          <w:pgMar w:left="320" w:top="455"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w:t>
      </w:r>
    </w:p>
    <w:p>
      <w:pPr>
        <w:spacing w:after="0" w:line="162"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options exercised totaled less than $0.1 million for each of the three months ended March 31, 2026 and 2025. As of March 31, 2026 there was $12.8 million of unrecognized compensation expense, which the Company expects to recognize over a weighted-average period of 2.2 years. Included in this amount is $1.0 million of unrecognized compensation expense relating to the performance-based awards described above.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recorded stock-based compensation expense as follows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Borders>
              <w:bottom w:val="single" w:sz="8" w:color="CCEEFF"/>
            </w:tcBorders>
          </w:tcPr>
          <w:p>
            <w:pPr>
              <w:spacing w:after="0"/>
              <w:rPr>
                <w:sz w:val="12"/>
                <w:szCs w:val="12"/>
                <w:color w:val="auto"/>
              </w:rPr>
            </w:pPr>
          </w:p>
        </w:tc>
      </w:tr>
      <w:tr>
        <w:trPr>
          <w:trHeight w:val="209"/>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40" w:type="dxa"/>
            <w:vAlign w:val="bottom"/>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1,285</w:t>
            </w:r>
          </w:p>
        </w:tc>
        <w:tc>
          <w:tcPr>
            <w:tcW w:w="4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3"/>
              </w:rPr>
              <w:t>1,454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2,110</w:t>
            </w:r>
          </w:p>
        </w:tc>
      </w:tr>
      <w:tr>
        <w:trPr>
          <w:trHeight w:val="20"/>
        </w:trPr>
        <w:tc>
          <w:tcPr>
            <w:tcW w:w="44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No income tax expense was recorded during the three months ended March 31, 2026 or 2025. The Company maintained a full valuation allowance through March 31, 2026 due to uncertainty regarding its ability to utilize deferred tax assets.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January 2017, and as amended in February 2020, the Company established a defined contribution plan under Section 401(k) of the Internal Revenue Code (the “401(k) Plan”). The 401(k) Plan covers all employees who meet defined minimum age and service requirements and allows participants to defer a portion of their annual compensation on a pre-tax basis. Starting in 2020, the Company makes matching contributions at a rate of 100% of each employee’s contribution up to a maximum employee contribution of 3% of eligible plan compensation. The Company made matching contributions of $0.2 million for each of the three months ended March 31, 2026 and 2025.</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Obligations</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Company enters into contracts in the normal course of business with third parties for preclinical research studies, upcoming clinical trials and testing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service providers, up to the date of cancellation and in the case of certain arrangements may include noncancelable fees.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120"/>
          </w:cols>
          <w:pgMar w:left="320" w:top="455" w:right="459" w:bottom="1440" w:gutter="0" w:footer="0" w:header="0"/>
        </w:sectPr>
      </w:pPr>
    </w:p>
    <w:bookmarkStart w:id="461" w:name="page462"/>
    <w:bookmarkEnd w:id="4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At each reporting date, the Company evaluates whether a potential loss amount or a potential range of losses is probable and reasonably estimable under the provisions of the authoritative guidance that addresses accounting for contingencies. The Company expenses as incurred the costs related to such legal proceedings.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Collaboration and License Agreement with University of Texas M.D. Anderson Cancer Center</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November 2020, the Company entered into a multi-year collaborative research and option agreement (the “Collaboration Agreement”) with the Board of Regents (the “Board of Regents”) of The University of Texas System, on behalf of the University of Texas M.D. Anderson Cancer Center (“M.D. Anderson”) designed to expedite the research and development of novel engineered TIL for the treatment of solid tumors. Pursuant to the Collaboration Agreement, as amended, the Company agreed to fund research activities of up to $8.3 million over approximately two years and received the option to obtain a license to certain intellectual property arising from the collaboration. The collaboration focused on developing TIL containing regulated membrane-bound IL15 (“mbIL15”) with the potential to enhance anti-tumor efficacy and reduce tumor burden in patients suffering from different types of solid tumors. The collaboration’s purpose was to accelerate the development of cytoTIL, including process and analytical development and clinical readiness activities. The Collaboration Agreement expired in 2023 and, prior to such expiration, the Company exercised its option to license certain intellectual property arising from the collaboration and subsequently entered into the resulting license agreement with the Board of Regents on behalf of M.D. Anderson (“M.D. Anderson License Agreement”) in October 2021.</w:t>
      </w:r>
    </w:p>
    <w:p>
      <w:pPr>
        <w:spacing w:after="0" w:line="19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Under the M.D. Anderson License Agreement, the Company is obligated to pay to M.D. Anderson (a) a royalty on net sales of Developed Products and licensed products at a low single digit percentage (b) milestone payments of up to (i) $75.0 million upon the achievement of certain specified clinical and regulatory milestones and (ii) $90.0 million upon the achievement of certain specified sales milestones, which milestones may be payable with respect to multiple products and indications and (c) a share of certain consideration received by the Company from sublicensees under any sublicense agreements with third parties. As of March 31, 2026, no additional milestone payments were considered probable of achievement and, accordingly, no related liability has been recognized.</w:t>
      </w:r>
    </w:p>
    <w:p>
      <w:pPr>
        <w:spacing w:after="0" w:line="187"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The M.D. Anderson License Agreement may be terminated by the Board of Regents upon notice for an uncured challenge of the Board of Regents’ patents and by mutual agreement of us and the Board of Regents.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Company has non-cancelable operating lease agreements for office space in Cambridge, Massachusetts and Bedford, Massachusetts, which run through January 2027 and December, 2028, respectively. Future minimum payments under the these operating leases as of March 31, 2026 was $3.8 million. For each of the three months ended March 31, 2026 and 2025, the Company recorded operating lease costs of $0.7 million relating to its operating lease agreements.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120"/>
          </w:cols>
          <w:pgMar w:left="320" w:top="455" w:right="459" w:bottom="1440" w:gutter="0" w:footer="0" w:header="0"/>
        </w:sectPr>
      </w:pPr>
    </w:p>
    <w:bookmarkStart w:id="462" w:name="page463"/>
    <w:bookmarkEnd w:id="4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loss per share for the periods presented (in thousands, except share and per share amounts):</w:t>
      </w:r>
    </w:p>
    <w:p>
      <w:pPr>
        <w:spacing w:after="0" w:line="182"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5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52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Numerator:</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(19,633)</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(24,986)</w:t>
            </w:r>
          </w:p>
        </w:tc>
      </w:tr>
      <w:tr>
        <w:trPr>
          <w:trHeight w:val="20"/>
        </w:trPr>
        <w:tc>
          <w:tcPr>
            <w:tcW w:w="5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2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Weighted-average common shares outstanding, basic and</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8"/>
              </w:rPr>
              <w:t>17,672,957</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13,923,383</w:t>
            </w:r>
          </w:p>
        </w:tc>
      </w:tr>
      <w:tr>
        <w:trPr>
          <w:trHeight w:val="20"/>
        </w:trPr>
        <w:tc>
          <w:tcPr>
            <w:tcW w:w="5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20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r>
      <w:tr>
        <w:trPr>
          <w:trHeight w:val="20"/>
        </w:trPr>
        <w:tc>
          <w:tcPr>
            <w:tcW w:w="5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shares from the computation of diluted net loss per share attributable to common stockholders’ during the three months ended March 31, 2026 and 2025 because including them would have had an anti-dilutive effect:</w:t>
      </w:r>
    </w:p>
    <w:p>
      <w:pPr>
        <w:spacing w:after="0" w:line="182"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54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558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207,952,902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215,038,192</w:t>
            </w:r>
          </w:p>
        </w:tc>
        <w:tc>
          <w:tcPr>
            <w:tcW w:w="8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purchase Series A-1 redeemable convertible preferred stock</w:t>
            </w: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22,124</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22,124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40,729,733</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40,251,282</w:t>
            </w:r>
          </w:p>
        </w:tc>
      </w:tr>
      <w:tr>
        <w:trPr>
          <w:trHeight w:val="223"/>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248,704,759</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255,311,598</w:t>
            </w:r>
          </w:p>
        </w:tc>
        <w:tc>
          <w:tcPr>
            <w:tcW w:w="80" w:type="dxa"/>
            <w:vAlign w:val="bottom"/>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Related Party Transactions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entered into individual collaboration and license agreements with Celgene Corporation (“Celgene”) in 2019 and 2020, respectively, and a collaboration agreement with Vertex Pharmaceuticals, Inc. (“Vertex”) in 2021. Both Celgene and Vertex purchased the Company’s Preferred Stock in connection with the collaboration agreements. All performance obligations under the collaboration agreements were satisfied in previous reporting periods. Accordingly, during the three months ended March 31, 2026 and 2025, the Company did not recognize related party revenue associated with the collaboration agreements. The Celgene collaboration agreement was terminated in October 2025 and the Celgene license agreement was terminated in November 2025. The Vertex collaboration agreement expired in April 2025. No future revenue associated with these collaboration arrangements will be recognized.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reviews cash, cash equivalents and marketable securities as a measure of segment assets. As of March 31, 2026 and December 31, 2025, the Company’s cash, cash equivalents and marketable securities were $58.8 million and $80.5 million, respectively.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F-92</w:t>
      </w:r>
    </w:p>
    <w:p>
      <w:pPr>
        <w:sectPr>
          <w:pgSz w:w="11900" w:h="16838" w:orient="portrait"/>
          <w:cols w:equalWidth="0" w:num="1">
            <w:col w:w="11120"/>
          </w:cols>
          <w:pgMar w:left="320" w:top="455" w:right="459" w:bottom="1440" w:gutter="0" w:footer="0" w:header="0"/>
        </w:sectPr>
      </w:pPr>
    </w:p>
    <w:bookmarkStart w:id="463" w:name="page464"/>
    <w:bookmarkEnd w:id="4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illustrate information about segment revenue, significant segment expenses and segment operating loss for the three months ended March 31, 2026 and 2025 (in thousands):</w:t>
      </w:r>
    </w:p>
    <w:p>
      <w:pPr>
        <w:spacing w:after="0" w:line="182"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2"/>
                <w:szCs w:val="12"/>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6,089</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Drug discovery and platform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Clinical and manufacturing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7,644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6"/>
              </w:rPr>
              <w:t>12,009</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2,053</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15,052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20,301</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General and administrative expenses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Compensation and related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2,347</w:t>
            </w:r>
          </w:p>
        </w:tc>
      </w:tr>
      <w:tr>
        <w:trPr>
          <w:trHeight w:val="216"/>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Consulting and professional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w:t>
            </w:r>
          </w:p>
        </w:tc>
      </w:tr>
      <w:tr>
        <w:trPr>
          <w:trHeight w:val="216"/>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expense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4,192</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2,110</w:t>
            </w:r>
          </w:p>
        </w:tc>
      </w:tr>
      <w:tr>
        <w:trPr>
          <w:trHeight w:val="216"/>
        </w:trPr>
        <w:tc>
          <w:tcPr>
            <w:tcW w:w="6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Other segment items</w:t>
            </w:r>
            <w:r>
              <w:rPr>
                <w:rFonts w:ascii="Times New Roman" w:cs="Times New Roman" w:eastAsia="Times New Roman" w:hAnsi="Times New Roman"/>
                <w:sz w:val="25"/>
                <w:szCs w:val="25"/>
                <w:color w:val="auto"/>
                <w:vertAlign w:val="superscript"/>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(1,617)</w:t>
            </w:r>
          </w:p>
        </w:tc>
      </w:tr>
      <w:tr>
        <w:trPr>
          <w:trHeight w:val="22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19,633</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24,986</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line="282"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the segment-level information that is regularly provided to the chief operating decision maker.</w:t>
      </w:r>
    </w:p>
    <w:p>
      <w:pPr>
        <w:spacing w:after="0" w:line="67"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 for the three months ended March 31, 2026 and 2025 exclude $0.7 million and $0.8 million of stock-based compensation expense, respectively, which is presented separately below.</w:t>
      </w:r>
    </w:p>
    <w:p>
      <w:pPr>
        <w:spacing w:after="0" w:line="67" w:lineRule="exact"/>
        <w:rPr>
          <w:rFonts w:ascii="Times New Roman" w:cs="Times New Roman" w:eastAsia="Times New Roman" w:hAnsi="Times New Roman"/>
          <w:sz w:val="18"/>
          <w:szCs w:val="18"/>
          <w:color w:val="auto"/>
        </w:rPr>
      </w:pPr>
    </w:p>
    <w:p>
      <w:pPr>
        <w:ind w:left="540" w:right="340" w:hanging="424"/>
        <w:spacing w:after="0" w:line="282" w:lineRule="auto"/>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&amp; administrative expense for the three months ended March 31, 2026 and 2025 exclude $0.8 million and $1.3 million of stock-based compensation expense, respectively, which is presented separately below.</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 interest and other income, net.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June 2, 2026, the date these condensed consolidated financial statements were issued, and determined that there have been no events that have occurred that would require adjustments to the Company’s disclosures in the condensed consolidated financial statements, except for the following: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Galera Transaction</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 April 14, 2026, the Company entered into a definitive agreement to effect a business combination with Galera Therapeutics, Inc. Pursuant to the agreement, the transaction is expected to be accounted for as a reverse merger upon consummation, subject to customary closing conditions and regulatory approvals. The transaction had not closed as of the date these condensed consolidated financial statements were issued. The Company recorded $0.7 million as deferred costs related to this transaction which are recorded within Prepaid expenses and other current assets on the condensed consolidated balance sheets as of March 31, 2026.</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060"/>
          </w:cols>
          <w:pgMar w:left="320" w:top="455" w:right="51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GAZELLE PARENT,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ONYX MERGERSUB,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GAZELLE MERGER SUBSIDIARY,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as of April 14, 2026</w:t>
      </w:r>
    </w:p>
    <w:p>
      <w:pPr>
        <w:sectPr>
          <w:pgSz w:w="11900" w:h="16838" w:orient="portrait"/>
          <w:cols w:equalWidth="0" w:num="1">
            <w:col w:w="11140"/>
          </w:cols>
          <w:pgMar w:left="320" w:top="455" w:right="439" w:bottom="1440" w:gutter="0" w:footer="0" w:header="0"/>
        </w:sectPr>
      </w:pPr>
    </w:p>
    <w:bookmarkStart w:id="465" w:name="page466"/>
    <w:bookmarkEnd w:id="4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5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63"/>
        </w:trPr>
        <w:tc>
          <w:tcPr>
            <w:tcW w:w="5080" w:type="dxa"/>
            <w:vAlign w:val="bottom"/>
            <w:tcBorders>
              <w:bottom w:val="single" w:sz="8" w:color="0000EE"/>
            </w:tcBorders>
            <w:gridSpan w:val="39"/>
          </w:tcPr>
          <w:p>
            <w:pPr>
              <w:spacing w:after="0"/>
              <w:rPr>
                <w:sz w:val="20"/>
                <w:szCs w:val="20"/>
                <w:color w:val="auto"/>
              </w:rPr>
            </w:pPr>
            <w:r>
              <w:rPr>
                <w:rFonts w:ascii="Times New Roman" w:cs="Times New Roman" w:eastAsia="Times New Roman" w:hAnsi="Times New Roman"/>
                <w:sz w:val="18"/>
                <w:szCs w:val="18"/>
                <w:color w:val="0000EE"/>
                <w:w w:val="98"/>
              </w:rPr>
              <w:t>ARTICLE I DEFINITIONS AND INTERPRETATIVE PROVISIONS</w:t>
            </w:r>
          </w:p>
        </w:tc>
        <w:tc>
          <w:tcPr>
            <w:tcW w:w="5360" w:type="dxa"/>
            <w:vAlign w:val="bottom"/>
            <w:gridSpan w:val="3"/>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30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936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Definitions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Other Definitional and Interpretative Provisions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A-23</w:t>
            </w:r>
          </w:p>
        </w:tc>
      </w:tr>
      <w:tr>
        <w:trPr>
          <w:trHeight w:val="20"/>
        </w:trPr>
        <w:tc>
          <w:tcPr>
            <w:tcW w:w="108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2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6"/>
              </w:rPr>
              <w:t>ARTICLE II THE MERGER</w:t>
            </w:r>
          </w:p>
        </w:tc>
        <w:tc>
          <w:tcPr>
            <w:tcW w:w="8360" w:type="dxa"/>
            <w:vAlign w:val="bottom"/>
            <w:gridSpan w:val="3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304"/>
        </w:trPr>
        <w:tc>
          <w:tcPr>
            <w:tcW w:w="3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2.1</w:t>
            </w:r>
          </w:p>
        </w:tc>
        <w:tc>
          <w:tcPr>
            <w:tcW w:w="936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rPr>
              <w:t>The Obsidian Merger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A-24</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38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The Galera Merger</w:t>
            </w:r>
          </w:p>
        </w:tc>
        <w:tc>
          <w:tcPr>
            <w:tcW w:w="160" w:type="dxa"/>
            <w:vAlign w:val="bottom"/>
            <w:tcBorders>
              <w:top w:val="single" w:sz="8" w:color="0000EE"/>
            </w:tcBorders>
            <w:gridSpan w:val="4"/>
          </w:tcPr>
          <w:p>
            <w:pPr>
              <w:spacing w:after="0"/>
              <w:rPr>
                <w:sz w:val="17"/>
                <w:szCs w:val="17"/>
                <w:color w:val="auto"/>
              </w:rPr>
            </w:pPr>
          </w:p>
        </w:tc>
        <w:tc>
          <w:tcPr>
            <w:tcW w:w="7820" w:type="dxa"/>
            <w:vAlign w:val="bottom"/>
            <w:gridSpan w:val="2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A-24</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5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Closing</w:t>
            </w:r>
          </w:p>
        </w:tc>
        <w:tc>
          <w:tcPr>
            <w:tcW w:w="8800" w:type="dxa"/>
            <w:vAlign w:val="bottom"/>
            <w:gridSpan w:val="3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A-24</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Organizational Documents; Directors and Officers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A-25</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2440" w:type="dxa"/>
            <w:vAlign w:val="bottom"/>
            <w:tcBorders>
              <w:top w:val="single" w:sz="8" w:color="0000EE"/>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Conversion of Shares of Obsidian</w:t>
            </w:r>
          </w:p>
        </w:tc>
        <w:tc>
          <w:tcPr>
            <w:tcW w:w="1180" w:type="dxa"/>
            <w:vAlign w:val="bottom"/>
            <w:tcBorders>
              <w:top w:val="single" w:sz="8" w:color="0000EE"/>
            </w:tcBorders>
            <w:gridSpan w:val="10"/>
          </w:tcPr>
          <w:p>
            <w:pPr>
              <w:spacing w:after="0"/>
              <w:rPr>
                <w:sz w:val="17"/>
                <w:szCs w:val="17"/>
                <w:color w:val="auto"/>
              </w:rPr>
            </w:pPr>
          </w:p>
        </w:tc>
        <w:tc>
          <w:tcPr>
            <w:tcW w:w="574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A-25</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22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Conversion of Shares of Galera</w:t>
            </w:r>
          </w:p>
        </w:tc>
        <w:tc>
          <w:tcPr>
            <w:tcW w:w="708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A-27</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7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7"/>
              </w:rPr>
              <w:t>Contingent Value Right</w:t>
            </w:r>
          </w:p>
        </w:tc>
        <w:tc>
          <w:tcPr>
            <w:tcW w:w="7660" w:type="dxa"/>
            <w:vAlign w:val="bottom"/>
            <w:gridSpan w:val="2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A-28</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Closing of Transfer Books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A-29</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Surrender of Obsidian Common Stock</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A-29</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2600" w:type="dxa"/>
            <w:vAlign w:val="bottom"/>
            <w:tcBorders>
              <w:top w:val="single" w:sz="8" w:color="0000EE"/>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Surrender of Galera Common Stock</w:t>
            </w:r>
          </w:p>
        </w:tc>
        <w:tc>
          <w:tcPr>
            <w:tcW w:w="160" w:type="dxa"/>
            <w:vAlign w:val="bottom"/>
            <w:tcBorders>
              <w:top w:val="single" w:sz="8" w:color="0000EE"/>
            </w:tcBorders>
          </w:tcPr>
          <w:p>
            <w:pPr>
              <w:spacing w:after="0"/>
              <w:rPr>
                <w:sz w:val="17"/>
                <w:szCs w:val="17"/>
                <w:color w:val="auto"/>
              </w:rPr>
            </w:pPr>
          </w:p>
        </w:tc>
        <w:tc>
          <w:tcPr>
            <w:tcW w:w="6600" w:type="dxa"/>
            <w:vAlign w:val="bottom"/>
            <w:gridSpan w:val="1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Calculation of Net Cash</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A-31</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2.12</w:t>
            </w:r>
          </w:p>
        </w:tc>
        <w:tc>
          <w:tcPr>
            <w:tcW w:w="17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Further Action</w:t>
            </w:r>
          </w:p>
        </w:tc>
        <w:tc>
          <w:tcPr>
            <w:tcW w:w="764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A-32</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2.13</w:t>
            </w:r>
          </w:p>
        </w:tc>
        <w:tc>
          <w:tcPr>
            <w:tcW w:w="9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Withholding</w:t>
            </w:r>
          </w:p>
        </w:tc>
        <w:tc>
          <w:tcPr>
            <w:tcW w:w="160" w:type="dxa"/>
            <w:vAlign w:val="bottom"/>
            <w:tcBorders>
              <w:top w:val="single" w:sz="8" w:color="0000EE"/>
            </w:tcBorders>
            <w:gridSpan w:val="2"/>
          </w:tcPr>
          <w:p>
            <w:pPr>
              <w:spacing w:after="0"/>
              <w:rPr>
                <w:sz w:val="17"/>
                <w:szCs w:val="17"/>
                <w:color w:val="auto"/>
              </w:rPr>
            </w:pPr>
          </w:p>
        </w:tc>
        <w:tc>
          <w:tcPr>
            <w:tcW w:w="8300" w:type="dxa"/>
            <w:vAlign w:val="bottom"/>
            <w:gridSpan w:val="3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A-32</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2.14</w:t>
            </w:r>
          </w:p>
        </w:tc>
        <w:tc>
          <w:tcPr>
            <w:tcW w:w="12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Appraisal Rights</w:t>
            </w:r>
          </w:p>
        </w:tc>
        <w:tc>
          <w:tcPr>
            <w:tcW w:w="8140" w:type="dxa"/>
            <w:vAlign w:val="bottom"/>
            <w:gridSpan w:val="3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A-32</w:t>
            </w:r>
          </w:p>
        </w:tc>
      </w:tr>
      <w:tr>
        <w:trPr>
          <w:trHeight w:val="304"/>
        </w:trPr>
        <w:tc>
          <w:tcPr>
            <w:tcW w:w="1044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ARTICLE III REPRESENTATIONS AND WARRANTIES OF OBSIDIAN</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A-33</w:t>
            </w:r>
          </w:p>
        </w:tc>
      </w:tr>
      <w:tr>
        <w:trPr>
          <w:trHeight w:val="304"/>
        </w:trPr>
        <w:tc>
          <w:tcPr>
            <w:tcW w:w="3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ind w:left="160"/>
              <w:spacing w:after="0"/>
              <w:rPr>
                <w:sz w:val="20"/>
                <w:szCs w:val="20"/>
                <w:color w:val="auto"/>
              </w:rPr>
            </w:pPr>
            <w:r>
              <w:rPr>
                <w:rFonts w:ascii="Times New Roman" w:cs="Times New Roman" w:eastAsia="Times New Roman" w:hAnsi="Times New Roman"/>
                <w:sz w:val="18"/>
                <w:szCs w:val="18"/>
                <w:color w:val="auto"/>
              </w:rPr>
              <w:t>3.1</w:t>
            </w:r>
          </w:p>
        </w:tc>
        <w:tc>
          <w:tcPr>
            <w:tcW w:w="2260" w:type="dxa"/>
            <w:vAlign w:val="bottom"/>
            <w:tcBorders>
              <w:top w:val="single" w:sz="8" w:color="0000EE"/>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Due Organization; Subsidiaries</w:t>
            </w:r>
          </w:p>
        </w:tc>
        <w:tc>
          <w:tcPr>
            <w:tcW w:w="2120" w:type="dxa"/>
            <w:vAlign w:val="bottom"/>
            <w:tcBorders>
              <w:top w:val="single" w:sz="8" w:color="0000EE"/>
            </w:tcBorders>
            <w:gridSpan w:val="15"/>
          </w:tcPr>
          <w:p>
            <w:pPr>
              <w:spacing w:after="0"/>
              <w:rPr>
                <w:sz w:val="24"/>
                <w:szCs w:val="24"/>
                <w:color w:val="auto"/>
              </w:rPr>
            </w:pPr>
          </w:p>
        </w:tc>
        <w:tc>
          <w:tcPr>
            <w:tcW w:w="49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A-33</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9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Organizational Documents</w:t>
            </w:r>
          </w:p>
        </w:tc>
        <w:tc>
          <w:tcPr>
            <w:tcW w:w="742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A-33</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Authority; Binding Nature of Agreement</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A-34</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940" w:type="dxa"/>
            <w:vAlign w:val="bottom"/>
            <w:tcBorders>
              <w:top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642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A-34</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Non-Contravention; Consents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A-34</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14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722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A-35</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15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7860" w:type="dxa"/>
            <w:vAlign w:val="bottom"/>
            <w:gridSpan w:val="2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A-36</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Absence of Changes</w:t>
            </w:r>
          </w:p>
        </w:tc>
        <w:tc>
          <w:tcPr>
            <w:tcW w:w="7880" w:type="dxa"/>
            <w:vAlign w:val="bottom"/>
            <w:gridSpan w:val="2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A-37</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252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Absence of Undisclosed Liabilities</w:t>
            </w:r>
          </w:p>
        </w:tc>
        <w:tc>
          <w:tcPr>
            <w:tcW w:w="684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A-37</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3.10</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Title to Assets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A-37</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4"/>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Real Property; Leasehold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A-37</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8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Intellectual Property</w:t>
            </w:r>
          </w:p>
        </w:tc>
        <w:tc>
          <w:tcPr>
            <w:tcW w:w="7540" w:type="dxa"/>
            <w:vAlign w:val="bottom"/>
            <w:gridSpan w:val="2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A-38</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3.13</w:t>
            </w:r>
          </w:p>
        </w:tc>
        <w:tc>
          <w:tcPr>
            <w:tcW w:w="302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Agreements, Contracts and Commitments</w:t>
            </w:r>
          </w:p>
        </w:tc>
        <w:tc>
          <w:tcPr>
            <w:tcW w:w="634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A-41</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3.14</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Compliance; Permits; Restrictions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A-43</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3.15</w:t>
            </w:r>
          </w:p>
        </w:tc>
        <w:tc>
          <w:tcPr>
            <w:tcW w:w="192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 Orders</w:t>
            </w:r>
          </w:p>
        </w:tc>
        <w:tc>
          <w:tcPr>
            <w:tcW w:w="540" w:type="dxa"/>
            <w:vAlign w:val="bottom"/>
            <w:tcBorders>
              <w:top w:val="single" w:sz="8" w:color="0000EE"/>
            </w:tcBorders>
            <w:gridSpan w:val="7"/>
          </w:tcPr>
          <w:p>
            <w:pPr>
              <w:spacing w:after="0"/>
              <w:rPr>
                <w:sz w:val="17"/>
                <w:szCs w:val="17"/>
                <w:color w:val="auto"/>
              </w:rPr>
            </w:pPr>
          </w:p>
        </w:tc>
        <w:tc>
          <w:tcPr>
            <w:tcW w:w="690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A-44</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Tax Matters</w:t>
            </w:r>
          </w:p>
        </w:tc>
        <w:tc>
          <w:tcPr>
            <w:tcW w:w="8500" w:type="dxa"/>
            <w:vAlign w:val="bottom"/>
            <w:gridSpan w:val="3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A-45</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3.17</w:t>
            </w:r>
          </w:p>
        </w:tc>
        <w:tc>
          <w:tcPr>
            <w:tcW w:w="316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Employee and Labor Matters; Benefit Plans</w:t>
            </w:r>
          </w:p>
        </w:tc>
        <w:tc>
          <w:tcPr>
            <w:tcW w:w="620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A-46</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3.18</w:t>
            </w:r>
          </w:p>
        </w:tc>
        <w:tc>
          <w:tcPr>
            <w:tcW w:w="16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Environmental Matters</w:t>
            </w:r>
          </w:p>
        </w:tc>
        <w:tc>
          <w:tcPr>
            <w:tcW w:w="770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A-48</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3.19</w:t>
            </w:r>
          </w:p>
        </w:tc>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Insurance</w:t>
            </w:r>
          </w:p>
        </w:tc>
        <w:tc>
          <w:tcPr>
            <w:tcW w:w="8660" w:type="dxa"/>
            <w:vAlign w:val="bottom"/>
            <w:gridSpan w:val="3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A-48</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3.20</w:t>
            </w:r>
          </w:p>
        </w:tc>
        <w:tc>
          <w:tcPr>
            <w:tcW w:w="20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Affiliates</w:t>
            </w:r>
          </w:p>
        </w:tc>
        <w:tc>
          <w:tcPr>
            <w:tcW w:w="736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A-48</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360" w:type="dxa"/>
            <w:vAlign w:val="bottom"/>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No Financial Advisors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A-49</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gridSpan w:val="14"/>
            <w:shd w:val="clear" w:color="auto" w:fill="0000EE"/>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c>
          <w:tcPr>
            <w:tcW w:w="1380" w:type="dxa"/>
            <w:vAlign w:val="bottom"/>
            <w:gridSpan w:val="7"/>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9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Privacy and Data Security</w:t>
            </w:r>
          </w:p>
        </w:tc>
        <w:tc>
          <w:tcPr>
            <w:tcW w:w="746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A-49</w:t>
            </w: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3.23</w:t>
            </w:r>
          </w:p>
        </w:tc>
        <w:tc>
          <w:tcPr>
            <w:tcW w:w="28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No Other Representations or Warranties</w:t>
            </w:r>
          </w:p>
        </w:tc>
        <w:tc>
          <w:tcPr>
            <w:tcW w:w="648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A-49</w:t>
            </w:r>
          </w:p>
        </w:tc>
      </w:tr>
      <w:tr>
        <w:trPr>
          <w:trHeight w:val="304"/>
        </w:trPr>
        <w:tc>
          <w:tcPr>
            <w:tcW w:w="1044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ARTICLE IV REPRESENTATIONS AND WARRANTIES OF GALERA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A-50</w:t>
            </w:r>
          </w:p>
        </w:tc>
      </w:tr>
      <w:tr>
        <w:trPr>
          <w:trHeight w:val="304"/>
        </w:trPr>
        <w:tc>
          <w:tcPr>
            <w:tcW w:w="3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tcBorders>
              <w:top w:val="single" w:sz="8" w:color="0000EE"/>
            </w:tcBorders>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4260" w:type="dxa"/>
            <w:vAlign w:val="bottom"/>
            <w:tcBorders>
              <w:top w:val="single" w:sz="8" w:color="0000EE"/>
            </w:tcBorders>
            <w:gridSpan w:val="38"/>
          </w:tcPr>
          <w:p>
            <w:pPr>
              <w:spacing w:after="0"/>
              <w:rPr>
                <w:sz w:val="20"/>
                <w:szCs w:val="20"/>
                <w:color w:val="auto"/>
              </w:rPr>
            </w:pPr>
            <w:r>
              <w:rPr>
                <w:rFonts w:ascii="Times New Roman" w:cs="Times New Roman" w:eastAsia="Times New Roman" w:hAnsi="Times New Roman"/>
                <w:sz w:val="18"/>
                <w:szCs w:val="18"/>
                <w:color w:val="0000EE"/>
              </w:rPr>
              <w:t>Due Organization; Subsidiaries</w:t>
            </w:r>
          </w:p>
        </w:tc>
        <w:tc>
          <w:tcPr>
            <w:tcW w:w="510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A-50</w:t>
            </w:r>
          </w:p>
        </w:tc>
      </w:tr>
      <w:tr>
        <w:trPr>
          <w:trHeight w:val="385"/>
        </w:trPr>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A-2</w:t>
            </w:r>
          </w:p>
        </w:tc>
        <w:tc>
          <w:tcPr>
            <w:tcW w:w="50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466" w:name="page467"/>
    <w:bookmarkEnd w:id="4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4.2</w:t>
            </w:r>
          </w:p>
        </w:tc>
        <w:tc>
          <w:tcPr>
            <w:tcW w:w="194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Organizational Documents</w:t>
            </w:r>
          </w:p>
        </w:tc>
        <w:tc>
          <w:tcPr>
            <w:tcW w:w="2280" w:type="dxa"/>
            <w:vAlign w:val="bottom"/>
            <w:gridSpan w:val="19"/>
            <w:vMerge w:val="restart"/>
          </w:tcPr>
          <w:p>
            <w:pPr>
              <w:spacing w:after="0"/>
              <w:rPr>
                <w:sz w:val="15"/>
                <w:szCs w:val="15"/>
                <w:color w:val="auto"/>
              </w:rPr>
            </w:pPr>
          </w:p>
        </w:tc>
        <w:tc>
          <w:tcPr>
            <w:tcW w:w="5140" w:type="dxa"/>
            <w:vAlign w:val="bottom"/>
          </w:tcPr>
          <w:p>
            <w:pPr>
              <w:spacing w:after="0"/>
              <w:rPr>
                <w:sz w:val="15"/>
                <w:szCs w:val="15"/>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38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940" w:type="dxa"/>
            <w:vAlign w:val="bottom"/>
            <w:tcBorders>
              <w:bottom w:val="single" w:sz="8" w:color="0000EE"/>
            </w:tcBorders>
            <w:gridSpan w:val="19"/>
            <w:vMerge w:val="continue"/>
          </w:tcPr>
          <w:p>
            <w:pPr>
              <w:spacing w:after="0"/>
              <w:rPr>
                <w:sz w:val="14"/>
                <w:szCs w:val="14"/>
                <w:color w:val="auto"/>
              </w:rPr>
            </w:pPr>
          </w:p>
        </w:tc>
        <w:tc>
          <w:tcPr>
            <w:tcW w:w="2280" w:type="dxa"/>
            <w:vAlign w:val="bottom"/>
            <w:gridSpan w:val="19"/>
            <w:vMerge w:val="continue"/>
          </w:tcPr>
          <w:p>
            <w:pPr>
              <w:spacing w:after="0"/>
              <w:rPr>
                <w:sz w:val="14"/>
                <w:szCs w:val="14"/>
                <w:color w:val="auto"/>
              </w:rPr>
            </w:pPr>
          </w:p>
        </w:tc>
        <w:tc>
          <w:tcPr>
            <w:tcW w:w="5140" w:type="dxa"/>
            <w:vAlign w:val="bottom"/>
          </w:tcPr>
          <w:p>
            <w:pPr>
              <w:spacing w:after="0"/>
              <w:rPr>
                <w:sz w:val="14"/>
                <w:szCs w:val="14"/>
                <w:color w:val="auto"/>
              </w:rPr>
            </w:pPr>
          </w:p>
        </w:tc>
        <w:tc>
          <w:tcPr>
            <w:tcW w:w="500" w:type="dxa"/>
            <w:vAlign w:val="bottom"/>
            <w:tcBorders>
              <w:top w:val="single" w:sz="8" w:color="auto"/>
            </w:tcBorders>
          </w:tcPr>
          <w:p>
            <w:pPr>
              <w:ind w:left="140"/>
              <w:spacing w:after="0" w:line="169" w:lineRule="exact"/>
              <w:rPr>
                <w:sz w:val="20"/>
                <w:szCs w:val="20"/>
                <w:color w:val="auto"/>
              </w:rPr>
            </w:pPr>
            <w:r>
              <w:rPr>
                <w:rFonts w:ascii="Times New Roman" w:cs="Times New Roman" w:eastAsia="Times New Roman" w:hAnsi="Times New Roman"/>
                <w:sz w:val="18"/>
                <w:szCs w:val="18"/>
                <w:color w:val="auto"/>
                <w:w w:val="91"/>
              </w:rPr>
              <w:t>A-50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Authority; Binding Nature of Agreement</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94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Vote Required</w:t>
            </w:r>
          </w:p>
        </w:tc>
        <w:tc>
          <w:tcPr>
            <w:tcW w:w="1280" w:type="dxa"/>
            <w:vAlign w:val="bottom"/>
            <w:gridSpan w:val="5"/>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1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Non-Contravention; Consents</w:t>
            </w:r>
          </w:p>
        </w:tc>
        <w:tc>
          <w:tcPr>
            <w:tcW w:w="2040" w:type="dxa"/>
            <w:vAlign w:val="bottom"/>
            <w:gridSpan w:val="13"/>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5"/>
              </w:rPr>
              <w:t>Capitalization</w:t>
            </w:r>
          </w:p>
        </w:tc>
        <w:tc>
          <w:tcPr>
            <w:tcW w:w="3220" w:type="dxa"/>
            <w:vAlign w:val="bottom"/>
            <w:gridSpan w:val="34"/>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4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SEC Filings; Financial Statements</w:t>
            </w:r>
          </w:p>
        </w:tc>
        <w:tc>
          <w:tcPr>
            <w:tcW w:w="1740" w:type="dxa"/>
            <w:vAlign w:val="bottom"/>
            <w:gridSpan w:val="8"/>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4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Absence of Changes</w:t>
            </w:r>
          </w:p>
        </w:tc>
        <w:tc>
          <w:tcPr>
            <w:tcW w:w="2740" w:type="dxa"/>
            <w:vAlign w:val="bottom"/>
            <w:gridSpan w:val="26"/>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25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Absence of Undisclosed Liabilities</w:t>
            </w:r>
          </w:p>
        </w:tc>
        <w:tc>
          <w:tcPr>
            <w:tcW w:w="1700" w:type="dxa"/>
            <w:vAlign w:val="bottom"/>
            <w:gridSpan w:val="7"/>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Title to Assets</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A-55</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Real Property; Leasehold</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18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Intellectual Property</w:t>
            </w:r>
          </w:p>
        </w:tc>
        <w:tc>
          <w:tcPr>
            <w:tcW w:w="2400" w:type="dxa"/>
            <w:vAlign w:val="bottom"/>
            <w:gridSpan w:val="22"/>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8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Agreements</w:t>
            </w:r>
          </w:p>
        </w:tc>
        <w:tc>
          <w:tcPr>
            <w:tcW w:w="580" w:type="dxa"/>
            <w:vAlign w:val="bottom"/>
            <w:tcBorders>
              <w:top w:val="single" w:sz="8" w:color="0000EE"/>
            </w:tcBorders>
            <w:gridSpan w:val="8"/>
          </w:tcPr>
          <w:p>
            <w:pPr>
              <w:spacing w:after="0"/>
              <w:rPr>
                <w:sz w:val="17"/>
                <w:szCs w:val="17"/>
                <w:color w:val="auto"/>
              </w:rPr>
            </w:pPr>
          </w:p>
        </w:tc>
        <w:tc>
          <w:tcPr>
            <w:tcW w:w="2760" w:type="dxa"/>
            <w:vAlign w:val="bottom"/>
            <w:gridSpan w:val="27"/>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23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Absence of Certain Agreements</w:t>
            </w:r>
          </w:p>
        </w:tc>
        <w:tc>
          <w:tcPr>
            <w:tcW w:w="1920" w:type="dxa"/>
            <w:vAlign w:val="bottom"/>
            <w:gridSpan w:val="11"/>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Compliance; Permits; Restrictions</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192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 Orders</w:t>
            </w:r>
          </w:p>
        </w:tc>
        <w:tc>
          <w:tcPr>
            <w:tcW w:w="540" w:type="dxa"/>
            <w:vAlign w:val="bottom"/>
            <w:tcBorders>
              <w:top w:val="single" w:sz="8" w:color="0000EE"/>
            </w:tcBorders>
            <w:gridSpan w:val="11"/>
          </w:tcPr>
          <w:p>
            <w:pPr>
              <w:spacing w:after="0"/>
              <w:rPr>
                <w:sz w:val="17"/>
                <w:szCs w:val="17"/>
                <w:color w:val="auto"/>
              </w:rPr>
            </w:pPr>
          </w:p>
        </w:tc>
        <w:tc>
          <w:tcPr>
            <w:tcW w:w="1760" w:type="dxa"/>
            <w:vAlign w:val="bottom"/>
            <w:gridSpan w:val="9"/>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Tax Matters</w:t>
            </w:r>
          </w:p>
        </w:tc>
        <w:tc>
          <w:tcPr>
            <w:tcW w:w="3360" w:type="dxa"/>
            <w:vAlign w:val="bottom"/>
            <w:gridSpan w:val="36"/>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316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Employee and Labor Matters; Benefit Plans</w:t>
            </w:r>
          </w:p>
        </w:tc>
        <w:tc>
          <w:tcPr>
            <w:tcW w:w="1060" w:type="dxa"/>
            <w:vAlign w:val="bottom"/>
            <w:gridSpan w:val="4"/>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6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Environmental Matters</w:t>
            </w:r>
          </w:p>
        </w:tc>
        <w:tc>
          <w:tcPr>
            <w:tcW w:w="2560" w:type="dxa"/>
            <w:vAlign w:val="bottom"/>
            <w:gridSpan w:val="24"/>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6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88"/>
              </w:rPr>
              <w:t>Insurance</w:t>
            </w:r>
          </w:p>
        </w:tc>
        <w:tc>
          <w:tcPr>
            <w:tcW w:w="3560" w:type="dxa"/>
            <w:vAlign w:val="bottom"/>
            <w:gridSpan w:val="37"/>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20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Transactions with Affiliates</w:t>
            </w:r>
          </w:p>
        </w:tc>
        <w:tc>
          <w:tcPr>
            <w:tcW w:w="2220" w:type="dxa"/>
            <w:vAlign w:val="bottom"/>
            <w:gridSpan w:val="17"/>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No Financial Advisors</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4.23</w:t>
            </w:r>
          </w:p>
        </w:tc>
        <w:tc>
          <w:tcPr>
            <w:tcW w:w="21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Valid Issuance; No Bad Actor</w:t>
            </w:r>
          </w:p>
        </w:tc>
        <w:tc>
          <w:tcPr>
            <w:tcW w:w="2060" w:type="dxa"/>
            <w:vAlign w:val="bottom"/>
            <w:gridSpan w:val="14"/>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4.24</w:t>
            </w:r>
          </w:p>
        </w:tc>
        <w:tc>
          <w:tcPr>
            <w:tcW w:w="1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Privacy and Data Security</w:t>
            </w:r>
          </w:p>
        </w:tc>
        <w:tc>
          <w:tcPr>
            <w:tcW w:w="2340" w:type="dxa"/>
            <w:vAlign w:val="bottom"/>
            <w:gridSpan w:val="21"/>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4.25</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Concurrent PIPE Financing</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4.26</w:t>
            </w:r>
          </w:p>
        </w:tc>
        <w:tc>
          <w:tcPr>
            <w:tcW w:w="28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8"/>
              </w:rPr>
              <w:t>No Other Representations or Warranties</w:t>
            </w:r>
          </w:p>
        </w:tc>
        <w:tc>
          <w:tcPr>
            <w:tcW w:w="1340" w:type="dxa"/>
            <w:vAlign w:val="bottom"/>
            <w:gridSpan w:val="6"/>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A-68</w:t>
            </w:r>
          </w:p>
        </w:tc>
        <w:tc>
          <w:tcPr>
            <w:tcW w:w="0" w:type="dxa"/>
            <w:vAlign w:val="bottom"/>
          </w:tcPr>
          <w:p>
            <w:pPr>
              <w:spacing w:after="0"/>
              <w:rPr>
                <w:sz w:val="1"/>
                <w:szCs w:val="1"/>
                <w:color w:val="auto"/>
              </w:rPr>
            </w:pPr>
          </w:p>
        </w:tc>
      </w:tr>
      <w:tr>
        <w:trPr>
          <w:trHeight w:val="304"/>
        </w:trPr>
        <w:tc>
          <w:tcPr>
            <w:tcW w:w="5300" w:type="dxa"/>
            <w:vAlign w:val="bottom"/>
            <w:gridSpan w:val="40"/>
          </w:tcPr>
          <w:p>
            <w:pPr>
              <w:spacing w:after="0"/>
              <w:rPr>
                <w:sz w:val="20"/>
                <w:szCs w:val="20"/>
                <w:color w:val="auto"/>
              </w:rPr>
            </w:pPr>
            <w:r>
              <w:rPr>
                <w:rFonts w:ascii="Times New Roman" w:cs="Times New Roman" w:eastAsia="Times New Roman" w:hAnsi="Times New Roman"/>
                <w:sz w:val="18"/>
                <w:szCs w:val="18"/>
                <w:color w:val="0000EE"/>
                <w:w w:val="99"/>
              </w:rPr>
              <w:t>ARTICLE V REPRESENTATIONS AND WARRANTIES OF PARENT</w:t>
            </w:r>
          </w:p>
        </w:tc>
        <w:tc>
          <w:tcPr>
            <w:tcW w:w="514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A-68</w:t>
            </w:r>
          </w:p>
        </w:tc>
        <w:tc>
          <w:tcPr>
            <w:tcW w:w="0" w:type="dxa"/>
            <w:vAlign w:val="bottom"/>
          </w:tcPr>
          <w:p>
            <w:pPr>
              <w:spacing w:after="0"/>
              <w:rPr>
                <w:sz w:val="1"/>
                <w:szCs w:val="1"/>
                <w:color w:val="auto"/>
              </w:rPr>
            </w:pPr>
          </w:p>
        </w:tc>
      </w:tr>
      <w:tr>
        <w:trPr>
          <w:trHeight w:val="304"/>
        </w:trPr>
        <w:tc>
          <w:tcPr>
            <w:tcW w:w="38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ind w:left="160"/>
              <w:spacing w:after="0"/>
              <w:rPr>
                <w:sz w:val="20"/>
                <w:szCs w:val="20"/>
                <w:color w:val="auto"/>
              </w:rPr>
            </w:pPr>
            <w:r>
              <w:rPr>
                <w:rFonts w:ascii="Times New Roman" w:cs="Times New Roman" w:eastAsia="Times New Roman" w:hAnsi="Times New Roman"/>
                <w:sz w:val="18"/>
                <w:szCs w:val="18"/>
                <w:color w:val="auto"/>
              </w:rPr>
              <w:t>5.1</w:t>
            </w:r>
          </w:p>
        </w:tc>
        <w:tc>
          <w:tcPr>
            <w:tcW w:w="12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Due Organization</w:t>
            </w:r>
          </w:p>
        </w:tc>
        <w:tc>
          <w:tcPr>
            <w:tcW w:w="2880" w:type="dxa"/>
            <w:vAlign w:val="bottom"/>
            <w:tcBorders>
              <w:top w:val="single" w:sz="8" w:color="0000EE"/>
            </w:tcBorders>
            <w:gridSpan w:val="28"/>
          </w:tcPr>
          <w:p>
            <w:pPr>
              <w:spacing w:after="0"/>
              <w:rPr>
                <w:sz w:val="24"/>
                <w:szCs w:val="24"/>
                <w:color w:val="auto"/>
              </w:rPr>
            </w:pPr>
          </w:p>
        </w:tc>
        <w:tc>
          <w:tcPr>
            <w:tcW w:w="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Authority; Binding Nature of Agreement</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3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376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8"/>
              </w:rPr>
              <w:t>No Vote of Parent Stockholders; Required Approval</w:t>
            </w:r>
          </w:p>
        </w:tc>
        <w:tc>
          <w:tcPr>
            <w:tcW w:w="460" w:type="dxa"/>
            <w:vAlign w:val="bottom"/>
            <w:gridSpan w:val="2"/>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Litigation</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230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Absence of Certain Agreements</w:t>
            </w:r>
          </w:p>
        </w:tc>
        <w:tc>
          <w:tcPr>
            <w:tcW w:w="1920" w:type="dxa"/>
            <w:vAlign w:val="bottom"/>
            <w:gridSpan w:val="11"/>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Stock Ownership</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124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Brokers’ Fees</w:t>
            </w:r>
          </w:p>
        </w:tc>
        <w:tc>
          <w:tcPr>
            <w:tcW w:w="2980" w:type="dxa"/>
            <w:vAlign w:val="bottom"/>
            <w:gridSpan w:val="30"/>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A-69</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13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Parent Information</w:t>
            </w:r>
          </w:p>
        </w:tc>
        <w:tc>
          <w:tcPr>
            <w:tcW w:w="2860" w:type="dxa"/>
            <w:vAlign w:val="bottom"/>
            <w:gridSpan w:val="28"/>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A-69</w:t>
            </w:r>
          </w:p>
        </w:tc>
        <w:tc>
          <w:tcPr>
            <w:tcW w:w="0" w:type="dxa"/>
            <w:vAlign w:val="bottom"/>
          </w:tcPr>
          <w:p>
            <w:pPr>
              <w:spacing w:after="0"/>
              <w:rPr>
                <w:sz w:val="1"/>
                <w:szCs w:val="1"/>
                <w:color w:val="auto"/>
              </w:rPr>
            </w:pPr>
          </w:p>
        </w:tc>
      </w:tr>
      <w:tr>
        <w:trPr>
          <w:trHeight w:val="304"/>
        </w:trPr>
        <w:tc>
          <w:tcPr>
            <w:tcW w:w="21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ARTICLE VI COVENANTS</w:t>
            </w:r>
          </w:p>
        </w:tc>
        <w:tc>
          <w:tcPr>
            <w:tcW w:w="3180" w:type="dxa"/>
            <w:vAlign w:val="bottom"/>
            <w:gridSpan w:val="33"/>
          </w:tcPr>
          <w:p>
            <w:pPr>
              <w:spacing w:after="0"/>
              <w:rPr>
                <w:sz w:val="24"/>
                <w:szCs w:val="24"/>
                <w:color w:val="auto"/>
              </w:rPr>
            </w:pPr>
          </w:p>
        </w:tc>
        <w:tc>
          <w:tcPr>
            <w:tcW w:w="514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A-69</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w:t>
            </w:r>
          </w:p>
        </w:tc>
        <w:tc>
          <w:tcPr>
            <w:tcW w:w="23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w w:val="98"/>
              </w:rPr>
              <w:t>Conduct of Obsidian’s Business</w:t>
            </w:r>
          </w:p>
        </w:tc>
        <w:tc>
          <w:tcPr>
            <w:tcW w:w="1920" w:type="dxa"/>
            <w:vAlign w:val="bottom"/>
            <w:gridSpan w:val="11"/>
          </w:tcPr>
          <w:p>
            <w:pPr>
              <w:spacing w:after="0"/>
              <w:rPr>
                <w:sz w:val="24"/>
                <w:szCs w:val="24"/>
                <w:color w:val="auto"/>
              </w:rPr>
            </w:pPr>
          </w:p>
        </w:tc>
        <w:tc>
          <w:tcPr>
            <w:tcW w:w="514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A-69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21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Conduct of Galera’s Business</w:t>
            </w:r>
          </w:p>
        </w:tc>
        <w:tc>
          <w:tcPr>
            <w:tcW w:w="2080" w:type="dxa"/>
            <w:vAlign w:val="bottom"/>
            <w:gridSpan w:val="15"/>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A-71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21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Conduct of Parent’s Business</w:t>
            </w:r>
          </w:p>
        </w:tc>
        <w:tc>
          <w:tcPr>
            <w:tcW w:w="2100" w:type="dxa"/>
            <w:vAlign w:val="bottom"/>
            <w:gridSpan w:val="16"/>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A-73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18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Access and Investigation</w:t>
            </w:r>
          </w:p>
        </w:tc>
        <w:tc>
          <w:tcPr>
            <w:tcW w:w="2420" w:type="dxa"/>
            <w:vAlign w:val="bottom"/>
            <w:gridSpan w:val="23"/>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11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 Solicitation</w:t>
            </w:r>
          </w:p>
        </w:tc>
        <w:tc>
          <w:tcPr>
            <w:tcW w:w="3100" w:type="dxa"/>
            <w:vAlign w:val="bottom"/>
            <w:gridSpan w:val="31"/>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A-75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Notification of Certain Matters</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A-76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11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Galera Options</w:t>
            </w:r>
          </w:p>
        </w:tc>
        <w:tc>
          <w:tcPr>
            <w:tcW w:w="1120" w:type="dxa"/>
            <w:vAlign w:val="bottom"/>
            <w:tcBorders>
              <w:top w:val="single" w:sz="8" w:color="0000EE"/>
            </w:tcBorders>
            <w:gridSpan w:val="20"/>
          </w:tcPr>
          <w:p>
            <w:pPr>
              <w:spacing w:after="0"/>
              <w:rPr>
                <w:sz w:val="17"/>
                <w:szCs w:val="17"/>
                <w:color w:val="auto"/>
              </w:rPr>
            </w:pPr>
          </w:p>
        </w:tc>
        <w:tc>
          <w:tcPr>
            <w:tcW w:w="2000" w:type="dxa"/>
            <w:vAlign w:val="bottom"/>
            <w:gridSpan w:val="12"/>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A-77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Reserved</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A-77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380" w:type="dxa"/>
            <w:vAlign w:val="bottom"/>
            <w:gridSpan w:val="24"/>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Galera ESPP</w:t>
            </w:r>
          </w:p>
        </w:tc>
        <w:tc>
          <w:tcPr>
            <w:tcW w:w="3220" w:type="dxa"/>
            <w:vAlign w:val="bottom"/>
            <w:gridSpan w:val="34"/>
          </w:tcPr>
          <w:p>
            <w:pPr>
              <w:spacing w:after="0"/>
              <w:rPr>
                <w:sz w:val="17"/>
                <w:szCs w:val="17"/>
                <w:color w:val="auto"/>
              </w:rPr>
            </w:pP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A-77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422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Concurrent PIPE Financing</w:t>
            </w:r>
          </w:p>
        </w:tc>
        <w:tc>
          <w:tcPr>
            <w:tcW w:w="5140" w:type="dxa"/>
            <w:vAlign w:val="bottom"/>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A-77</w:t>
            </w: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1980" w:type="dxa"/>
            <w:vAlign w:val="bottom"/>
            <w:gridSpan w:val="20"/>
            <w:shd w:val="clear" w:color="auto" w:fill="0000EE"/>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4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w w:val="98"/>
              </w:rPr>
              <w:t>ARTICLE VII ADDITIONAL AGREEMENTS</w:t>
            </w:r>
          </w:p>
        </w:tc>
        <w:tc>
          <w:tcPr>
            <w:tcW w:w="1840" w:type="dxa"/>
            <w:vAlign w:val="bottom"/>
            <w:gridSpan w:val="10"/>
          </w:tcPr>
          <w:p>
            <w:pPr>
              <w:spacing w:after="0"/>
              <w:rPr>
                <w:sz w:val="24"/>
                <w:szCs w:val="24"/>
                <w:color w:val="auto"/>
              </w:rPr>
            </w:pPr>
          </w:p>
        </w:tc>
        <w:tc>
          <w:tcPr>
            <w:tcW w:w="514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A-78</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7.1</w:t>
            </w:r>
          </w:p>
        </w:tc>
        <w:tc>
          <w:tcPr>
            <w:tcW w:w="4220" w:type="dxa"/>
            <w:vAlign w:val="bottom"/>
            <w:gridSpan w:val="38"/>
          </w:tcPr>
          <w:p>
            <w:pPr>
              <w:spacing w:after="0"/>
              <w:rPr>
                <w:sz w:val="20"/>
                <w:szCs w:val="20"/>
                <w:color w:val="auto"/>
              </w:rPr>
            </w:pPr>
            <w:r>
              <w:rPr>
                <w:rFonts w:ascii="Times New Roman" w:cs="Times New Roman" w:eastAsia="Times New Roman" w:hAnsi="Times New Roman"/>
                <w:sz w:val="18"/>
                <w:szCs w:val="18"/>
                <w:color w:val="0000EE"/>
              </w:rPr>
              <w:t>Registration Statement; Information Statement</w:t>
            </w:r>
          </w:p>
        </w:tc>
        <w:tc>
          <w:tcPr>
            <w:tcW w:w="5140" w:type="dxa"/>
            <w:vAlign w:val="bottom"/>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A-78</w:t>
            </w: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A-3</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7.2</w:t>
            </w:r>
          </w:p>
        </w:tc>
        <w:tc>
          <w:tcPr>
            <w:tcW w:w="9260" w:type="dxa"/>
            <w:vAlign w:val="bottom"/>
            <w:gridSpan w:val="35"/>
            <w:vMerge w:val="restart"/>
          </w:tcPr>
          <w:p>
            <w:pPr>
              <w:spacing w:after="0"/>
              <w:rPr>
                <w:sz w:val="20"/>
                <w:szCs w:val="20"/>
                <w:color w:val="auto"/>
              </w:rPr>
            </w:pPr>
            <w:r>
              <w:rPr>
                <w:rFonts w:ascii="Times New Roman" w:cs="Times New Roman" w:eastAsia="Times New Roman" w:hAnsi="Times New Roman"/>
                <w:sz w:val="18"/>
                <w:szCs w:val="18"/>
                <w:color w:val="0000EE"/>
              </w:rPr>
              <w:t>Obsidian Stockholder Approval</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3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9260" w:type="dxa"/>
            <w:vAlign w:val="bottom"/>
            <w:gridSpan w:val="35"/>
            <w:vMerge w:val="continue"/>
          </w:tcPr>
          <w:p>
            <w:pPr>
              <w:spacing w:after="0"/>
              <w:rPr>
                <w:sz w:val="14"/>
                <w:szCs w:val="14"/>
                <w:color w:val="auto"/>
              </w:rPr>
            </w:pPr>
          </w:p>
        </w:tc>
        <w:tc>
          <w:tcPr>
            <w:tcW w:w="540" w:type="dxa"/>
            <w:vAlign w:val="bottom"/>
            <w:tcBorders>
              <w:top w:val="single" w:sz="8" w:color="auto"/>
            </w:tcBorders>
          </w:tcPr>
          <w:p>
            <w:pPr>
              <w:ind w:left="160"/>
              <w:spacing w:after="0" w:line="169" w:lineRule="exact"/>
              <w:rPr>
                <w:sz w:val="20"/>
                <w:szCs w:val="20"/>
                <w:color w:val="auto"/>
              </w:rPr>
            </w:pPr>
            <w:r>
              <w:rPr>
                <w:rFonts w:ascii="Times New Roman" w:cs="Times New Roman" w:eastAsia="Times New Roman" w:hAnsi="Times New Roman"/>
                <w:sz w:val="18"/>
                <w:szCs w:val="18"/>
                <w:color w:val="auto"/>
                <w:w w:val="97"/>
              </w:rPr>
              <w:t>A-79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Galera Stockholder Approval</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Efforts; Regulatory Approvals; Transaction Litigation</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3880" w:type="dxa"/>
            <w:vAlign w:val="bottom"/>
            <w:tcBorders>
              <w:top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Disclosures</w:t>
            </w:r>
          </w:p>
        </w:tc>
        <w:tc>
          <w:tcPr>
            <w:tcW w:w="5380" w:type="dxa"/>
            <w:vAlign w:val="bottom"/>
            <w:gridSpan w:val="4"/>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A-83</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300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Indemnification of Officers and Directors</w:t>
            </w:r>
          </w:p>
        </w:tc>
        <w:tc>
          <w:tcPr>
            <w:tcW w:w="6260" w:type="dxa"/>
            <w:vAlign w:val="bottom"/>
            <w:gridSpan w:val="9"/>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Tax Matters</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7.8</w:t>
            </w:r>
          </w:p>
        </w:tc>
        <w:tc>
          <w:tcPr>
            <w:tcW w:w="5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Listing</w:t>
            </w:r>
          </w:p>
        </w:tc>
        <w:tc>
          <w:tcPr>
            <w:tcW w:w="340" w:type="dxa"/>
            <w:vAlign w:val="bottom"/>
            <w:tcBorders>
              <w:top w:val="single" w:sz="8" w:color="0000EE"/>
            </w:tcBorders>
            <w:gridSpan w:val="4"/>
          </w:tcPr>
          <w:p>
            <w:pPr>
              <w:spacing w:after="0"/>
              <w:rPr>
                <w:sz w:val="17"/>
                <w:szCs w:val="17"/>
                <w:color w:val="auto"/>
              </w:rPr>
            </w:pPr>
          </w:p>
        </w:tc>
        <w:tc>
          <w:tcPr>
            <w:tcW w:w="8400" w:type="dxa"/>
            <w:vAlign w:val="bottom"/>
            <w:gridSpan w:val="29"/>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6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Legends</w:t>
            </w:r>
          </w:p>
        </w:tc>
        <w:tc>
          <w:tcPr>
            <w:tcW w:w="8640" w:type="dxa"/>
            <w:vAlign w:val="bottom"/>
            <w:gridSpan w:val="31"/>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7.10</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Officers and Directors</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7.11</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Termination of Certain Agreements and Rights</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7.12</w:t>
            </w:r>
          </w:p>
        </w:tc>
        <w:tc>
          <w:tcPr>
            <w:tcW w:w="33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Section 16 Matters</w:t>
            </w:r>
          </w:p>
        </w:tc>
        <w:tc>
          <w:tcPr>
            <w:tcW w:w="5880" w:type="dxa"/>
            <w:vAlign w:val="bottom"/>
            <w:gridSpan w:val="8"/>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7.13</w:t>
            </w:r>
          </w:p>
        </w:tc>
        <w:tc>
          <w:tcPr>
            <w:tcW w:w="16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Allocation Certificate</w:t>
            </w:r>
          </w:p>
        </w:tc>
        <w:tc>
          <w:tcPr>
            <w:tcW w:w="7660" w:type="dxa"/>
            <w:vAlign w:val="bottom"/>
            <w:gridSpan w:val="19"/>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7.14</w:t>
            </w:r>
          </w:p>
        </w:tc>
        <w:tc>
          <w:tcPr>
            <w:tcW w:w="24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Galera Organizational Documents</w:t>
            </w:r>
          </w:p>
        </w:tc>
        <w:tc>
          <w:tcPr>
            <w:tcW w:w="6800" w:type="dxa"/>
            <w:vAlign w:val="bottom"/>
            <w:gridSpan w:val="11"/>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7.15</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Obligations of Merger Subs</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7.16</w:t>
            </w:r>
          </w:p>
        </w:tc>
        <w:tc>
          <w:tcPr>
            <w:tcW w:w="200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Takeover Statutes</w:t>
            </w:r>
          </w:p>
        </w:tc>
        <w:tc>
          <w:tcPr>
            <w:tcW w:w="7260" w:type="dxa"/>
            <w:vAlign w:val="bottom"/>
            <w:gridSpan w:val="16"/>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7.17</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Parent Equity Plans</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7.18</w:t>
            </w:r>
          </w:p>
        </w:tc>
        <w:tc>
          <w:tcPr>
            <w:tcW w:w="142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Galera 401(k) Plan</w:t>
            </w:r>
          </w:p>
        </w:tc>
        <w:tc>
          <w:tcPr>
            <w:tcW w:w="7840" w:type="dxa"/>
            <w:vAlign w:val="bottom"/>
            <w:gridSpan w:val="21"/>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A-88</w:t>
            </w: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ARTICLE VIII CONDITIONS TO CONSUMMATION OF THE MERGER</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A-88</w:t>
            </w:r>
          </w:p>
        </w:tc>
        <w:tc>
          <w:tcPr>
            <w:tcW w:w="0" w:type="dxa"/>
            <w:vAlign w:val="bottom"/>
          </w:tcPr>
          <w:p>
            <w:pPr>
              <w:spacing w:after="0"/>
              <w:rPr>
                <w:sz w:val="1"/>
                <w:szCs w:val="1"/>
                <w:color w:val="auto"/>
              </w:rPr>
            </w:pPr>
          </w:p>
        </w:tc>
      </w:tr>
      <w:tr>
        <w:trPr>
          <w:trHeight w:val="304"/>
        </w:trPr>
        <w:tc>
          <w:tcPr>
            <w:tcW w:w="38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ind w:left="160"/>
              <w:spacing w:after="0"/>
              <w:rPr>
                <w:sz w:val="20"/>
                <w:szCs w:val="20"/>
                <w:color w:val="auto"/>
              </w:rPr>
            </w:pPr>
            <w:r>
              <w:rPr>
                <w:rFonts w:ascii="Times New Roman" w:cs="Times New Roman" w:eastAsia="Times New Roman" w:hAnsi="Times New Roman"/>
                <w:sz w:val="18"/>
                <w:szCs w:val="18"/>
                <w:color w:val="auto"/>
              </w:rPr>
              <w:t>8.1</w:t>
            </w:r>
          </w:p>
        </w:tc>
        <w:tc>
          <w:tcPr>
            <w:tcW w:w="4360" w:type="dxa"/>
            <w:vAlign w:val="bottom"/>
            <w:tcBorders>
              <w:top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Conditions Precedent to Obligations of Each Party</w:t>
            </w:r>
          </w:p>
        </w:tc>
        <w:tc>
          <w:tcPr>
            <w:tcW w:w="4900" w:type="dxa"/>
            <w:vAlign w:val="bottom"/>
            <w:gridSpan w:val="3"/>
          </w:tcPr>
          <w:p>
            <w:pPr>
              <w:spacing w:after="0"/>
              <w:rPr>
                <w:sz w:val="24"/>
                <w:szCs w:val="24"/>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A-88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3520" w:type="dxa"/>
            <w:vAlign w:val="bottom"/>
            <w:tcBorders>
              <w:top w:val="single" w:sz="8" w:color="0000EE"/>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Conditions Precedent to Obligations of Obsidian</w:t>
            </w:r>
          </w:p>
        </w:tc>
        <w:tc>
          <w:tcPr>
            <w:tcW w:w="120" w:type="dxa"/>
            <w:vAlign w:val="bottom"/>
            <w:tcBorders>
              <w:top w:val="single" w:sz="8" w:color="0000EE"/>
            </w:tcBorders>
          </w:tcPr>
          <w:p>
            <w:pPr>
              <w:spacing w:after="0"/>
              <w:rPr>
                <w:sz w:val="17"/>
                <w:szCs w:val="17"/>
                <w:color w:val="auto"/>
              </w:rPr>
            </w:pPr>
          </w:p>
        </w:tc>
        <w:tc>
          <w:tcPr>
            <w:tcW w:w="5620" w:type="dxa"/>
            <w:vAlign w:val="bottom"/>
            <w:gridSpan w:val="5"/>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A-89</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Conditions Precedent to Obligations of Galera, Parent, Obsidian Merger Sub and Galera Merger Sub</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7240" w:type="dxa"/>
            <w:vAlign w:val="bottom"/>
            <w:tcBorders>
              <w:top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Frustration of Closing Conditions</w:t>
            </w:r>
          </w:p>
        </w:tc>
        <w:tc>
          <w:tcPr>
            <w:tcW w:w="2020" w:type="dxa"/>
            <w:vAlign w:val="bottom"/>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A-91</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ARTICLE IX CLOSING DELIVERIES</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A-91</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9.1</w:t>
            </w:r>
          </w:p>
        </w:tc>
        <w:tc>
          <w:tcPr>
            <w:tcW w:w="23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rPr>
              <w:t>Closing Deliveries of Obsidian</w:t>
            </w:r>
          </w:p>
        </w:tc>
        <w:tc>
          <w:tcPr>
            <w:tcW w:w="6960" w:type="dxa"/>
            <w:vAlign w:val="bottom"/>
            <w:gridSpan w:val="13"/>
          </w:tcPr>
          <w:p>
            <w:pPr>
              <w:spacing w:after="0"/>
              <w:rPr>
                <w:sz w:val="24"/>
                <w:szCs w:val="24"/>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A-91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Closing Deliveries of Galera</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A-91</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2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ARTICLE X TERMINATION</w:t>
            </w:r>
          </w:p>
        </w:tc>
        <w:tc>
          <w:tcPr>
            <w:tcW w:w="8200" w:type="dxa"/>
            <w:vAlign w:val="bottom"/>
            <w:gridSpan w:val="25"/>
          </w:tcPr>
          <w:p>
            <w:pPr>
              <w:spacing w:after="0"/>
              <w:rPr>
                <w:sz w:val="24"/>
                <w:szCs w:val="24"/>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A-92</w:t>
            </w:r>
          </w:p>
        </w:tc>
        <w:tc>
          <w:tcPr>
            <w:tcW w:w="0" w:type="dxa"/>
            <w:vAlign w:val="bottom"/>
          </w:tcPr>
          <w:p>
            <w:pPr>
              <w:spacing w:after="0"/>
              <w:rPr>
                <w:sz w:val="1"/>
                <w:szCs w:val="1"/>
                <w:color w:val="auto"/>
              </w:rPr>
            </w:pPr>
          </w:p>
        </w:tc>
      </w:tr>
      <w:tr>
        <w:trPr>
          <w:trHeight w:val="304"/>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Termination</w:t>
            </w:r>
          </w:p>
        </w:tc>
        <w:tc>
          <w:tcPr>
            <w:tcW w:w="8360" w:type="dxa"/>
            <w:vAlign w:val="bottom"/>
            <w:gridSpan w:val="27"/>
          </w:tcPr>
          <w:p>
            <w:pPr>
              <w:spacing w:after="0"/>
              <w:rPr>
                <w:sz w:val="24"/>
                <w:szCs w:val="24"/>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A-92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5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 of Termination</w:t>
            </w:r>
          </w:p>
        </w:tc>
        <w:tc>
          <w:tcPr>
            <w:tcW w:w="7700" w:type="dxa"/>
            <w:vAlign w:val="bottom"/>
            <w:gridSpan w:val="20"/>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Expenses; Termination Fees</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A-94</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ARTICLE XI GENERAL PROVISIONS</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A-95</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60" w:type="dxa"/>
            <w:vAlign w:val="bottom"/>
            <w:gridSpan w:val="9"/>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80" w:type="dxa"/>
            <w:vAlign w:val="bottom"/>
          </w:tcPr>
          <w:p>
            <w:pPr>
              <w:spacing w:after="0"/>
              <w:rPr>
                <w:sz w:val="24"/>
                <w:szCs w:val="24"/>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11.1</w:t>
            </w:r>
          </w:p>
        </w:tc>
        <w:tc>
          <w:tcPr>
            <w:tcW w:w="350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9"/>
              </w:rPr>
              <w:t>Non-Survival of Representations and Warranties</w:t>
            </w:r>
          </w:p>
        </w:tc>
        <w:tc>
          <w:tcPr>
            <w:tcW w:w="5760" w:type="dxa"/>
            <w:vAlign w:val="bottom"/>
            <w:gridSpan w:val="7"/>
          </w:tcPr>
          <w:p>
            <w:pPr>
              <w:spacing w:after="0"/>
              <w:rPr>
                <w:sz w:val="24"/>
                <w:szCs w:val="24"/>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A-95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9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Amendment</w:t>
            </w:r>
          </w:p>
        </w:tc>
        <w:tc>
          <w:tcPr>
            <w:tcW w:w="8360" w:type="dxa"/>
            <w:vAlign w:val="bottom"/>
            <w:gridSpan w:val="27"/>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5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Waiver</w:t>
            </w:r>
          </w:p>
        </w:tc>
        <w:tc>
          <w:tcPr>
            <w:tcW w:w="8740" w:type="dxa"/>
            <w:vAlign w:val="bottom"/>
            <w:gridSpan w:val="33"/>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A-95</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Entire Agreement; Counterparts; Exchanges by Electronic Transmission or Facsimile</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212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Applicable Law; Jurisdiction</w:t>
            </w:r>
          </w:p>
        </w:tc>
        <w:tc>
          <w:tcPr>
            <w:tcW w:w="4020" w:type="dxa"/>
            <w:vAlign w:val="bottom"/>
            <w:tcBorders>
              <w:top w:val="single" w:sz="8" w:color="0000EE"/>
            </w:tcBorders>
            <w:gridSpan w:val="12"/>
          </w:tcPr>
          <w:p>
            <w:pPr>
              <w:spacing w:after="0"/>
              <w:rPr>
                <w:sz w:val="17"/>
                <w:szCs w:val="17"/>
                <w:color w:val="auto"/>
              </w:rPr>
            </w:pPr>
          </w:p>
        </w:tc>
        <w:tc>
          <w:tcPr>
            <w:tcW w:w="3120" w:type="dxa"/>
            <w:vAlign w:val="bottom"/>
            <w:gridSpan w:val="2"/>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Assignability</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11.7</w:t>
            </w:r>
          </w:p>
        </w:tc>
        <w:tc>
          <w:tcPr>
            <w:tcW w:w="5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Notices</w:t>
            </w:r>
          </w:p>
        </w:tc>
        <w:tc>
          <w:tcPr>
            <w:tcW w:w="400" w:type="dxa"/>
            <w:vAlign w:val="bottom"/>
            <w:tcBorders>
              <w:top w:val="single" w:sz="8" w:color="0000EE"/>
            </w:tcBorders>
            <w:gridSpan w:val="6"/>
          </w:tcPr>
          <w:p>
            <w:pPr>
              <w:spacing w:after="0"/>
              <w:rPr>
                <w:sz w:val="17"/>
                <w:szCs w:val="17"/>
                <w:color w:val="auto"/>
              </w:rPr>
            </w:pPr>
          </w:p>
        </w:tc>
        <w:tc>
          <w:tcPr>
            <w:tcW w:w="8300" w:type="dxa"/>
            <w:vAlign w:val="bottom"/>
            <w:gridSpan w:val="26"/>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9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Cooperation</w:t>
            </w:r>
          </w:p>
        </w:tc>
        <w:tc>
          <w:tcPr>
            <w:tcW w:w="8360" w:type="dxa"/>
            <w:vAlign w:val="bottom"/>
            <w:gridSpan w:val="27"/>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8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Severability</w:t>
            </w:r>
          </w:p>
        </w:tc>
        <w:tc>
          <w:tcPr>
            <w:tcW w:w="8380" w:type="dxa"/>
            <w:vAlign w:val="bottom"/>
            <w:gridSpan w:val="28"/>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11.10</w:t>
            </w:r>
          </w:p>
        </w:tc>
        <w:tc>
          <w:tcPr>
            <w:tcW w:w="28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Other Remedies; Specific Performance</w:t>
            </w:r>
          </w:p>
        </w:tc>
        <w:tc>
          <w:tcPr>
            <w:tcW w:w="6440" w:type="dxa"/>
            <w:vAlign w:val="bottom"/>
            <w:gridSpan w:val="10"/>
          </w:tcPr>
          <w:p>
            <w:pPr>
              <w:spacing w:after="0"/>
              <w:rPr>
                <w:sz w:val="17"/>
                <w:szCs w:val="17"/>
                <w:color w:val="auto"/>
              </w:rPr>
            </w:pP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76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11.11</w:t>
            </w:r>
          </w:p>
        </w:tc>
        <w:tc>
          <w:tcPr>
            <w:tcW w:w="926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No Third-Party Beneficiaries</w:t>
            </w:r>
          </w:p>
        </w:tc>
        <w:tc>
          <w:tcPr>
            <w:tcW w:w="560" w:type="dxa"/>
            <w:vAlign w:val="bottom"/>
            <w:gridSpan w:val="2"/>
          </w:tcPr>
          <w:p>
            <w:pPr>
              <w:ind w:left="160"/>
              <w:spacing w:after="0" w:line="196" w:lineRule="exact"/>
              <w:rPr>
                <w:sz w:val="20"/>
                <w:szCs w:val="20"/>
                <w:color w:val="auto"/>
              </w:rPr>
            </w:pPr>
            <w:r>
              <w:rPr>
                <w:rFonts w:ascii="Times New Roman" w:cs="Times New Roman" w:eastAsia="Times New Roman" w:hAnsi="Times New Roman"/>
                <w:sz w:val="18"/>
                <w:szCs w:val="18"/>
                <w:color w:val="auto"/>
              </w:rPr>
              <w:t>A-98</w:t>
            </w:r>
          </w:p>
        </w:tc>
        <w:tc>
          <w:tcPr>
            <w:tcW w:w="0" w:type="dxa"/>
            <w:vAlign w:val="bottom"/>
          </w:tcPr>
          <w:p>
            <w:pPr>
              <w:spacing w:after="0"/>
              <w:rPr>
                <w:sz w:val="1"/>
                <w:szCs w:val="1"/>
                <w:color w:val="auto"/>
              </w:rPr>
            </w:pPr>
          </w:p>
        </w:tc>
      </w:tr>
      <w:tr>
        <w:trPr>
          <w:trHeight w:val="385"/>
        </w:trPr>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A-4</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468" w:name="page469"/>
    <w:bookmarkEnd w:id="46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70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338"/>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A</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Galera Stockholder Support Agreement</w:t>
            </w:r>
          </w:p>
        </w:tc>
      </w:tr>
      <w:tr>
        <w:trPr>
          <w:trHeight w:val="324"/>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B</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Form of Obsidian Stockholder Support Agreement</w:t>
            </w:r>
          </w:p>
        </w:tc>
      </w:tr>
      <w:tr>
        <w:trPr>
          <w:trHeight w:val="324"/>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C</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Obsidian Lock-Up Agreement</w:t>
            </w:r>
          </w:p>
        </w:tc>
      </w:tr>
      <w:tr>
        <w:trPr>
          <w:trHeight w:val="324"/>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D</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Obsidian Stockholder Written Consent</w:t>
            </w:r>
          </w:p>
        </w:tc>
      </w:tr>
      <w:tr>
        <w:trPr>
          <w:trHeight w:val="324"/>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Galera Stockholder Written Consent</w:t>
            </w:r>
          </w:p>
        </w:tc>
      </w:tr>
      <w:tr>
        <w:trPr>
          <w:trHeight w:val="324"/>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F</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Securities Purchase Agreement</w:t>
            </w:r>
          </w:p>
        </w:tc>
      </w:tr>
      <w:tr>
        <w:trPr>
          <w:trHeight w:val="324"/>
        </w:trPr>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G</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CVR Agreement</w:t>
            </w:r>
          </w:p>
        </w:tc>
      </w:tr>
    </w:tbl>
    <w:p>
      <w:pPr>
        <w:spacing w:after="0" w:line="130"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139"/>
          </w:cols>
          <w:pgMar w:left="320" w:top="445" w:right="1440"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 AND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LAN OF</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as of April 14, 2026, by and among O</w:t>
      </w:r>
      <w:r>
        <w:rPr>
          <w:rFonts w:ascii="Times New Roman" w:cs="Times New Roman" w:eastAsia="Times New Roman" w:hAnsi="Times New Roman"/>
          <w:sz w:val="14"/>
          <w:szCs w:val="14"/>
          <w:color w:val="auto"/>
        </w:rPr>
        <w:t>BSIDIAN</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xml:space="preserve">., a Delaware corporation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ALERA</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xml:space="preserve">., a Delaware corporation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w:t>
      </w:r>
      <w:r>
        <w:rPr>
          <w:rFonts w:ascii="Times New Roman" w:cs="Times New Roman" w:eastAsia="Times New Roman" w:hAnsi="Times New Roman"/>
          <w:sz w:val="18"/>
          <w:szCs w:val="18"/>
          <w:color w:val="auto"/>
        </w:rPr>
        <w:t>”), G</w:t>
      </w:r>
      <w:r>
        <w:rPr>
          <w:rFonts w:ascii="Times New Roman" w:cs="Times New Roman" w:eastAsia="Times New Roman" w:hAnsi="Times New Roman"/>
          <w:sz w:val="14"/>
          <w:szCs w:val="14"/>
          <w:color w:val="auto"/>
        </w:rPr>
        <w:t>AZELLE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NYX</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UB</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a Delaware corporation and a direct, wholly owned subsidiary of Parent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Merger Sub</w:t>
      </w:r>
      <w:r>
        <w:rPr>
          <w:rFonts w:ascii="Times New Roman" w:cs="Times New Roman" w:eastAsia="Times New Roman" w:hAnsi="Times New Roman"/>
          <w:sz w:val="18"/>
          <w:szCs w:val="18"/>
          <w:color w:val="auto"/>
        </w:rPr>
        <w:t>”), and G</w:t>
      </w:r>
      <w:r>
        <w:rPr>
          <w:rFonts w:ascii="Times New Roman" w:cs="Times New Roman" w:eastAsia="Times New Roman" w:hAnsi="Times New Roman"/>
          <w:sz w:val="14"/>
          <w:szCs w:val="14"/>
          <w:color w:val="auto"/>
        </w:rPr>
        <w:t>AZELLE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w:t>
      </w:r>
      <w:r>
        <w:rPr>
          <w:rFonts w:ascii="Times New Roman" w:cs="Times New Roman" w:eastAsia="Times New Roman" w:hAnsi="Times New Roman"/>
          <w:sz w:val="14"/>
          <w:szCs w:val="14"/>
          <w:color w:val="auto"/>
        </w:rPr>
        <w:t>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UBSIDIARY</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a Delaware corporation and a direct, wholly owned subsidiary of Parent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Merger Sub</w:t>
      </w:r>
      <w:r>
        <w:rPr>
          <w:rFonts w:ascii="Times New Roman" w:cs="Times New Roman" w:eastAsia="Times New Roman" w:hAnsi="Times New Roman"/>
          <w:sz w:val="18"/>
          <w:szCs w:val="18"/>
          <w:color w:val="auto"/>
        </w:rPr>
        <w:t>”). Certain capitalized terms used in this Agreement are defined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WHEREAS, Obsidian and Galera intend to effect a strategic combination of their businesses in accordance with this Agreement and Delaware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B. WHEREAS, on April 10, 2026, Galera formed Parent and each of Obsidian and Galera have determined that from and after the Galera Effective Time on the Closing Date, Parent shall act as the parent company for their combined businesses;</w:t>
      </w:r>
    </w:p>
    <w:p>
      <w:pPr>
        <w:spacing w:after="0" w:line="162"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C. WHEREAS, Obsidian and Parent intend, upon the terms and subject to the conditions set forth in this Agreement and in accordance with Delaware Law, to effect a merger of Obsidian Merger Sub with and into Obsidian (the “</w:t>
      </w:r>
      <w:r>
        <w:rPr>
          <w:rFonts w:ascii="Times New Roman" w:cs="Times New Roman" w:eastAsia="Times New Roman" w:hAnsi="Times New Roman"/>
          <w:sz w:val="18"/>
          <w:szCs w:val="18"/>
          <w:b w:val="1"/>
          <w:bCs w:val="1"/>
          <w:color w:val="auto"/>
        </w:rPr>
        <w:t>Obsidian Merger</w:t>
      </w:r>
      <w:r>
        <w:rPr>
          <w:rFonts w:ascii="Times New Roman" w:cs="Times New Roman" w:eastAsia="Times New Roman" w:hAnsi="Times New Roman"/>
          <w:sz w:val="18"/>
          <w:szCs w:val="18"/>
          <w:color w:val="auto"/>
        </w:rPr>
        <w:t>”). Upon consummation of the Obsidian Merger, Obsidian Merger Sub will cease to exist, and Obsidian will become a direct wholly owned Subsidiary of Parent;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 WHEREAS, Galera and Parent intend, upon the terms and subject to the conditions set forth in this Agreement and in accordance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Delaware Law, to effect a merger of Galera Merger Sub with and into Galera (the “</w:t>
      </w:r>
      <w:r>
        <w:rPr>
          <w:rFonts w:ascii="Times New Roman" w:cs="Times New Roman" w:eastAsia="Times New Roman" w:hAnsi="Times New Roman"/>
          <w:sz w:val="18"/>
          <w:szCs w:val="18"/>
          <w:b w:val="1"/>
          <w:bCs w:val="1"/>
          <w:color w:val="auto"/>
        </w:rPr>
        <w:t>Galera Merger</w:t>
      </w:r>
      <w:r>
        <w:rPr>
          <w:rFonts w:ascii="Times New Roman" w:cs="Times New Roman" w:eastAsia="Times New Roman" w:hAnsi="Times New Roman"/>
          <w:sz w:val="18"/>
          <w:szCs w:val="18"/>
          <w:color w:val="auto"/>
        </w:rPr>
        <w:t>” and together with the Obsidian Merger,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as soon as reasonably practicable following the Obsidian Effective Time. Upon consummation of the Galera Merger, Galera Merger Sub</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cease to exist, and Galera will become a direct wholly owned Subsidiary of Parent;</w:t>
      </w:r>
    </w:p>
    <w:p>
      <w:pPr>
        <w:spacing w:after="0" w:line="203"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E. WHEREAS, the board of directors of Obsidian (the “</w:t>
      </w:r>
      <w:r>
        <w:rPr>
          <w:rFonts w:ascii="Times New Roman" w:cs="Times New Roman" w:eastAsia="Times New Roman" w:hAnsi="Times New Roman"/>
          <w:sz w:val="18"/>
          <w:szCs w:val="18"/>
          <w:b w:val="1"/>
          <w:bCs w:val="1"/>
          <w:color w:val="auto"/>
        </w:rPr>
        <w:t>Obsidian Board</w:t>
      </w:r>
      <w:r>
        <w:rPr>
          <w:rFonts w:ascii="Times New Roman" w:cs="Times New Roman" w:eastAsia="Times New Roman" w:hAnsi="Times New Roman"/>
          <w:sz w:val="18"/>
          <w:szCs w:val="18"/>
          <w:color w:val="auto"/>
        </w:rPr>
        <w:t>”) has (i) determined that the Contemplated Transactions are fair to, advisable and in the best interests of Obsidian and its stockholders, (ii) approved and declared advisable this Agreement and the Contemplated Transactions and the other actions contemplated by this Agreement, and (iii) determined to recommend, upon the terms and subject to the conditions set forth in this Agreement, that the stockholders of Obsidian vote to approve Obsidian Merger;</w:t>
      </w:r>
    </w:p>
    <w:p>
      <w:pPr>
        <w:spacing w:after="0" w:line="176"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F. WHEREAS, the board of directors of Galera (the “</w:t>
      </w:r>
      <w:r>
        <w:rPr>
          <w:rFonts w:ascii="Times New Roman" w:cs="Times New Roman" w:eastAsia="Times New Roman" w:hAnsi="Times New Roman"/>
          <w:sz w:val="18"/>
          <w:szCs w:val="18"/>
          <w:b w:val="1"/>
          <w:bCs w:val="1"/>
          <w:color w:val="auto"/>
        </w:rPr>
        <w:t>Galera Board</w:t>
      </w:r>
      <w:r>
        <w:rPr>
          <w:rFonts w:ascii="Times New Roman" w:cs="Times New Roman" w:eastAsia="Times New Roman" w:hAnsi="Times New Roman"/>
          <w:sz w:val="18"/>
          <w:szCs w:val="18"/>
          <w:color w:val="auto"/>
        </w:rPr>
        <w:t>”) has (i) determined that the Contemplated Transactions are fair to, advisable and in the best interests of Galera and its stockholders, (ii) approved and declared advisable this Agreement and the Contemplated Transactions and the other actions contemplated by this Agreement, and (iii) determined to recommend, upon the terms and subject to the conditions set forth in this Agreement, that the stockholders of Galera vote to approve the Galera Merger (the “</w:t>
      </w:r>
      <w:r>
        <w:rPr>
          <w:rFonts w:ascii="Times New Roman" w:cs="Times New Roman" w:eastAsia="Times New Roman" w:hAnsi="Times New Roman"/>
          <w:sz w:val="18"/>
          <w:szCs w:val="18"/>
          <w:b w:val="1"/>
          <w:bCs w:val="1"/>
          <w:color w:val="auto"/>
        </w:rPr>
        <w:t>Galera Stockholder Matters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G. WHEREAS, the board of directors of Parent (the “</w:t>
      </w:r>
      <w:r>
        <w:rPr>
          <w:rFonts w:ascii="Times New Roman" w:cs="Times New Roman" w:eastAsia="Times New Roman" w:hAnsi="Times New Roman"/>
          <w:sz w:val="17"/>
          <w:szCs w:val="17"/>
          <w:b w:val="1"/>
          <w:bCs w:val="1"/>
          <w:color w:val="auto"/>
        </w:rPr>
        <w:t>Parent Board</w:t>
      </w:r>
      <w:r>
        <w:rPr>
          <w:rFonts w:ascii="Times New Roman" w:cs="Times New Roman" w:eastAsia="Times New Roman" w:hAnsi="Times New Roman"/>
          <w:sz w:val="17"/>
          <w:szCs w:val="17"/>
          <w:color w:val="auto"/>
        </w:rPr>
        <w:t>”) has (i) determined that the Contemplated Transactions are fair to, advisable</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in the best interests of Parent and its stockholders, (ii) approved and declared advisable this Agreement and the Contemplated Transactions,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the issuance of shares of Parent Common Stock to the stockholders of Obsidian and Galera pursuant to the terms of this Agreement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Issuance</w:t>
      </w:r>
      <w:r>
        <w:rPr>
          <w:rFonts w:ascii="Times New Roman" w:cs="Times New Roman" w:eastAsia="Times New Roman" w:hAnsi="Times New Roman"/>
          <w:sz w:val="17"/>
          <w:szCs w:val="17"/>
          <w:color w:val="auto"/>
        </w:rPr>
        <w:t>”), and (iii) determined to recommend, upon the terms and subject to the conditions set forth in this Agreement, that the stockholders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vote to (a) approve the Stock Issuance and (b) adopt this Agreement and thereby approve the Contemplated Transactions;</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80"/>
          </w:cols>
          <w:pgMar w:left="320" w:top="455" w:right="499"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78" w:lineRule="auto"/>
        <w:rPr>
          <w:sz w:val="20"/>
          <w:szCs w:val="20"/>
          <w:color w:val="auto"/>
        </w:rPr>
      </w:pPr>
      <w:r>
        <w:rPr>
          <w:rFonts w:ascii="Times New Roman" w:cs="Times New Roman" w:eastAsia="Times New Roman" w:hAnsi="Times New Roman"/>
          <w:sz w:val="17"/>
          <w:szCs w:val="17"/>
          <w:color w:val="auto"/>
        </w:rPr>
        <w:t>H. WHEREAS, the board of directors of Obsidian Merger Sub (the “</w:t>
      </w:r>
      <w:r>
        <w:rPr>
          <w:rFonts w:ascii="Times New Roman" w:cs="Times New Roman" w:eastAsia="Times New Roman" w:hAnsi="Times New Roman"/>
          <w:sz w:val="17"/>
          <w:szCs w:val="17"/>
          <w:b w:val="1"/>
          <w:bCs w:val="1"/>
          <w:color w:val="auto"/>
        </w:rPr>
        <w:t>Obsidian Merger Sub Board</w:t>
      </w:r>
      <w:r>
        <w:rPr>
          <w:rFonts w:ascii="Times New Roman" w:cs="Times New Roman" w:eastAsia="Times New Roman" w:hAnsi="Times New Roman"/>
          <w:sz w:val="17"/>
          <w:szCs w:val="17"/>
          <w:color w:val="auto"/>
        </w:rPr>
        <w:t>”) and the board of directors of Galera Merger Sub (the “</w:t>
      </w:r>
      <w:r>
        <w:rPr>
          <w:rFonts w:ascii="Times New Roman" w:cs="Times New Roman" w:eastAsia="Times New Roman" w:hAnsi="Times New Roman"/>
          <w:sz w:val="17"/>
          <w:szCs w:val="17"/>
          <w:b w:val="1"/>
          <w:bCs w:val="1"/>
          <w:color w:val="auto"/>
        </w:rPr>
        <w:t>Galera Merger Sub Board</w:t>
      </w:r>
      <w:r>
        <w:rPr>
          <w:rFonts w:ascii="Times New Roman" w:cs="Times New Roman" w:eastAsia="Times New Roman" w:hAnsi="Times New Roman"/>
          <w:sz w:val="17"/>
          <w:szCs w:val="17"/>
          <w:color w:val="auto"/>
        </w:rPr>
        <w:t>”) has each (i) determined that the Contemplated Transactions are fair to, advisable and in the best interests of its sole stockholder and Obsidian Merger Sub and Galera Merger Sub, respectively, (ii) approved and declared advisable this Agreement and the Contemplated Transactions, and (iii) determined to recommend, upon the terms and subject to the conditions set forth in this Agreement, that the sole stockholder of Obsidian Merger Sub and Galera Merger Sub, respectively, adopt this Agreement and thereby approve the Contemplated Transactions;</w:t>
      </w:r>
    </w:p>
    <w:p>
      <w:pPr>
        <w:spacing w:after="0" w:line="16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 WHEREAS, the sole stockholder of each of Parent, Obsidian Merger Sub and Galera Merger Sub has determined that the Contemplated Transactions, and in the case of Parent, the Stock Issuance, are in the best interest of Parent, Obsidian Merger Sub, and Galera Merger Sub respectively, and each of their respective stockholders, has approved this Agreement and the Contemplated Transactions, and in the case of Parent, the Stock Issuance;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 WHEREAS, concurrently with the execution and delivery of this Agreement and as a condition and inducement to Obsidian’s willingness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enter into this Agreement, the stockholders, officers and directors of Galera set forth on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Galera Disclosure Schedule (solely in their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capacity as stockholders of Galera) are executing support agreements in favor of Obsidian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Stockholder Support Agreements</w:t>
      </w:r>
      <w:r>
        <w:rPr>
          <w:rFonts w:ascii="Times New Roman" w:cs="Times New Roman" w:eastAsia="Times New Roman" w:hAnsi="Times New Roman"/>
          <w:sz w:val="18"/>
          <w:szCs w:val="18"/>
          <w:color w:val="auto"/>
        </w:rPr>
        <w:t>”), pursuant to which such Persons have, subject to the terms and conditions set forth therein, agreed to vote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of their shares of Galera Common Stock in favor of (a) this Agreement and (b) the Annual Meeting Galera Stockholder Vote;</w:t>
      </w:r>
    </w:p>
    <w:p>
      <w:pPr>
        <w:spacing w:after="0" w:line="20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K. WHEREAS, concurrently with the execution and delivery of this Agreement and as a condition and inducement to Galera’s willingness to enter into this Agreement, the officers, directors and stockholders (together with their Affiliates) of Obsidian set forth on </w:t>
      </w:r>
      <w:r>
        <w:rPr>
          <w:rFonts w:ascii="Times New Roman" w:cs="Times New Roman" w:eastAsia="Times New Roman" w:hAnsi="Times New Roman"/>
          <w:sz w:val="18"/>
          <w:szCs w:val="18"/>
          <w:u w:val="single" w:color="auto"/>
          <w:color w:val="auto"/>
        </w:rPr>
        <w:t>Section A</w:t>
      </w:r>
      <w:r>
        <w:rPr>
          <w:rFonts w:ascii="Times New Roman" w:cs="Times New Roman" w:eastAsia="Times New Roman" w:hAnsi="Times New Roman"/>
          <w:sz w:val="18"/>
          <w:szCs w:val="18"/>
          <w:color w:val="auto"/>
        </w:rPr>
        <w:t xml:space="preserve"> of the Obsidian Disclosure Schedule (solely in their capacity as stockholders of Obsidian) are executing support agreements in favor of Galera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Obsidian Stockholder Support Agreements</w:t>
      </w:r>
      <w:r>
        <w:rPr>
          <w:rFonts w:ascii="Times New Roman" w:cs="Times New Roman" w:eastAsia="Times New Roman" w:hAnsi="Times New Roman"/>
          <w:sz w:val="18"/>
          <w:szCs w:val="18"/>
          <w:color w:val="auto"/>
        </w:rPr>
        <w:t>”), pursuant to which such Persons have, subject to the terms and conditions set forth therein, agreed to vote all of their shares of Obsidian Capital Stock in favor of this Agreement;</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L. WHEREAS, concurrently with the execution and delivery of this Agreement and as a condition and inducement to Galera’s willingness to enter into this Agreement, the officers and directors of Obsidian set forth on </w:t>
      </w:r>
      <w:r>
        <w:rPr>
          <w:rFonts w:ascii="Times New Roman" w:cs="Times New Roman" w:eastAsia="Times New Roman" w:hAnsi="Times New Roman"/>
          <w:sz w:val="18"/>
          <w:szCs w:val="18"/>
          <w:u w:val="single" w:color="auto"/>
          <w:color w:val="auto"/>
        </w:rPr>
        <w:t>Section C</w:t>
      </w:r>
      <w:r>
        <w:rPr>
          <w:rFonts w:ascii="Times New Roman" w:cs="Times New Roman" w:eastAsia="Times New Roman" w:hAnsi="Times New Roman"/>
          <w:sz w:val="18"/>
          <w:szCs w:val="18"/>
          <w:color w:val="auto"/>
        </w:rPr>
        <w:t xml:space="preserve"> of the Obsidian Disclosure Schedule are executing lock-up agreements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color w:val="auto"/>
        </w:rPr>
        <w:t>Obsidian Lock-Up Agreements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M. WHEREAS, it is expected that promptly after the Registration Statement is declared effective under the Securities Act, the stockholders of Obsidian sufficient to adopt and approve this Agreement and the Mergers as required under Delaware Law and Obsidian’s Organizational Documents will execute and deliver an action by written consent in order to obtain the Required Obsidian Stockholder Approval in substantially the form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Obsidian Stockholder Written Consent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Obsidian Stockholder Written Consents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N. WHEREAS, it is expected that, prior to the consummation of the Contemplated Transactions, the Galera stockholders shall be requested to approve an amendment to Galera’s Organizational Documents permitting its stockholders to act by written consent, and, if such approval is granted (the “</w:t>
      </w:r>
      <w:r>
        <w:rPr>
          <w:rFonts w:ascii="Times New Roman" w:cs="Times New Roman" w:eastAsia="Times New Roman" w:hAnsi="Times New Roman"/>
          <w:sz w:val="18"/>
          <w:szCs w:val="18"/>
          <w:b w:val="1"/>
          <w:bCs w:val="1"/>
          <w:color w:val="auto"/>
        </w:rPr>
        <w:t>Annual Meeting Galera Stockholder Vote</w:t>
      </w:r>
      <w:r>
        <w:rPr>
          <w:rFonts w:ascii="Times New Roman" w:cs="Times New Roman" w:eastAsia="Times New Roman" w:hAnsi="Times New Roman"/>
          <w:sz w:val="18"/>
          <w:szCs w:val="18"/>
          <w:color w:val="auto"/>
        </w:rPr>
        <w:t xml:space="preserve">”), promptly after the Registration Statement is declared effective under the Securities Act, the stockholders of Galera sufficient to adopt and approve this Agreement and the Mergers as required under Delaware Law and Galera’s Organizational Documents will, subject to receipt of stockholder approval, execute and deliver an action by written consent in order to obtain the Required Galera Stockholder Approval in substantially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Galera Stockholder Written Consent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Galera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Written Consents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 WHEREAS, concurrently with the execution and delivery of this Agreement, certain investors have executed a Securities Purchase Agreement by and among Galera, Parent and the Persons named therein (representing an aggregate commitment no less than the Concurrent PIPE Financing Amount), pursuant to which such Persons will have agreed to purchase the number of shares of Galera Series C Preferred Stock set forth therein immediately prior to the Galera Effective Time in connection with the Concurrent PIPE Financing in substantially the form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and</w:t>
      </w:r>
    </w:p>
    <w:p>
      <w:pPr>
        <w:spacing w:after="0" w:line="183"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 WHEREAS, each of the parties hereto intends that, for United States federal income tax purposes, the Mergers will qualify as (i) a “reorganization” within the meaning of Section 368(a)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the Treasury Regulations, with respect to which each of Obsidian, Obsidian Merger Sub, Galera, Galera Merger Sub and Parent are a “party to a reorganization” under Section 368(b) of the Code, and this Agreement is intended to constitute a “plan of reorganization” for purposes of Sections 354, 361 and 368 of the Code and within the meaning of Section 368 of the Code and Treasury Regulations Section 1.368-2(g) or (ii) a tax-deferred exchange governed by Section 351(a) of the Code (the “</w:t>
      </w:r>
      <w:r>
        <w:rPr>
          <w:rFonts w:ascii="Times New Roman" w:cs="Times New Roman" w:eastAsia="Times New Roman" w:hAnsi="Times New Roman"/>
          <w:sz w:val="18"/>
          <w:szCs w:val="18"/>
          <w:b w:val="1"/>
          <w:bCs w:val="1"/>
          <w:color w:val="auto"/>
        </w:rPr>
        <w:t>Intended Tax Treatment</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intending to be legally bound, agree as follows: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DEFINITIONS AND INTERPRETATIVE PROVISIONS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For purposes of this Agreement (including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Equity Incentive Plan</w:t>
      </w:r>
      <w:r>
        <w:rPr>
          <w:rFonts w:ascii="Times New Roman" w:cs="Times New Roman" w:eastAsia="Times New Roman" w:hAnsi="Times New Roman"/>
          <w:sz w:val="18"/>
          <w:szCs w:val="18"/>
          <w:color w:val="auto"/>
        </w:rPr>
        <w:t>” shall mean an equity incentive plan of Parent in form and substance as agreed to by Obsidian and Galera (such agreement not to be unreasonably withheld, conditioned or delayed by either Party), reserving for issuance a number of shares of Parent Common Stock to be mutually agreed upon by Obsidian and Galera (such agreement not to be unreasonably withheld, conditioned or delayed by either Party).</w:t>
      </w:r>
    </w:p>
    <w:p>
      <w:pPr>
        <w:spacing w:after="0" w:line="171"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ESPP</w:t>
      </w:r>
      <w:r>
        <w:rPr>
          <w:rFonts w:ascii="Times New Roman" w:cs="Times New Roman" w:eastAsia="Times New Roman" w:hAnsi="Times New Roman"/>
          <w:sz w:val="18"/>
          <w:szCs w:val="18"/>
          <w:color w:val="auto"/>
        </w:rPr>
        <w:t>” shall mean an “employee stock purchase plan” of Parent in form and substance as agreed to by Obsidian and Galera (such agreement not to be unreasonably withheld, conditioned or delayed by either Party), reserving for issuance a number of shares of Parent Common Stock to be mutually agreed upon to by Obsidian and Galera (such agreement not to be unreasonably withheld, conditioned or delayed by either Party).</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Plans</w:t>
      </w:r>
      <w:r>
        <w:rPr>
          <w:rFonts w:ascii="Times New Roman" w:cs="Times New Roman" w:eastAsia="Times New Roman" w:hAnsi="Times New Roman"/>
          <w:sz w:val="18"/>
          <w:szCs w:val="18"/>
          <w:color w:val="auto"/>
        </w:rPr>
        <w:t>” shall mean both the 2026 ESPP and the 2026 Equity Incentive Plan.</w:t>
      </w:r>
    </w:p>
    <w:p>
      <w:pPr>
        <w:spacing w:after="0" w:line="225"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w:t>
      </w:r>
    </w:p>
    <w:p>
      <w:pPr>
        <w:spacing w:after="0" w:line="171"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Inquiry</w:t>
      </w:r>
      <w:r>
        <w:rPr>
          <w:rFonts w:ascii="Times New Roman" w:cs="Times New Roman" w:eastAsia="Times New Roman" w:hAnsi="Times New Roman"/>
          <w:sz w:val="18"/>
          <w:szCs w:val="18"/>
          <w:color w:val="auto"/>
        </w:rPr>
        <w:t>” means, with respect to a Party, an inquiry, indication of interest or request for information (other than an inquiry, indication of interest or request for information made or submitted by Obsidian, on the one hand, or Galera, on the other hand, to the other Party) that would reasonably be expected to lead to an Acquisition Proposal, other than, as applicable, with respect to the Concurrent PIPE Financing, a Permitted Galera Bridge Financing or a Permitted Obsidian Bridge Financing.</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80"/>
          </w:cols>
          <w:pgMar w:left="320" w:top="455" w:right="499" w:bottom="1440" w:gutter="0" w:footer="0" w:header="0"/>
        </w:sectPr>
      </w:pPr>
    </w:p>
    <w:bookmarkStart w:id="472" w:name="page473"/>
    <w:bookmarkEnd w:id="4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with respect to any party hereto, any proposal or offer from any Person (other than the other party or any of its Representatives) providing for an Acquisition Transaction (in each case other than in connection with a Permitted Galera Bridge Financing, a Permitted Obsidian Bridge Financing, the Concurrent PIPE Financing, or the exercise or repurchase of existing equity interests).</w:t>
      </w:r>
    </w:p>
    <w:p>
      <w:pPr>
        <w:spacing w:after="0" w:line="17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any transaction or series of related transactions involving (other than, as applicable, conversion of the Galera Series B Preferred Stock and the Concurrent PIPE Financing):</w:t>
      </w:r>
    </w:p>
    <w:p>
      <w:pPr>
        <w:spacing w:after="0" w:line="64" w:lineRule="exact"/>
        <w:rPr>
          <w:sz w:val="20"/>
          <w:szCs w:val="20"/>
          <w:color w:val="auto"/>
        </w:rPr>
      </w:pPr>
    </w:p>
    <w:p>
      <w:pPr>
        <w:ind w:left="1080" w:hanging="532"/>
        <w:spacing w:after="0" w:line="256"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(iii) in which a party or any of its Subsidiaries issues securities representing more than 20% of the outstanding securities of any class of voting securities of such party or any of its Subsidiaries; or</w:t>
      </w:r>
    </w:p>
    <w:p>
      <w:pPr>
        <w:spacing w:after="0" w:line="92" w:lineRule="exact"/>
        <w:rPr>
          <w:rFonts w:ascii="Times New Roman" w:cs="Times New Roman" w:eastAsia="Times New Roman" w:hAnsi="Times New Roman"/>
          <w:sz w:val="18"/>
          <w:szCs w:val="18"/>
          <w:color w:val="auto"/>
        </w:rPr>
      </w:pPr>
    </w:p>
    <w:p>
      <w:pPr>
        <w:ind w:left="1080" w:right="160" w:hanging="532"/>
        <w:spacing w:after="0" w:line="282" w:lineRule="auto"/>
        <w:tabs>
          <w:tab w:leader="none" w:pos="10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58"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other Person.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when used with respect to any Person means the power to direct the management and policies of such Person, directly or indirectly, whether through the ownership of voting securities or partnership or other ownership interests, by contract or otherwise, and the terms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have correlative meanings.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day on which banks in the State of New York are authorized or obligated to be closed.</w:t>
      </w:r>
    </w:p>
    <w:p>
      <w:pPr>
        <w:spacing w:after="0" w:line="22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means all (i) cash and cash equivalents and (ii) marketable securities, in each case determined in accordance with GAAP.</w:t>
      </w:r>
    </w:p>
    <w:p>
      <w:pPr>
        <w:spacing w:after="0" w:line="15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means the Consolidated Omnibus Budget Reconciliation Act of 1985, as set forth in Section 4980B of the Code and Part 6 of Title I of ERISA.</w:t>
      </w:r>
    </w:p>
    <w:p>
      <w:pPr>
        <w:spacing w:after="0" w:line="155"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Concurrent PIPE Financing</w:t>
      </w:r>
      <w:r>
        <w:rPr>
          <w:rFonts w:ascii="Times New Roman" w:cs="Times New Roman" w:eastAsia="Times New Roman" w:hAnsi="Times New Roman"/>
          <w:sz w:val="18"/>
          <w:szCs w:val="18"/>
          <w:color w:val="auto"/>
        </w:rPr>
        <w:t>” means the issuance and sale of shares of Galera Series C Preferred Stock in a private placement to be consummated immediately prior to the Galera Effective Time pursuant to the Securities Purchase Agreement.</w:t>
      </w:r>
    </w:p>
    <w:p>
      <w:pPr>
        <w:spacing w:after="0" w:line="155" w:lineRule="exact"/>
        <w:rPr>
          <w:sz w:val="20"/>
          <w:szCs w:val="20"/>
          <w:color w:val="auto"/>
        </w:rPr>
      </w:pPr>
    </w:p>
    <w:p>
      <w:pPr>
        <w:ind w:left="120" w:right="1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Concurrent PIPE Financing Amount</w:t>
      </w:r>
      <w:r>
        <w:rPr>
          <w:rFonts w:ascii="Times New Roman" w:cs="Times New Roman" w:eastAsia="Times New Roman" w:hAnsi="Times New Roman"/>
          <w:sz w:val="17"/>
          <w:szCs w:val="17"/>
          <w:color w:val="auto"/>
        </w:rPr>
        <w:t xml:space="preserve">” means $350,000,000;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any Permitted Obsidian Bridge Financing is consummated prior to the Closing, the Concurrent PIPE Financing Amount shall be reduced, on a dollar-for-dollar basis, by the aggregate principal amount of all Permitted Obsidian Bridge Financing Agreements as of immediately prior to the Galera Effective Time (the “</w:t>
      </w:r>
      <w:r>
        <w:rPr>
          <w:rFonts w:ascii="Times New Roman" w:cs="Times New Roman" w:eastAsia="Times New Roman" w:hAnsi="Times New Roman"/>
          <w:sz w:val="17"/>
          <w:szCs w:val="17"/>
          <w:b w:val="1"/>
          <w:bCs w:val="1"/>
          <w:color w:val="auto"/>
        </w:rPr>
        <w:t>Aggregate Obsidian Bridge Amount</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the Nondisclosure Agreement, dated as of March 6, 2026, by and between Obsidian and Galera.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Consent</w:t>
      </w:r>
      <w:r>
        <w:rPr>
          <w:rFonts w:ascii="Times New Roman" w:cs="Times New Roman" w:eastAsia="Times New Roman" w:hAnsi="Times New Roman"/>
          <w:sz w:val="18"/>
          <w:szCs w:val="18"/>
          <w:color w:val="auto"/>
        </w:rPr>
        <w:t>” means any approval, consent, ratification, permission, waiver or authorization (including any Governmental Authorization).</w:t>
      </w:r>
    </w:p>
    <w:p>
      <w:pPr>
        <w:spacing w:after="0" w:line="225"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Contemplated Transactions</w:t>
      </w:r>
      <w:r>
        <w:rPr>
          <w:rFonts w:ascii="Times New Roman" w:cs="Times New Roman" w:eastAsia="Times New Roman" w:hAnsi="Times New Roman"/>
          <w:sz w:val="18"/>
          <w:szCs w:val="18"/>
          <w:color w:val="auto"/>
        </w:rPr>
        <w:t>” means the Mergers and the other transactions contemplated by this Agreement, including the CVR Agreement and the Concurrent PIPE Financing.</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Law</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means any effect, change, event, circumstance, or development.</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Plan</w:t>
      </w:r>
      <w:r>
        <w:rPr>
          <w:rFonts w:ascii="Times New Roman" w:cs="Times New Roman" w:eastAsia="Times New Roman" w:hAnsi="Times New Roman"/>
          <w:sz w:val="18"/>
          <w:szCs w:val="18"/>
          <w:color w:val="auto"/>
        </w:rPr>
        <w:t>” means (i) each “employee benefit plan” within the meaning of Section 3(3) of ERISA, whether or not subject to ERISA; (ii) any other plan, program, policy, agreement or arrangement providing for stock options, stock purchases, restricted stock, restricted stock units, phantom equity, other equity or equity-based incentives, bonuses, commissions, severance, retention, deferred compensation, change in control, transaction, supplemental income, vacation, retirement, pension, profit-sharing, post-retirement health and welfare, disability, fringe benefit, sick, vacation or paid time-off, life insurance, perquisites, medical, dental, vision, employee assistance, health savings accounts, flexible spending accounts, Section 125 “cafeteria”, or similar benefits; and (iii) all other plans, programs, policies, agreements or arrangements (whether written or unwritten) providing compensation or benefits to any current or former employee, officer, director, individual independent contractor and other non-employee service provider.</w:t>
      </w:r>
    </w:p>
    <w:p>
      <w:pPr>
        <w:spacing w:after="0" w:line="185"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79"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means the (i) Laws of general application relating to bankruptcy, insolvency and the relief of debtors and (ii) rules of law governing specific performance, injunctive relief and other equitable remedies.</w:t>
      </w:r>
    </w:p>
    <w:p>
      <w:pPr>
        <w:spacing w:after="0" w:line="15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Entity</w:t>
      </w:r>
      <w:r>
        <w:rPr>
          <w:rFonts w:ascii="Times New Roman" w:cs="Times New Roman" w:eastAsia="Times New Roman" w:hAnsi="Times New Roman"/>
          <w:sz w:val="18"/>
          <w:szCs w:val="18"/>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71" w:lineRule="exact"/>
        <w:rPr>
          <w:sz w:val="20"/>
          <w:szCs w:val="20"/>
          <w:color w:val="auto"/>
        </w:rPr>
      </w:pPr>
    </w:p>
    <w:p>
      <w:pPr>
        <w:jc w:val="both"/>
        <w:ind w:left="120" w:right="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w:t>
      </w:r>
      <w:r>
        <w:rPr>
          <w:rFonts w:ascii="Times New Roman" w:cs="Times New Roman" w:eastAsia="Times New Roman" w:hAnsi="Times New Roman"/>
          <w:sz w:val="18"/>
          <w:szCs w:val="18"/>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any Entity, any other Person that would be treated as a single employer with such Entity, part of the same “controlled group” as such Entity or under common control with such Entity under Sections 414(b),(c),(m) or (o) of the Code or 4001(b)(1) of ERISA, as applicable.</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20"/>
          </w:cols>
          <w:pgMar w:left="320" w:top="455" w:right="459" w:bottom="1440" w:gutter="0" w:footer="0" w:header="0"/>
        </w:sectPr>
      </w:pPr>
    </w:p>
    <w:bookmarkStart w:id="474" w:name="page475"/>
    <w:bookmarkEnd w:id="4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Associate</w:t>
      </w:r>
      <w:r>
        <w:rPr>
          <w:rFonts w:ascii="Times New Roman" w:cs="Times New Roman" w:eastAsia="Times New Roman" w:hAnsi="Times New Roman"/>
          <w:sz w:val="18"/>
          <w:szCs w:val="18"/>
          <w:color w:val="auto"/>
        </w:rPr>
        <w:t>” means any current or former employee, officer, director, independent contractor or other non-employee service provider of Galera or any of its Subsidiaries.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Balance Sheet</w:t>
      </w:r>
      <w:r>
        <w:rPr>
          <w:rFonts w:ascii="Times New Roman" w:cs="Times New Roman" w:eastAsia="Times New Roman" w:hAnsi="Times New Roman"/>
          <w:sz w:val="18"/>
          <w:szCs w:val="18"/>
          <w:color w:val="auto"/>
        </w:rPr>
        <w:t>” means the audited balance sheet of Galera for the years ended December 31, 2024 and December 31, 2025</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Capitalization Representations</w:t>
      </w:r>
      <w:r>
        <w:rPr>
          <w:rFonts w:ascii="Times New Roman" w:cs="Times New Roman" w:eastAsia="Times New Roman" w:hAnsi="Times New Roman"/>
          <w:sz w:val="18"/>
          <w:szCs w:val="18"/>
          <w:color w:val="auto"/>
        </w:rPr>
        <w:t xml:space="preserve">” means the representations and warranties of Galera set forth in </w:t>
      </w:r>
      <w:r>
        <w:rPr>
          <w:rFonts w:ascii="Times New Roman" w:cs="Times New Roman" w:eastAsia="Times New Roman" w:hAnsi="Times New Roman"/>
          <w:sz w:val="18"/>
          <w:szCs w:val="18"/>
          <w:u w:val="single" w:color="auto"/>
          <w:color w:val="auto"/>
        </w:rPr>
        <w:t>Sections 4.6(a)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Contract</w:t>
      </w:r>
      <w:r>
        <w:rPr>
          <w:rFonts w:ascii="Times New Roman" w:cs="Times New Roman" w:eastAsia="Times New Roman" w:hAnsi="Times New Roman"/>
          <w:sz w:val="18"/>
          <w:szCs w:val="18"/>
          <w:color w:val="auto"/>
        </w:rPr>
        <w:t>” means any Contract: (i) to which Galera is a party, (ii) by which Galera or any Galera IP Rights or any other asset of Galera is or may become bound or under which Galera has, or may become subject to, any obligation or (iii) under which Galera has or may acquire any right or interest.</w:t>
      </w:r>
    </w:p>
    <w:p>
      <w:pPr>
        <w:spacing w:after="0" w:line="171"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Covered Person</w:t>
      </w:r>
      <w:r>
        <w:rPr>
          <w:rFonts w:ascii="Times New Roman" w:cs="Times New Roman" w:eastAsia="Times New Roman" w:hAnsi="Times New Roman"/>
          <w:sz w:val="18"/>
          <w:szCs w:val="18"/>
          <w:color w:val="auto"/>
        </w:rPr>
        <w:t>” means, with respect to Galera as an “issuer” for purposes of Rule 506 promulgated under the Securities Act, any Person listed in the first paragraph of Rule 506(d)(1).</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Employee Plan</w:t>
      </w:r>
      <w:r>
        <w:rPr>
          <w:rFonts w:ascii="Times New Roman" w:cs="Times New Roman" w:eastAsia="Times New Roman" w:hAnsi="Times New Roman"/>
          <w:sz w:val="18"/>
          <w:szCs w:val="18"/>
          <w:color w:val="auto"/>
        </w:rPr>
        <w:t>” means any Employee Plan that Galera or any of its Subsidiaries (i) sponsors, maintains, administers, or contributes to, or</w:t>
      </w:r>
    </w:p>
    <w:p>
      <w:pPr>
        <w:spacing w:after="0" w:line="31" w:lineRule="exact"/>
        <w:rPr>
          <w:sz w:val="20"/>
          <w:szCs w:val="20"/>
          <w:color w:val="auto"/>
        </w:rPr>
      </w:pPr>
    </w:p>
    <w:p>
      <w:pPr>
        <w:ind w:left="120" w:right="100" w:hanging="4"/>
        <w:spacing w:after="0" w:line="255" w:lineRule="auto"/>
        <w:tabs>
          <w:tab w:leader="none" w:pos="38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benefits under or through, or (iii) has any obligation to contribute to or provide benefits under or through, or (iv) may reasonably be expected to have any Liability with respect to (including on account of an ERISA Affiliate), or (v) utilizes to provide benefits to or otherwise cover any Galera Associate.</w:t>
      </w:r>
    </w:p>
    <w:p>
      <w:pPr>
        <w:spacing w:after="0" w:line="182"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Equity Plans</w:t>
      </w:r>
      <w:r>
        <w:rPr>
          <w:rFonts w:ascii="Times New Roman" w:cs="Times New Roman" w:eastAsia="Times New Roman" w:hAnsi="Times New Roman"/>
          <w:sz w:val="18"/>
          <w:szCs w:val="18"/>
          <w:color w:val="auto"/>
        </w:rPr>
        <w:t>” means the Galera 2012 Equity Incentive Plan, as amended from time to time and the Galera 2019 Incentive Award Plan, as amended from time to time.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ESPP</w:t>
      </w:r>
      <w:r>
        <w:rPr>
          <w:rFonts w:ascii="Times New Roman" w:cs="Times New Roman" w:eastAsia="Times New Roman" w:hAnsi="Times New Roman"/>
          <w:sz w:val="18"/>
          <w:szCs w:val="18"/>
          <w:color w:val="auto"/>
        </w:rPr>
        <w:t>” means the Galera 2019 Employee Stock Purchase Plan, as amended from time to time.</w:t>
      </w:r>
    </w:p>
    <w:p>
      <w:pPr>
        <w:spacing w:after="0" w:line="22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Exchange Ratio</w:t>
      </w:r>
      <w:r>
        <w:rPr>
          <w:rFonts w:ascii="Times New Roman" w:cs="Times New Roman" w:eastAsia="Times New Roman" w:hAnsi="Times New Roman"/>
          <w:sz w:val="18"/>
          <w:szCs w:val="18"/>
          <w:color w:val="auto"/>
        </w:rPr>
        <w:t xml:space="preserve">” means the quotient (rounded to four decimal places)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(i) the number of Galera Merger Shares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number of Galera Outstanding Shares.</w:t>
      </w:r>
    </w:p>
    <w:p>
      <w:pPr>
        <w:spacing w:after="0" w:line="15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Exchangeable Warrants</w:t>
      </w:r>
      <w:r>
        <w:rPr>
          <w:rFonts w:ascii="Times New Roman" w:cs="Times New Roman" w:eastAsia="Times New Roman" w:hAnsi="Times New Roman"/>
          <w:sz w:val="18"/>
          <w:szCs w:val="18"/>
          <w:color w:val="auto"/>
        </w:rPr>
        <w:t>” means those certain warrants to purchase stock, dated as of February 17, 2023, by and between Galera and the holders party thereto.</w:t>
      </w:r>
    </w:p>
    <w:p>
      <w:pPr>
        <w:spacing w:after="0" w:line="15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Fundamental Representations</w:t>
      </w:r>
      <w:r>
        <w:rPr>
          <w:rFonts w:ascii="Times New Roman" w:cs="Times New Roman" w:eastAsia="Times New Roman" w:hAnsi="Times New Roman"/>
          <w:sz w:val="18"/>
          <w:szCs w:val="18"/>
          <w:color w:val="auto"/>
        </w:rPr>
        <w:t xml:space="preserve">” means the representations and warranties of Galera set forth in </w:t>
      </w:r>
      <w:r>
        <w:rPr>
          <w:rFonts w:ascii="Times New Roman" w:cs="Times New Roman" w:eastAsia="Times New Roman" w:hAnsi="Times New Roman"/>
          <w:sz w:val="18"/>
          <w:szCs w:val="18"/>
          <w:u w:val="single" w:color="auto"/>
          <w:color w:val="auto"/>
        </w:rPr>
        <w:t>Sections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4.22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IP Rights</w:t>
      </w:r>
      <w:r>
        <w:rPr>
          <w:rFonts w:ascii="Times New Roman" w:cs="Times New Roman" w:eastAsia="Times New Roman" w:hAnsi="Times New Roman"/>
          <w:sz w:val="18"/>
          <w:szCs w:val="18"/>
          <w:color w:val="auto"/>
        </w:rPr>
        <w:t>” means all Intellectual Property rights that are (i) owned or purported to be owned, whether wholly or jointly with others, or controlled by Galera or any of its Subsidiaries (“</w:t>
      </w:r>
      <w:r>
        <w:rPr>
          <w:rFonts w:ascii="Times New Roman" w:cs="Times New Roman" w:eastAsia="Times New Roman" w:hAnsi="Times New Roman"/>
          <w:sz w:val="18"/>
          <w:szCs w:val="18"/>
          <w:b w:val="1"/>
          <w:bCs w:val="1"/>
          <w:color w:val="auto"/>
        </w:rPr>
        <w:t>Galera Owned IP Rights</w:t>
      </w:r>
      <w:r>
        <w:rPr>
          <w:rFonts w:ascii="Times New Roman" w:cs="Times New Roman" w:eastAsia="Times New Roman" w:hAnsi="Times New Roman"/>
          <w:sz w:val="18"/>
          <w:szCs w:val="18"/>
          <w:color w:val="auto"/>
        </w:rPr>
        <w:t>”), or (ii) licensed or sublicensed to Galera or any of its Subsidiaries (“</w:t>
      </w:r>
      <w:r>
        <w:rPr>
          <w:rFonts w:ascii="Times New Roman" w:cs="Times New Roman" w:eastAsia="Times New Roman" w:hAnsi="Times New Roman"/>
          <w:sz w:val="18"/>
          <w:szCs w:val="18"/>
          <w:b w:val="1"/>
          <w:bCs w:val="1"/>
          <w:color w:val="auto"/>
        </w:rPr>
        <w:t>Galera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Licensed IP Rights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IP Rights Agreement</w:t>
      </w:r>
      <w:r>
        <w:rPr>
          <w:rFonts w:ascii="Times New Roman" w:cs="Times New Roman" w:eastAsia="Times New Roman" w:hAnsi="Times New Roman"/>
          <w:sz w:val="18"/>
          <w:szCs w:val="18"/>
          <w:color w:val="auto"/>
        </w:rPr>
        <w:t>” means any Contract governing, related or pertaining to any Galera IP Rights other than any confidential information provided under confidentiality agreements.</w:t>
      </w:r>
    </w:p>
    <w:p>
      <w:pPr>
        <w:spacing w:after="0" w:line="155"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ITM Option</w:t>
      </w:r>
      <w:r>
        <w:rPr>
          <w:rFonts w:ascii="Times New Roman" w:cs="Times New Roman" w:eastAsia="Times New Roman" w:hAnsi="Times New Roman"/>
          <w:sz w:val="18"/>
          <w:szCs w:val="18"/>
          <w:color w:val="auto"/>
        </w:rPr>
        <w:t>” means each Galera Option that is outstanding as of immediately prior to the Galera Effective Time with a per share exercise price less than the closing trading price of a share of Galera Common Stock on the last full trading day on which the Galera Common Stock is traded prior to the date on which the Galera Effective Time occurs.</w:t>
      </w:r>
    </w:p>
    <w:p>
      <w:pPr>
        <w:spacing w:after="0" w:line="171" w:lineRule="exact"/>
        <w:rPr>
          <w:sz w:val="20"/>
          <w:szCs w:val="20"/>
          <w:color w:val="auto"/>
        </w:rPr>
      </w:pPr>
    </w:p>
    <w:p>
      <w:pPr>
        <w:ind w:left="120" w:right="18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Galera Material Adverse Effect</w:t>
      </w:r>
      <w:r>
        <w:rPr>
          <w:rFonts w:ascii="Times New Roman" w:cs="Times New Roman" w:eastAsia="Times New Roman" w:hAnsi="Times New Roman"/>
          <w:sz w:val="17"/>
          <w:szCs w:val="17"/>
          <w:color w:val="auto"/>
        </w:rPr>
        <w:t xml:space="preserve">” means any Effect that, considered together with all other Effects that have occurred prior to the date of determination of the occurrence of a Galera Material Adverse Effect, has had or would reasonably be expected to have a material adverse effect on the business, assets, liabilities, financial condition or results of operations of Galera or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Effects</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arising or resulting from the following, alone or in combination, shall not be taken into account in determining whether there has been a Galera Material Adverse Effect: (i) the announcement of this Agreement, the pendency or the consummation of the Contemplated Transactions, including any adverse change in customer, supplier, governmental, landlord, employee or similar relationships resulting therefrom or with respect thereto (other than, in the case of this clause (i), for purposes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(ii) the taking of any action, or the failure to take any action, by Galera that is expressly required under the terms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in, or any compliance with, GAAP or applicable Law or the interpretation thereof (provided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Galera and its Subsidiaries operate, (vi) any change in the stock price or trading volume of Galera Common Stock, (vii) any change in the cash position of Galera and its Subsidiaries which results from operations in the Ordinary Course of Business, or (viii) any failure of Galera to meet any projections, business plans or forecasts (provided that, this clause (x) shall not prevent a determination that any change or effect underlying such failure to meet projections, business plans or forecasts has resulted in a Galera Material Adverse Effect (to the extent such change or effect is not otherwise excluded from this definition of Galera Material Adverse Effect)); except in each case with respect to clauses (iii), (iv) and (v), to the extent disproportionately affecting Galera and its Subsidiaries, taken as a whole, relative to other similarly situated companies in the industries in which Galera and its Subsidiaries operate.</w:t>
      </w:r>
    </w:p>
    <w:p>
      <w:pPr>
        <w:spacing w:after="0" w:line="189"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Net Cash</w:t>
      </w:r>
      <w:r>
        <w:rPr>
          <w:rFonts w:ascii="Times New Roman" w:cs="Times New Roman" w:eastAsia="Times New Roman" w:hAnsi="Times New Roman"/>
          <w:sz w:val="18"/>
          <w:szCs w:val="18"/>
          <w:color w:val="auto"/>
        </w:rPr>
        <w:t xml:space="preserve">” means without duplication, and in the case of any deductions, to the extent unpaid by Galera or any of its Subsidiaries immediately prior to the Galera Effective Time, (i) Galera’s Cash and Cash Equivalents determined, to the extent in accordance with GAAP, in a manner consistent with the manner in which such items were historically determined and in accordance with the financial statements (including any related notes) contained or incorporated by reference in the Galera Balance Sheet,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any receivables paid or payable with respect to the period ending immediately prior to the Galera Effective Time;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(iii) fees and expenses of Galera incurred in connection with the Mergers and the CVR Agreement, including for the avoidance of doubt, Transaction Expenses of Galera to the extent unpaid as of the Closing,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(iv) any and all Liabilities of Galera (A) to any Galera Associate for change in control or transaction bonuses, retention bonuses, severance or similar compensatory payments or benefits that are due and payable as a result of the completion of the Contemplated Transactions (in each case, including the employer portion of any payroll or similar Taxes payable with respect thereto), (B) with respect to defined contribution Liabilities post-retirement health and welfare benefit, accrued but unpaid bonuses, severance and vacation or paid time off (in each case, including the employer portion of any payroll or similar Taxes payable with respect thereto), (C) with respect to accounts payable, accruals and other current liabilities, (D) with respect to contractual commitments for future payments, whether absolute, contingent or otherwise, in connection with the termination of the Galera Real Estate Leases and</w:t>
      </w:r>
    </w:p>
    <w:p>
      <w:pPr>
        <w:spacing w:after="0" w:line="6" w:lineRule="exact"/>
        <w:rPr>
          <w:sz w:val="20"/>
          <w:szCs w:val="20"/>
          <w:color w:val="auto"/>
        </w:rPr>
      </w:pPr>
    </w:p>
    <w:p>
      <w:pPr>
        <w:ind w:left="120" w:right="60" w:hanging="4"/>
        <w:spacing w:after="0" w:line="251" w:lineRule="auto"/>
        <w:tabs>
          <w:tab w:leader="none" w:pos="39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contractual commitments for future payments, whether absolute, contingent or otherwise, in connection with the termination of any Intellectual Property licensing agreements, less the amounts of any applicable deposits,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(v) all prepaid expenses set forth on </w:t>
      </w:r>
      <w:r>
        <w:rPr>
          <w:rFonts w:ascii="Times New Roman" w:cs="Times New Roman" w:eastAsia="Times New Roman" w:hAnsi="Times New Roman"/>
          <w:sz w:val="18"/>
          <w:szCs w:val="18"/>
          <w:u w:val="single" w:color="auto"/>
          <w:color w:val="auto"/>
        </w:rPr>
        <w:t>Section 1.1(a)(i)</w:t>
      </w:r>
      <w:r>
        <w:rPr>
          <w:rFonts w:ascii="Times New Roman" w:cs="Times New Roman" w:eastAsia="Times New Roman" w:hAnsi="Times New Roman"/>
          <w:sz w:val="18"/>
          <w:szCs w:val="18"/>
          <w:color w:val="auto"/>
        </w:rPr>
        <w:t xml:space="preserve"> of the Galera Disclosure Schedule,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(vi) the aggregate costs for obtaining the D&amp;O tail insurance policy under </w:t>
      </w:r>
      <w:r>
        <w:rPr>
          <w:rFonts w:ascii="Times New Roman" w:cs="Times New Roman" w:eastAsia="Times New Roman" w:hAnsi="Times New Roman"/>
          <w:sz w:val="18"/>
          <w:szCs w:val="18"/>
          <w:u w:val="single" w:color="auto"/>
          <w:color w:val="auto"/>
        </w:rPr>
        <w:t>Section 7.6(d)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(vii) the mutually agreed estimated settlement amounts for any Transaction Litigation existing as of the Closing, provided that in no event shall such amounts to be deducted from “Galera Net Cash” exceed $500,000 in the aggregate,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(viii) 50% of all fees and expenses incurred by Obsidian associated with the filing, printing and mailing of the Registration Statement and the Galera Information Statement, financial printer and EDGARization expenses associated with SEC filings relating to the Contemplated Transactions and other SEC filing and registration fees (excluding any fees and expenses of legal counsel, financial advisors and accountants), to the extent all such fees are paid by Obsidian,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(ix) 50% of all fees and expenses incurred by Galera associated with the filing, printing and mailing of the Registration Statement and the Galera Information Statement and other EDGARization expenses associated with SEC filings relating to the Contemplated Transactions (excluding any fees and expenses of legal counsel,</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00"/>
          </w:cols>
          <w:pgMar w:left="320" w:top="455" w:right="479" w:bottom="1440" w:gutter="0" w:footer="0" w:header="0"/>
        </w:sectPr>
      </w:pPr>
    </w:p>
    <w:bookmarkStart w:id="476" w:name="page477"/>
    <w:bookmarkEnd w:id="4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financial advisors and accountants), to the extent all such fees are paid by Galera, and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(x) all Nasdaq fees associated with the Nasdaq Listing Application, to the extent all such fees are paid by Galera. For avoidance of doubt, (1) the Cash and Cash Equivalents received in the Concurrent PIPE Financing will be excluded from the calculation of Galera Net Cash, (2) (3) to the extent Galera has agreed that any amounts in the definition of Galera Net Cash shall be borne by a third party, including pursuant to existing Contractual arrangements, such amounts shall not be deducted from the calculation of Galera Net Cash, and (4) any Permitted Galera Bridge Financing shall not cause the Galera Net Cash to exceed $1,800,000.</w:t>
      </w:r>
    </w:p>
    <w:p>
      <w:pPr>
        <w:spacing w:after="0" w:line="181"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Option</w:t>
      </w:r>
      <w:r>
        <w:rPr>
          <w:rFonts w:ascii="Times New Roman" w:cs="Times New Roman" w:eastAsia="Times New Roman" w:hAnsi="Times New Roman"/>
          <w:sz w:val="18"/>
          <w:szCs w:val="18"/>
          <w:color w:val="auto"/>
        </w:rPr>
        <w:t>” means each option to purchase shares of Galera Common Stock granted by Galera, including, without limitation, under the Galera Equity Plans, but, for the avoidance of doubt, excluding the Galera ESPP.</w:t>
      </w:r>
    </w:p>
    <w:p>
      <w:pPr>
        <w:spacing w:after="0" w:line="15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Outstanding Shares</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2.6(i)</w:t>
      </w:r>
      <w:r>
        <w:rPr>
          <w:rFonts w:ascii="Times New Roman" w:cs="Times New Roman" w:eastAsia="Times New Roman" w:hAnsi="Times New Roman"/>
          <w:sz w:val="18"/>
          <w:szCs w:val="18"/>
          <w:color w:val="auto"/>
        </w:rPr>
        <w:t>, the total number of shares of Galera Common Stock outstanding immediately prior to the Galera Effective Time expressed on a fully-diluted basis (after giving effect to the Galera Preferred Stock Conversion (subject to the proviso at the end of this definition) and the Galera Pre-Funded Warrant Exercise) and assuming, without limitation or duplication, (A) the issuance of shares of Galera Common Stock as a result of the next exercise of all Galera ITM Options immediately prior to the Galera Effective Time, (B) the issuance of shares of Galera Common Stock in respect of Galera Exchangeable Warrants that will be outstanding as of immediately prior to the Galera Effective Time and (C) the exclusion of shares of Galera Common Stock held by Galera as treasury stock or owned by Obsidian or any of its Subsidiaries or any Subsidiary of Galera immediately prior to the Galera Effective Time; provided, that such shares of Galera Common Stock shall be increased by the amount of shares of Galera Common Stock issued or underlying any securities of Galera issued in any Permitted Galera Bridge Financing; provided, however, that any shares of Galera Common Stock issued as a result of the conversion of Galera Series C Preferred Stock issued in the Concurrent PIPE Financing will not be included for the purpose of calculating the number of Galera Outstanding Shares.</w:t>
      </w:r>
    </w:p>
    <w:p>
      <w:pPr>
        <w:spacing w:after="0" w:line="18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Pre-Funded Warrants</w:t>
      </w:r>
      <w:r>
        <w:rPr>
          <w:rFonts w:ascii="Times New Roman" w:cs="Times New Roman" w:eastAsia="Times New Roman" w:hAnsi="Times New Roman"/>
          <w:sz w:val="18"/>
          <w:szCs w:val="18"/>
          <w:color w:val="auto"/>
        </w:rPr>
        <w:t>” means those certain pre-funded common stock purchase warrants, by and between Galera and the holders party thereto.</w:t>
      </w:r>
    </w:p>
    <w:p>
      <w:pPr>
        <w:spacing w:after="0" w:line="15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Preferred Stock</w:t>
      </w:r>
      <w:r>
        <w:rPr>
          <w:rFonts w:ascii="Times New Roman" w:cs="Times New Roman" w:eastAsia="Times New Roman" w:hAnsi="Times New Roman"/>
          <w:sz w:val="18"/>
          <w:szCs w:val="18"/>
          <w:color w:val="auto"/>
        </w:rPr>
        <w:t>” means, collectively, the Galera Series A Preferred Stock, Galera Series B Preferred Stock and the Galera Series C Preferred Stock.</w:t>
      </w:r>
    </w:p>
    <w:p>
      <w:pPr>
        <w:spacing w:after="0" w:line="155"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Registered IP</w:t>
      </w:r>
      <w:r>
        <w:rPr>
          <w:rFonts w:ascii="Times New Roman" w:cs="Times New Roman" w:eastAsia="Times New Roman" w:hAnsi="Times New Roman"/>
          <w:sz w:val="18"/>
          <w:szCs w:val="18"/>
          <w:color w:val="auto"/>
        </w:rPr>
        <w:t>” means all Galera IP Rights that are registered, filed or issued under the authority of, with or by any Governmental Authority, including all Patents, registered copyrights and registered trademarks and all applications for any of the foregoing.</w:t>
      </w:r>
    </w:p>
    <w:p>
      <w:pPr>
        <w:spacing w:after="0" w:line="155" w:lineRule="exact"/>
        <w:rPr>
          <w:sz w:val="20"/>
          <w:szCs w:val="20"/>
          <w:color w:val="auto"/>
        </w:rPr>
      </w:pPr>
    </w:p>
    <w:p>
      <w:pPr>
        <w:ind w:left="120" w:right="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Reverse Stock Split</w:t>
      </w:r>
      <w:r>
        <w:rPr>
          <w:rFonts w:ascii="Times New Roman" w:cs="Times New Roman" w:eastAsia="Times New Roman" w:hAnsi="Times New Roman"/>
          <w:sz w:val="18"/>
          <w:szCs w:val="18"/>
          <w:color w:val="auto"/>
        </w:rPr>
        <w:t xml:space="preserve">” means, subject to the approval by the Galera stockholders of an amendment to the Organizational Documents of the Galera authorizing the same, a reverse stock split of Galera Common Stock with a split ratio between 1:75 and 1:125 (the </w:t>
      </w:r>
      <w:r>
        <w:rPr>
          <w:rFonts w:ascii="Times New Roman" w:cs="Times New Roman" w:eastAsia="Times New Roman" w:hAnsi="Times New Roman"/>
          <w:sz w:val="18"/>
          <w:szCs w:val="18"/>
          <w:b w:val="1"/>
          <w:bCs w:val="1"/>
          <w:color w:val="auto"/>
        </w:rPr>
        <w:t>“Galera Reverse Stock Split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as may be effected by Galera upon a determination by the Galera Board no later than ten (10) calendar days following the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of Galera; provided, that, if Galera submits the Galera Reverse Stock Split Proposal at a Galera Stockholder Meeting in accordance to Section 7.14, such reverse stock split shall be effected no later than ten (10) calendar days following the Galera Stockholder Meeting.</w:t>
      </w:r>
    </w:p>
    <w:p>
      <w:pPr>
        <w:spacing w:after="0" w:line="179"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Series A Preferred Stock</w:t>
      </w:r>
      <w:r>
        <w:rPr>
          <w:rFonts w:ascii="Times New Roman" w:cs="Times New Roman" w:eastAsia="Times New Roman" w:hAnsi="Times New Roman"/>
          <w:sz w:val="18"/>
          <w:szCs w:val="18"/>
          <w:color w:val="auto"/>
        </w:rPr>
        <w:t>” means Galera’s junior participating preferred stock, par value $0.001 per share, with the rights, preferences, powers and privileges thereof specified in the Galera Organizational Documents.</w:t>
      </w:r>
    </w:p>
    <w:p>
      <w:pPr>
        <w:spacing w:after="0" w:line="155"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Series B Preferred Stock</w:t>
      </w:r>
      <w:r>
        <w:rPr>
          <w:rFonts w:ascii="Times New Roman" w:cs="Times New Roman" w:eastAsia="Times New Roman" w:hAnsi="Times New Roman"/>
          <w:sz w:val="18"/>
          <w:szCs w:val="18"/>
          <w:color w:val="auto"/>
        </w:rPr>
        <w:t>” means Galera’s non-voting convertible preferred stock, par value $0.001 per share, with the rights, preferences, powers and privileges specified in the Galera Organizational Documents.</w:t>
      </w:r>
    </w:p>
    <w:p>
      <w:pPr>
        <w:spacing w:after="0" w:line="15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Series C Preferred Stock</w:t>
      </w:r>
      <w:r>
        <w:rPr>
          <w:rFonts w:ascii="Times New Roman" w:cs="Times New Roman" w:eastAsia="Times New Roman" w:hAnsi="Times New Roman"/>
          <w:sz w:val="18"/>
          <w:szCs w:val="18"/>
          <w:color w:val="auto"/>
        </w:rPr>
        <w:t>” means Galera’s non-voting convertible preferred stock, par value $0.001 per share, to be issued to the purchasers in the Concurrent PIPE Financing, with the rights, preferences, powers and</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00"/>
          </w:cols>
          <w:pgMar w:left="320" w:top="454" w:right="479" w:bottom="1440" w:gutter="0" w:footer="0" w:header="0"/>
        </w:sectPr>
      </w:pPr>
    </w:p>
    <w:bookmarkStart w:id="477" w:name="page478"/>
    <w:bookmarkEnd w:id="4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privileges thereof to be specified in certificate of designation of preferences, rights and limitations to be filed with the Secretary of State of the State of Delaware in accordance with Delaware Law.</w:t>
      </w:r>
    </w:p>
    <w:p>
      <w:pPr>
        <w:spacing w:after="0" w:line="158"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Terminable Warrants</w:t>
      </w:r>
      <w:r>
        <w:rPr>
          <w:rFonts w:ascii="Times New Roman" w:cs="Times New Roman" w:eastAsia="Times New Roman" w:hAnsi="Times New Roman"/>
          <w:sz w:val="18"/>
          <w:szCs w:val="18"/>
          <w:color w:val="auto"/>
        </w:rPr>
        <w:t>” means those certain warrants to purchase common stock, dated as of May 11, 2020, by and between Galera and the holders party thereto.</w:t>
      </w:r>
    </w:p>
    <w:p>
      <w:pPr>
        <w:spacing w:after="0" w:line="155"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Galera Triggering Event</w:t>
      </w:r>
      <w:r>
        <w:rPr>
          <w:rFonts w:ascii="Times New Roman" w:cs="Times New Roman" w:eastAsia="Times New Roman" w:hAnsi="Times New Roman"/>
          <w:sz w:val="17"/>
          <w:szCs w:val="17"/>
          <w:color w:val="auto"/>
        </w:rPr>
        <w:t xml:space="preserve">” shall be deemed to have occurred if: (i) Galera shall have failed to include in the Galera Information Statement the Galera Board Recommendation, (ii) the Galera Board or any committee thereof shall have made a Galera Board Adverse Recommendation Change or approved, endorsed or recommended any Acquisition Proposal (other than with Obsidian), (iii) Galera shall have entered into any letter of intent or similar document or any Contract relating to any Acquisition Proposal (other than an Acceptable Confidentiality Agreement pursuant to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or</w:t>
      </w:r>
    </w:p>
    <w:p>
      <w:pPr>
        <w:ind w:left="120" w:right="20" w:hanging="4"/>
        <w:spacing w:after="0" w:line="260" w:lineRule="auto"/>
        <w:tabs>
          <w:tab w:leader="none" w:pos="42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Galera Board or any committee thereof shall have failed to recommend against any Acquisition Proposal that is a tender offer or exchange offer within 10 Business Days after the commencement thereof.</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“Galera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collectively, the Galera Exchangeable Warrants, the Galera Pre-Funded Warrants and the Galera Terminable Warrants.</w:t>
      </w:r>
    </w:p>
    <w:p>
      <w:pPr>
        <w:spacing w:after="0" w:line="22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supra-national or other government or institution, (iii)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(iv) self-regulatory organization (including Nasdaq).</w:t>
      </w:r>
    </w:p>
    <w:p>
      <w:pPr>
        <w:spacing w:after="0" w:line="179"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permit, license, certificate, franchise, permission, variance, exception, order, approval, clearance, registration, qualification or authorization issued, granted, given or otherwise made available by or under the authority of any Governmental Authority or pursuant to any Law.</w:t>
      </w:r>
    </w:p>
    <w:p>
      <w:pPr>
        <w:spacing w:after="0" w:line="171" w:lineRule="exact"/>
        <w:rPr>
          <w:sz w:val="20"/>
          <w:szCs w:val="20"/>
          <w:color w:val="auto"/>
        </w:rPr>
      </w:pPr>
    </w:p>
    <w:p>
      <w:pPr>
        <w:ind w:left="120" w:right="16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Hazardous Materials</w:t>
      </w:r>
      <w:r>
        <w:rPr>
          <w:rFonts w:ascii="Times New Roman" w:cs="Times New Roman" w:eastAsia="Times New Roman" w:hAnsi="Times New Roman"/>
          <w:sz w:val="17"/>
          <w:szCs w:val="17"/>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5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any and all intellectual property and similar proprietary rights of any kind or nature, whether protected, created or arising under any Law, throughout the world, including any and all state, United States, international and/or foreign or other territorial or regional rights in, arising out of or associated with any of the following: (i) United States, foreign and international patents, patent applications, including all provisional applications, non-provisional applications, substitutions, divisionals, continuations, continuations-in-part, reissues, renewals, extensions, supplementary protection certificates, reexaminations, term extensions, confirmations, certificates of invention and the equivalents of any of the foregoing, statutory invention registrations, invention disclosures and inventions (collectively, “</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(ii) trademarks, service marks, trade names, domain names, corporate names, brand names, URLs or other names and locators associated with the internet, trade dress, logos and other source identifiers, including registrations and applications for registration thereof and goodwill associated therewith and symbolized thereby, (iii) works of authorship (whether or not copyrightable) and all copyrights, copyrightable works, derivative works, including registrations and applications for registration thereof, and all renewals, extensions, restorations or reversions of the foregoing, including all rights of authorship, use, publication, publicity, reproduction, distribution, income, performance and transformation, (iv) software, including all source code, object code, firmware, development tools files, records and data, all media on which any of the foregoing is recorded, and all related documentation, (v) all inventions, invention disclosures, improvements, formulae, customer lists, trade secrets (including those trade secrets defined in the Uniform Trade Secrets Act and under corresponding foreign statutory and common Law), know-how</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60"/>
          </w:cols>
          <w:pgMar w:left="320" w:top="454" w:right="51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70" w:lineRule="auto"/>
        <w:rPr>
          <w:sz w:val="20"/>
          <w:szCs w:val="20"/>
          <w:color w:val="auto"/>
        </w:rPr>
      </w:pPr>
      <w:r>
        <w:rPr>
          <w:rFonts w:ascii="Times New Roman" w:cs="Times New Roman" w:eastAsia="Times New Roman" w:hAnsi="Times New Roman"/>
          <w:sz w:val="17"/>
          <w:szCs w:val="17"/>
          <w:color w:val="auto"/>
        </w:rPr>
        <w:t>(including recipes, specifications, formulae, manufacturing and other processes, operating procedures, methods, techniques and all research and development information), technology, technical data, databases, data collections, confidential information and other proprietary rights and intellectual property, whether patentable or not, and all documentation relating to any of the foregoing, (vi) registrations, applications, extensions, restorations and renewals of any of the foregoing in any jurisdiction, (vii) all United States and foreign rights arising under or associated with any of the foregoing,</w:t>
      </w:r>
    </w:p>
    <w:p>
      <w:pPr>
        <w:spacing w:after="0" w:line="3" w:lineRule="exact"/>
        <w:rPr>
          <w:sz w:val="20"/>
          <w:szCs w:val="20"/>
          <w:color w:val="auto"/>
        </w:rPr>
      </w:pPr>
    </w:p>
    <w:p>
      <w:pPr>
        <w:jc w:val="both"/>
        <w:ind w:left="120" w:right="40" w:hanging="4"/>
        <w:spacing w:after="0" w:line="255" w:lineRule="auto"/>
        <w:tabs>
          <w:tab w:leader="none" w:pos="525"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sue or recover and retain damages and costs and attorneys’ fees for the past, present or future infringement, dilution, misappropriation, or other violation of any of the foregoing anywhere in the world and (ix) all other rights similar or pertaining to, or tangible embodiments of, any of the foregoing in any country worldwide.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Employee</w:t>
      </w:r>
      <w:r>
        <w:rPr>
          <w:rFonts w:ascii="Times New Roman" w:cs="Times New Roman" w:eastAsia="Times New Roman" w:hAnsi="Times New Roman"/>
          <w:sz w:val="18"/>
          <w:szCs w:val="18"/>
          <w:color w:val="auto"/>
        </w:rPr>
        <w:t>” means, with respect to any Person, (i) an executive officer of such Person; and (ii) any employee of such Person, that reports directly to the chief executive officer of such Person.</w:t>
      </w:r>
    </w:p>
    <w:p>
      <w:pPr>
        <w:spacing w:after="0" w:line="155"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182" w:lineRule="exact"/>
        <w:rPr>
          <w:sz w:val="20"/>
          <w:szCs w:val="20"/>
          <w:color w:val="auto"/>
        </w:rPr>
      </w:pPr>
    </w:p>
    <w:p>
      <w:pPr>
        <w:ind w:left="120" w:right="2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76" w:lineRule="exact"/>
        <w:rPr>
          <w:sz w:val="20"/>
          <w:szCs w:val="20"/>
          <w:color w:val="auto"/>
        </w:rPr>
      </w:pPr>
    </w:p>
    <w:p>
      <w:pPr>
        <w:jc w:val="both"/>
        <w:ind w:left="120" w:right="2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Proceeding</w:t>
      </w:r>
      <w:r>
        <w:rPr>
          <w:rFonts w:ascii="Times New Roman" w:cs="Times New Roman" w:eastAsia="Times New Roman" w:hAnsi="Times New Roman"/>
          <w:sz w:val="18"/>
          <w:szCs w:val="18"/>
          <w:color w:val="auto"/>
        </w:rPr>
        <w:t>”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71"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Shares</w:t>
      </w:r>
      <w:r>
        <w:rPr>
          <w:rFonts w:ascii="Times New Roman" w:cs="Times New Roman" w:eastAsia="Times New Roman" w:hAnsi="Times New Roman"/>
          <w:sz w:val="18"/>
          <w:szCs w:val="18"/>
          <w:color w:val="auto"/>
        </w:rPr>
        <w:t xml:space="preserve">” means the sum determined by adding (i) the Obsidian Merger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the Galera Merger Shares,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Concurrent PIPE Financing Merger Shares, in which:</w:t>
      </w:r>
    </w:p>
    <w:p>
      <w:pPr>
        <w:spacing w:after="0" w:line="60" w:lineRule="exact"/>
        <w:rPr>
          <w:sz w:val="20"/>
          <w:szCs w:val="20"/>
          <w:color w:val="auto"/>
        </w:rPr>
      </w:pPr>
    </w:p>
    <w:p>
      <w:pPr>
        <w:ind w:left="1080" w:right="340" w:hanging="532"/>
        <w:spacing w:after="0" w:line="286"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Valuation</w:t>
      </w:r>
      <w:r>
        <w:rPr>
          <w:rFonts w:ascii="Times New Roman" w:cs="Times New Roman" w:eastAsia="Times New Roman" w:hAnsi="Times New Roman"/>
          <w:sz w:val="18"/>
          <w:szCs w:val="18"/>
          <w:color w:val="auto"/>
        </w:rPr>
        <w:t xml:space="preserve">” means the sum of (A) the Obsidian Equity Value,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Galera Valuation,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Concurrent PIPE Financing Proceeds.</w:t>
      </w:r>
    </w:p>
    <w:p>
      <w:pPr>
        <w:spacing w:after="0" w:line="60" w:lineRule="exact"/>
        <w:rPr>
          <w:rFonts w:ascii="Times New Roman" w:cs="Times New Roman" w:eastAsia="Times New Roman" w:hAnsi="Times New Roman"/>
          <w:sz w:val="18"/>
          <w:szCs w:val="18"/>
          <w:color w:val="auto"/>
        </w:rPr>
      </w:pPr>
    </w:p>
    <w:p>
      <w:pPr>
        <w:ind w:left="1080" w:hanging="532"/>
        <w:spacing w:after="0" w:line="286"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Concurrent PIPE Financing Allocation Percentage</w:t>
      </w:r>
      <w:r>
        <w:rPr>
          <w:rFonts w:ascii="Times New Roman" w:cs="Times New Roman" w:eastAsia="Times New Roman" w:hAnsi="Times New Roman"/>
          <w:sz w:val="18"/>
          <w:szCs w:val="18"/>
          <w:color w:val="auto"/>
        </w:rPr>
        <w:t xml:space="preserve">” means the quotient (rounded to four decimal places) determined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(i) the Concurrent PIPE Financing Proceeds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Aggregate Valuation.</w:t>
      </w:r>
    </w:p>
    <w:p>
      <w:pPr>
        <w:spacing w:after="0" w:line="60" w:lineRule="exact"/>
        <w:rPr>
          <w:rFonts w:ascii="Times New Roman" w:cs="Times New Roman" w:eastAsia="Times New Roman" w:hAnsi="Times New Roman"/>
          <w:sz w:val="18"/>
          <w:szCs w:val="18"/>
          <w:color w:val="auto"/>
        </w:rPr>
      </w:pPr>
    </w:p>
    <w:p>
      <w:pPr>
        <w:ind w:left="1080" w:right="440" w:hanging="532"/>
        <w:spacing w:after="0" w:line="286" w:lineRule="auto"/>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Concurrent PIPE Financing Merger Shares</w:t>
      </w:r>
      <w:r>
        <w:rPr>
          <w:rFonts w:ascii="Times New Roman" w:cs="Times New Roman" w:eastAsia="Times New Roman" w:hAnsi="Times New Roman"/>
          <w:sz w:val="18"/>
          <w:szCs w:val="18"/>
          <w:color w:val="auto"/>
        </w:rPr>
        <w:t>” means, the product determined by multiplying (i) the Post-Closing Parent Shares by (ii) the Concurrent PIPE Financing Allocation Percentage.</w:t>
      </w:r>
    </w:p>
    <w:p>
      <w:pPr>
        <w:spacing w:after="0" w:line="60" w:lineRule="exact"/>
        <w:rPr>
          <w:rFonts w:ascii="Times New Roman" w:cs="Times New Roman" w:eastAsia="Times New Roman" w:hAnsi="Times New Roman"/>
          <w:sz w:val="18"/>
          <w:szCs w:val="18"/>
          <w:color w:val="auto"/>
        </w:rPr>
      </w:pPr>
    </w:p>
    <w:p>
      <w:pPr>
        <w:ind w:left="1080" w:right="360" w:hanging="532"/>
        <w:spacing w:after="0" w:line="317" w:lineRule="auto"/>
        <w:tabs>
          <w:tab w:leader="none" w:pos="1080"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Concurrent PIPE Financing Proceeds</w:t>
      </w:r>
      <w:r>
        <w:rPr>
          <w:rFonts w:ascii="Times New Roman" w:cs="Times New Roman" w:eastAsia="Times New Roman" w:hAnsi="Times New Roman"/>
          <w:sz w:val="17"/>
          <w:szCs w:val="17"/>
          <w:color w:val="auto"/>
        </w:rPr>
        <w:t xml:space="preserve">” means the proceeds resulting from the Concurrent PIPE Financing,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proceeds shall be reduced on a dollar-for-dollar basis to the extent actually paid in any Permitted Obsidian Bridge Financing.</w:t>
      </w:r>
    </w:p>
    <w:p>
      <w:pPr>
        <w:spacing w:after="0" w:line="37"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Allocation Percentage</w:t>
      </w:r>
      <w:r>
        <w:rPr>
          <w:rFonts w:ascii="Times New Roman" w:cs="Times New Roman" w:eastAsia="Times New Roman" w:hAnsi="Times New Roman"/>
          <w:sz w:val="18"/>
          <w:szCs w:val="18"/>
          <w:color w:val="auto"/>
        </w:rPr>
        <w:t xml:space="preserve">” means the quotient (rounded to four decimal places) determined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Galera Valuation </w:t>
      </w:r>
      <w:r>
        <w:rPr>
          <w:rFonts w:ascii="Times New Roman" w:cs="Times New Roman" w:eastAsia="Times New Roman" w:hAnsi="Times New Roman"/>
          <w:sz w:val="18"/>
          <w:szCs w:val="18"/>
          <w:i w:val="1"/>
          <w:iCs w:val="1"/>
          <w:color w:val="auto"/>
        </w:rPr>
        <w:t>by</w:t>
      </w:r>
    </w:p>
    <w:p>
      <w:pPr>
        <w:spacing w:after="0" w:line="3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Aggregate Valuation.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4" w:right="4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532"/>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Equity Value</w:t>
      </w:r>
      <w:r>
        <w:rPr>
          <w:rFonts w:ascii="Times New Roman" w:cs="Times New Roman" w:eastAsia="Times New Roman" w:hAnsi="Times New Roman"/>
          <w:sz w:val="18"/>
          <w:szCs w:val="18"/>
          <w:color w:val="auto"/>
        </w:rPr>
        <w:t>” means $13,800,000.</w:t>
      </w:r>
    </w:p>
    <w:p>
      <w:pPr>
        <w:spacing w:after="0" w:line="130" w:lineRule="exact"/>
        <w:rPr>
          <w:rFonts w:ascii="Times New Roman" w:cs="Times New Roman" w:eastAsia="Times New Roman" w:hAnsi="Times New Roman"/>
          <w:sz w:val="18"/>
          <w:szCs w:val="18"/>
          <w:color w:val="auto"/>
        </w:rPr>
      </w:pPr>
    </w:p>
    <w:p>
      <w:pPr>
        <w:ind w:left="1080" w:right="720" w:hanging="532"/>
        <w:spacing w:after="0" w:line="286"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Merger Shares</w:t>
      </w:r>
      <w:r>
        <w:rPr>
          <w:rFonts w:ascii="Times New Roman" w:cs="Times New Roman" w:eastAsia="Times New Roman" w:hAnsi="Times New Roman"/>
          <w:sz w:val="18"/>
          <w:szCs w:val="18"/>
          <w:color w:val="auto"/>
        </w:rPr>
        <w:t xml:space="preserve">” the product determined by multiplying (i) the Post-Closing Parent Shares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Galera Allocation Percentage.</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Target Net Cash</w:t>
      </w:r>
      <w:r>
        <w:rPr>
          <w:rFonts w:ascii="Times New Roman" w:cs="Times New Roman" w:eastAsia="Times New Roman" w:hAnsi="Times New Roman"/>
          <w:sz w:val="18"/>
          <w:szCs w:val="18"/>
          <w:color w:val="auto"/>
        </w:rPr>
        <w:t>” means $1,800,000.</w:t>
      </w:r>
    </w:p>
    <w:p>
      <w:pPr>
        <w:spacing w:after="0" w:line="130" w:lineRule="exact"/>
        <w:rPr>
          <w:rFonts w:ascii="Times New Roman" w:cs="Times New Roman" w:eastAsia="Times New Roman" w:hAnsi="Times New Roman"/>
          <w:sz w:val="18"/>
          <w:szCs w:val="18"/>
          <w:color w:val="auto"/>
        </w:rPr>
      </w:pPr>
    </w:p>
    <w:p>
      <w:pPr>
        <w:ind w:left="1080" w:hanging="532"/>
        <w:spacing w:after="0" w:line="262"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Valuation</w:t>
      </w:r>
      <w:r>
        <w:rPr>
          <w:rFonts w:ascii="Times New Roman" w:cs="Times New Roman" w:eastAsia="Times New Roman" w:hAnsi="Times New Roman"/>
          <w:sz w:val="18"/>
          <w:szCs w:val="18"/>
          <w:color w:val="auto"/>
        </w:rPr>
        <w:t xml:space="preserve">” means the Galera Equity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Final Galera Net Cash is above or below the Galera Target Net Cash, then the Galera Valuation will be adjusted (up or down, as applicable) on a dollar-for-dollar basis by the difference of (i) the Final Galera Net Cash and (ii) the Galera Target Net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any Permitted Galera Bridge Financing cause the Final Galera Net Cash to be greater than $1,800,000.</w:t>
      </w:r>
    </w:p>
    <w:p>
      <w:pPr>
        <w:spacing w:after="0" w:line="81" w:lineRule="exact"/>
        <w:rPr>
          <w:rFonts w:ascii="Times New Roman" w:cs="Times New Roman" w:eastAsia="Times New Roman" w:hAnsi="Times New Roman"/>
          <w:sz w:val="18"/>
          <w:szCs w:val="18"/>
          <w:color w:val="auto"/>
        </w:rPr>
      </w:pPr>
    </w:p>
    <w:p>
      <w:pPr>
        <w:ind w:left="1080" w:right="100" w:hanging="532"/>
        <w:spacing w:after="0" w:line="286"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Allocation Percentage</w:t>
      </w:r>
      <w:r>
        <w:rPr>
          <w:rFonts w:ascii="Times New Roman" w:cs="Times New Roman" w:eastAsia="Times New Roman" w:hAnsi="Times New Roman"/>
          <w:sz w:val="18"/>
          <w:szCs w:val="18"/>
          <w:color w:val="auto"/>
        </w:rPr>
        <w:t xml:space="preserve">” means the quotient (rounded to four decimal places) determined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(A) the Obsidian Equity Value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(B) the Aggregate Valuation.</w:t>
      </w:r>
    </w:p>
    <w:p>
      <w:pPr>
        <w:spacing w:after="0" w:line="6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Equity Value</w:t>
      </w:r>
      <w:r>
        <w:rPr>
          <w:rFonts w:ascii="Times New Roman" w:cs="Times New Roman" w:eastAsia="Times New Roman" w:hAnsi="Times New Roman"/>
          <w:sz w:val="18"/>
          <w:szCs w:val="18"/>
          <w:color w:val="auto"/>
        </w:rPr>
        <w:t>” means $413,500,000.</w:t>
      </w:r>
    </w:p>
    <w:p>
      <w:pPr>
        <w:spacing w:after="0" w:line="130" w:lineRule="exact"/>
        <w:rPr>
          <w:rFonts w:ascii="Times New Roman" w:cs="Times New Roman" w:eastAsia="Times New Roman" w:hAnsi="Times New Roman"/>
          <w:sz w:val="18"/>
          <w:szCs w:val="18"/>
          <w:color w:val="auto"/>
        </w:rPr>
      </w:pPr>
    </w:p>
    <w:p>
      <w:pPr>
        <w:ind w:left="1080" w:right="680" w:hanging="532"/>
        <w:spacing w:after="0" w:line="286"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Merger Shares</w:t>
      </w:r>
      <w:r>
        <w:rPr>
          <w:rFonts w:ascii="Times New Roman" w:cs="Times New Roman" w:eastAsia="Times New Roman" w:hAnsi="Times New Roman"/>
          <w:sz w:val="18"/>
          <w:szCs w:val="18"/>
          <w:color w:val="auto"/>
        </w:rPr>
        <w:t xml:space="preserve">” means the product determined by multiplying (i) the Post-Closing Parent Shares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Obsidian Allocation Percentage.</w:t>
      </w:r>
    </w:p>
    <w:p>
      <w:pPr>
        <w:spacing w:after="0" w:line="60" w:lineRule="exact"/>
        <w:rPr>
          <w:rFonts w:ascii="Times New Roman" w:cs="Times New Roman" w:eastAsia="Times New Roman" w:hAnsi="Times New Roman"/>
          <w:sz w:val="18"/>
          <w:szCs w:val="18"/>
          <w:color w:val="auto"/>
        </w:rPr>
      </w:pPr>
    </w:p>
    <w:p>
      <w:pPr>
        <w:ind w:left="1080" w:right="100" w:hanging="532"/>
        <w:spacing w:after="0" w:line="268" w:lineRule="auto"/>
        <w:tabs>
          <w:tab w:leader="none" w:pos="108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Post-Closing Parent Shares</w:t>
      </w:r>
      <w:r>
        <w:rPr>
          <w:rFonts w:ascii="Times New Roman" w:cs="Times New Roman" w:eastAsia="Times New Roman" w:hAnsi="Times New Roman"/>
          <w:sz w:val="18"/>
          <w:szCs w:val="18"/>
          <w:color w:val="auto"/>
        </w:rPr>
        <w:t>” mean the total number of shares of Parent Common Stock outstanding immediately after the Obsidian Effective Time and the Galera Effective Time expressed on a fully-diluted basis, subject to the assumptions set forth on Section 1.1(a)(ii) of the Obsidian Disclosure Schedule.</w:t>
      </w:r>
    </w:p>
    <w:p>
      <w:pPr>
        <w:spacing w:after="0" w:line="17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For the avoidance of doubt, the Concurrent PIPE Financing Proceeds shall not be included in the calculation or determination of the Galera Valuation or any component thereof. Set forth on Section 1.1(a)(ii) on the Obsidian Disclosure Schedule is an illustrative example of the calculation of the Merger Shares.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as defined in Section 3(37) or 4001(a)(3) of ERISA.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Multiple Employer Plan</w:t>
      </w:r>
      <w:r>
        <w:rPr>
          <w:rFonts w:ascii="Times New Roman" w:cs="Times New Roman" w:eastAsia="Times New Roman" w:hAnsi="Times New Roman"/>
          <w:sz w:val="18"/>
          <w:szCs w:val="18"/>
          <w:color w:val="auto"/>
        </w:rPr>
        <w:t>” means a “multiple employer plan” as described in Section 413(c) of ERISA.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Multiple Employer Welfare Arrangement</w:t>
      </w:r>
      <w:r>
        <w:rPr>
          <w:rFonts w:ascii="Times New Roman" w:cs="Times New Roman" w:eastAsia="Times New Roman" w:hAnsi="Times New Roman"/>
          <w:sz w:val="18"/>
          <w:szCs w:val="18"/>
          <w:color w:val="auto"/>
        </w:rPr>
        <w:t>” means a “multiple employer welfare arrangement” within the meaning of Section 3(40) of ERISA.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which, for the avoidance of doubt, does not include the OTC Market Group, Inc.</w:t>
      </w:r>
    </w:p>
    <w:p>
      <w:pPr>
        <w:spacing w:after="0" w:line="22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Associate</w:t>
      </w:r>
      <w:r>
        <w:rPr>
          <w:rFonts w:ascii="Times New Roman" w:cs="Times New Roman" w:eastAsia="Times New Roman" w:hAnsi="Times New Roman"/>
          <w:sz w:val="18"/>
          <w:szCs w:val="18"/>
          <w:color w:val="auto"/>
        </w:rPr>
        <w:t>” means any current or former employee, officer, director, independent contractor or other non-employee service provider of Obsidian or any of its Subsidiaries.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Balance Sheet</w:t>
      </w:r>
      <w:r>
        <w:rPr>
          <w:rFonts w:ascii="Times New Roman" w:cs="Times New Roman" w:eastAsia="Times New Roman" w:hAnsi="Times New Roman"/>
          <w:sz w:val="18"/>
          <w:szCs w:val="18"/>
          <w:color w:val="auto"/>
        </w:rPr>
        <w:t>” means the audited balance sheet of Obsidian for the years ended December 31, 2024 and December 31, 2025</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Capital Stock</w:t>
      </w:r>
      <w:r>
        <w:rPr>
          <w:rFonts w:ascii="Times New Roman" w:cs="Times New Roman" w:eastAsia="Times New Roman" w:hAnsi="Times New Roman"/>
          <w:sz w:val="18"/>
          <w:szCs w:val="18"/>
          <w:color w:val="auto"/>
        </w:rPr>
        <w:t>” means Obsidian Common Stock and Obsidian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Capitalization Representations</w:t>
      </w:r>
      <w:r>
        <w:rPr>
          <w:rFonts w:ascii="Times New Roman" w:cs="Times New Roman" w:eastAsia="Times New Roman" w:hAnsi="Times New Roman"/>
          <w:sz w:val="18"/>
          <w:szCs w:val="18"/>
          <w:color w:val="auto"/>
        </w:rPr>
        <w:t xml:space="preserve">” means the representations and warranties of Obsidian set forth in </w:t>
      </w:r>
      <w:r>
        <w:rPr>
          <w:rFonts w:ascii="Times New Roman" w:cs="Times New Roman" w:eastAsia="Times New Roman" w:hAnsi="Times New Roman"/>
          <w:sz w:val="18"/>
          <w:szCs w:val="18"/>
          <w:u w:val="single" w:color="auto"/>
          <w:color w:val="auto"/>
        </w:rPr>
        <w:t>Sections 3.6(a)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3.6(d)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Common Stock</w:t>
      </w:r>
      <w:r>
        <w:rPr>
          <w:rFonts w:ascii="Times New Roman" w:cs="Times New Roman" w:eastAsia="Times New Roman" w:hAnsi="Times New Roman"/>
          <w:sz w:val="18"/>
          <w:szCs w:val="18"/>
          <w:color w:val="auto"/>
        </w:rPr>
        <w:t>” means the common stock, $0.0001 par value per share, of Obsidian.</w:t>
      </w:r>
    </w:p>
    <w:p>
      <w:pPr>
        <w:spacing w:after="0" w:line="22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Contract</w:t>
      </w:r>
      <w:r>
        <w:rPr>
          <w:rFonts w:ascii="Times New Roman" w:cs="Times New Roman" w:eastAsia="Times New Roman" w:hAnsi="Times New Roman"/>
          <w:sz w:val="18"/>
          <w:szCs w:val="18"/>
          <w:color w:val="auto"/>
        </w:rPr>
        <w:t>” means any Contract: (i) to which Obsidian or any of its Subsidiaries is a Party, (ii) by which Obsidian or any of its Subsidiaries, or any Obsidian IP Rights or any other asset of Obsidian, is or may become bound or under which Obsidian or any of its Subsidiaries has, or may become subject to, any obligation or (iii) under which Obsidian or any of its Subsidiaries has or may acquire any right or interest.</w:t>
      </w:r>
    </w:p>
    <w:p>
      <w:pPr>
        <w:spacing w:after="0" w:line="1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060"/>
          </w:cols>
          <w:pgMar w:left="320" w:top="454" w:right="51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Convertible Notes</w:t>
      </w:r>
      <w:r>
        <w:rPr>
          <w:rFonts w:ascii="Times New Roman" w:cs="Times New Roman" w:eastAsia="Times New Roman" w:hAnsi="Times New Roman"/>
          <w:sz w:val="18"/>
          <w:szCs w:val="18"/>
          <w:color w:val="auto"/>
        </w:rPr>
        <w:t>” means any cash convertible notes as may be issued in connection with the Permitted Obsidian Bridge Financing.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Employee Plan</w:t>
      </w:r>
      <w:r>
        <w:rPr>
          <w:rFonts w:ascii="Times New Roman" w:cs="Times New Roman" w:eastAsia="Times New Roman" w:hAnsi="Times New Roman"/>
          <w:sz w:val="18"/>
          <w:szCs w:val="18"/>
          <w:color w:val="auto"/>
        </w:rPr>
        <w:t>” means any Employee Plan that Obsidian or any of its Subsidiaries (i) sponsors, maintains, administers, or contributes to, or</w:t>
      </w:r>
    </w:p>
    <w:p>
      <w:pPr>
        <w:spacing w:after="0" w:line="31" w:lineRule="exact"/>
        <w:rPr>
          <w:sz w:val="20"/>
          <w:szCs w:val="20"/>
          <w:color w:val="auto"/>
        </w:rPr>
      </w:pPr>
    </w:p>
    <w:p>
      <w:pPr>
        <w:ind w:left="120" w:right="100" w:hanging="4"/>
        <w:spacing w:after="0" w:line="255" w:lineRule="auto"/>
        <w:tabs>
          <w:tab w:leader="none" w:pos="3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benefits under or through, or (iii) has any obligation to contribute to or provide benefits under or through, or (iv) may reasonably be expected to have any Liability with respect to (including on account of an ERISA Affiliate), or (v) utilizes to provide benefits to or otherwise cover any Obsidian Associate (or their spouses, dependents, or beneficiaries).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Equity Plan</w:t>
      </w:r>
      <w:r>
        <w:rPr>
          <w:rFonts w:ascii="Times New Roman" w:cs="Times New Roman" w:eastAsia="Times New Roman" w:hAnsi="Times New Roman"/>
          <w:sz w:val="18"/>
          <w:szCs w:val="18"/>
          <w:color w:val="auto"/>
        </w:rPr>
        <w:t>” means the Obsidian 2016 Stock Option Plan and Grant Plan, as amended from time to time.</w:t>
      </w:r>
    </w:p>
    <w:p>
      <w:pPr>
        <w:spacing w:after="0" w:line="225"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Exchange Ratio</w:t>
      </w:r>
      <w:r>
        <w:rPr>
          <w:rFonts w:ascii="Times New Roman" w:cs="Times New Roman" w:eastAsia="Times New Roman" w:hAnsi="Times New Roman"/>
          <w:sz w:val="18"/>
          <w:szCs w:val="18"/>
          <w:color w:val="auto"/>
        </w:rPr>
        <w:t xml:space="preserve">” means the quotient (rounded to four decimal places) obtained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(i) the number of Obsidian Merger Shares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8"/>
          <w:szCs w:val="18"/>
          <w:color w:val="auto"/>
        </w:rPr>
        <w:t xml:space="preserve"> (ii) the number of Obsidian Outstanding Shares.</w:t>
      </w:r>
    </w:p>
    <w:p>
      <w:pPr>
        <w:spacing w:after="0" w:line="155"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Fundamental Representations</w:t>
      </w:r>
      <w:r>
        <w:rPr>
          <w:rFonts w:ascii="Times New Roman" w:cs="Times New Roman" w:eastAsia="Times New Roman" w:hAnsi="Times New Roman"/>
          <w:sz w:val="18"/>
          <w:szCs w:val="18"/>
          <w:color w:val="auto"/>
        </w:rPr>
        <w:t xml:space="preserve">” means the representations and warranties of Obsidian set forth in </w:t>
      </w:r>
      <w:r>
        <w:rPr>
          <w:rFonts w:ascii="Times New Roman" w:cs="Times New Roman" w:eastAsia="Times New Roman" w:hAnsi="Times New Roman"/>
          <w:sz w:val="18"/>
          <w:szCs w:val="18"/>
          <w:u w:val="single" w:color="auto"/>
          <w:color w:val="auto"/>
        </w:rPr>
        <w:t>Sections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IP Rights</w:t>
      </w:r>
      <w:r>
        <w:rPr>
          <w:rFonts w:ascii="Times New Roman" w:cs="Times New Roman" w:eastAsia="Times New Roman" w:hAnsi="Times New Roman"/>
          <w:sz w:val="18"/>
          <w:szCs w:val="18"/>
          <w:color w:val="auto"/>
        </w:rPr>
        <w:t>” means all Intellectual Property rights that are (i) owned or purported to be owned, whether wholly or jointly with others, or controlled by Obsidian or any of its Subsidiaries (“</w:t>
      </w:r>
      <w:r>
        <w:rPr>
          <w:rFonts w:ascii="Times New Roman" w:cs="Times New Roman" w:eastAsia="Times New Roman" w:hAnsi="Times New Roman"/>
          <w:sz w:val="18"/>
          <w:szCs w:val="18"/>
          <w:b w:val="1"/>
          <w:bCs w:val="1"/>
          <w:color w:val="auto"/>
        </w:rPr>
        <w:t>Obsidian Owned IP Rights</w:t>
      </w:r>
      <w:r>
        <w:rPr>
          <w:rFonts w:ascii="Times New Roman" w:cs="Times New Roman" w:eastAsia="Times New Roman" w:hAnsi="Times New Roman"/>
          <w:sz w:val="18"/>
          <w:szCs w:val="18"/>
          <w:color w:val="auto"/>
        </w:rPr>
        <w:t>”), or (ii) licensed or sublicensed by Obsidian or any of its Subsidiaries (“</w:t>
      </w:r>
      <w:r>
        <w:rPr>
          <w:rFonts w:ascii="Times New Roman" w:cs="Times New Roman" w:eastAsia="Times New Roman" w:hAnsi="Times New Roman"/>
          <w:sz w:val="18"/>
          <w:szCs w:val="18"/>
          <w:b w:val="1"/>
          <w:bCs w:val="1"/>
          <w:color w:val="auto"/>
        </w:rPr>
        <w:t>Obsidian Licensed IP Rights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IP Rights Agreement</w:t>
      </w:r>
      <w:r>
        <w:rPr>
          <w:rFonts w:ascii="Times New Roman" w:cs="Times New Roman" w:eastAsia="Times New Roman" w:hAnsi="Times New Roman"/>
          <w:sz w:val="18"/>
          <w:szCs w:val="18"/>
          <w:color w:val="auto"/>
        </w:rPr>
        <w:t>” means any Contract governing, related to or pertaining to any Obsidian IP Rights other than any confidential information provided under confidentiality agreements.</w:t>
      </w:r>
    </w:p>
    <w:p>
      <w:pPr>
        <w:spacing w:after="0" w:line="155"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Material Adverse Effect</w:t>
      </w:r>
      <w:r>
        <w:rPr>
          <w:rFonts w:ascii="Times New Roman" w:cs="Times New Roman" w:eastAsia="Times New Roman" w:hAnsi="Times New Roman"/>
          <w:sz w:val="18"/>
          <w:szCs w:val="18"/>
          <w:color w:val="auto"/>
        </w:rPr>
        <w:t xml:space="preserve">” means any Effect that, considered together with all other Effects that have occurred prior to the date of determination of the occurrence of an Obsidian Material Adverse Effect, has had or would reasonably be expected to have a material adverse effect on the business, assets, liabilities, financial condition or results of operations of Obsidian or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Effects arising or resulting from the following, alone or in combination, shall not be taken into account in determining whether there has been an Obsidian Material Adverse Effect: (i) the announcement of this Agreement, the pendency or the consummation of the Contemplated Transactions, including any adverse change in customer, supplier, governmental, landlord, employee or similar relationships resulting therefrom or with respect thereto, (ii) the taking of any action, or the failure to take any action, by Obsidian that is expressly required to be taken or not taken under the terms and conditions of this Agreement, (iii) any natural disaster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(iv) any change in, or any compliance with GAAP or applicable Law or the interpretation thereof (provided that, this clause (iv) does not exclude any Effect resulting from any underlying noncompliance with GAAP or applicable Law), (v) general economic, financial and capital markets, political conditions or conditions, including any instability in the banking sector, including the failure or placement into receivership of any financial institution, in each case generally affecting the industries in which Obsidian and its Subsidiaries operate or any changes in the conditions thereof, (vi) any change in the cash position of Obsidian and its Subsidiaries which results from operations in the Ordinary Course of Business, or (vii) any failure of Obsidian to meet any projections, business plans or forecasts (provided that, this clause (vii) shall not prevent a determination that any change or effect underlying such failure to meet projections, business plans or forecasts has resulted in an Obsidian Material Adverse Effect (to the extent such change or effect is not otherwise excluded from this definition of Obsidian Material Adverse Effect)); except in each case with respect to clauses (iii), (iv) and (v), to the extent disproportionately affecting Obsidian and its Subsidiaries, taken as a whole, relative to other similarly situated companies in the industries in which Obsidian and its Subsidiaries operate.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20"/>
          </w:cols>
          <w:pgMar w:left="320" w:top="454" w:right="459" w:bottom="1440" w:gutter="0" w:footer="0" w:header="0"/>
        </w:sectPr>
      </w:pPr>
    </w:p>
    <w:bookmarkStart w:id="481" w:name="page482"/>
    <w:bookmarkEnd w:id="4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Option</w:t>
      </w:r>
      <w:r>
        <w:rPr>
          <w:rFonts w:ascii="Times New Roman" w:cs="Times New Roman" w:eastAsia="Times New Roman" w:hAnsi="Times New Roman"/>
          <w:sz w:val="18"/>
          <w:szCs w:val="18"/>
          <w:color w:val="auto"/>
        </w:rPr>
        <w:t>” means each option to purchase shares of Obsidian Common Stock granted by Obsidian including, without limitation, under the Obsidian Equity Plan.</w:t>
      </w:r>
    </w:p>
    <w:p>
      <w:pPr>
        <w:spacing w:after="0" w:line="15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Outstanding Shares</w:t>
      </w:r>
      <w:r>
        <w:rPr>
          <w:rFonts w:ascii="Times New Roman" w:cs="Times New Roman" w:eastAsia="Times New Roman" w:hAnsi="Times New Roman"/>
          <w:sz w:val="18"/>
          <w:szCs w:val="18"/>
          <w:color w:val="auto"/>
        </w:rPr>
        <w:t>” means, the total number of shares of Obsidian Common Stock outstanding immediately prior to the Obsidian Effective Time (after giving effect to the Obsidian Preferred Stock Conversion and the conversion of the Obsidian Convertible Notes) expressed on a fully-diluted and as-converted to Obsidian Common Stock on a “treasury method” basis and assuming, without limitation or duplication, the issuance of all shares of Obsidian Common Stock that would be issued assuming the acceleration and exercise and conversion of all Obsidian Options outstanding as of immediately prior to the Obsidian Effective Time (including shares of Obsidian Common Stock underlying Obsidian Options that will not be accelerated or exercised immediately prior to the Obsidian Effective Time) and the issuance of shares of Obsidian Common Stock that would be issued assuming the exercise of the Banc of California, Inc. Warrant of immediately prior to the Obsidian Effective Time; provided, that such shares of Obsidian Common Stock shall be increased by the amount of shares of Obsidian Common Stock underlying any Obsidian Convertible Notes issued in any Permitted Obsidian Bridge Financing.</w:t>
      </w:r>
    </w:p>
    <w:p>
      <w:pPr>
        <w:spacing w:after="0" w:line="188"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Preferred Stock</w:t>
      </w:r>
      <w:r>
        <w:rPr>
          <w:rFonts w:ascii="Times New Roman" w:cs="Times New Roman" w:eastAsia="Times New Roman" w:hAnsi="Times New Roman"/>
          <w:sz w:val="18"/>
          <w:szCs w:val="18"/>
          <w:color w:val="auto"/>
        </w:rPr>
        <w:t>” means, collectively, the Obsidian Series A-1 Preferred Stock, Obsidian Series A-2 Preferred Stock, Obsidian Series A-3 Preferred Stock, Obsidian Series B Preferred Stock and Obsidian Series C Preferred Stock.</w:t>
      </w:r>
    </w:p>
    <w:p>
      <w:pPr>
        <w:spacing w:after="0" w:line="155"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Registered IP</w:t>
      </w:r>
      <w:r>
        <w:rPr>
          <w:rFonts w:ascii="Times New Roman" w:cs="Times New Roman" w:eastAsia="Times New Roman" w:hAnsi="Times New Roman"/>
          <w:sz w:val="18"/>
          <w:szCs w:val="18"/>
          <w:color w:val="auto"/>
        </w:rPr>
        <w:t>” means all Obsidian IP Rights that are registered, filed, issued or otherwise granted under the authority of, with or by any Governmental Authority, including all Patents, registered copyrights and registered trademarks and all applications and registrations for any of the foregoing.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Series A-1 Preferred Stock</w:t>
      </w:r>
      <w:r>
        <w:rPr>
          <w:rFonts w:ascii="Times New Roman" w:cs="Times New Roman" w:eastAsia="Times New Roman" w:hAnsi="Times New Roman"/>
          <w:sz w:val="18"/>
          <w:szCs w:val="18"/>
          <w:color w:val="auto"/>
        </w:rPr>
        <w:t>” means the preferred stock, $0.0001 par value per share, of Obsidian, designated as Series A-1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Series A-2 Preferred Stock</w:t>
      </w:r>
      <w:r>
        <w:rPr>
          <w:rFonts w:ascii="Times New Roman" w:cs="Times New Roman" w:eastAsia="Times New Roman" w:hAnsi="Times New Roman"/>
          <w:sz w:val="18"/>
          <w:szCs w:val="18"/>
          <w:color w:val="auto"/>
        </w:rPr>
        <w:t>” means the preferred stock, $0.0001 par value per share, of Obsidian, designated as Series A-2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Series A-3 Preferred Stock</w:t>
      </w:r>
      <w:r>
        <w:rPr>
          <w:rFonts w:ascii="Times New Roman" w:cs="Times New Roman" w:eastAsia="Times New Roman" w:hAnsi="Times New Roman"/>
          <w:sz w:val="18"/>
          <w:szCs w:val="18"/>
          <w:color w:val="auto"/>
        </w:rPr>
        <w:t>” means the preferred stock, $0.0001 par value per share, of Obsidian, designated as Series A-3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Series B Preferred Stock</w:t>
      </w:r>
      <w:r>
        <w:rPr>
          <w:rFonts w:ascii="Times New Roman" w:cs="Times New Roman" w:eastAsia="Times New Roman" w:hAnsi="Times New Roman"/>
          <w:sz w:val="18"/>
          <w:szCs w:val="18"/>
          <w:color w:val="auto"/>
        </w:rPr>
        <w:t>” means the preferred stock, $0.0001 par value per share, of Obsidian, designated as Series B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Series C Preferred Stock</w:t>
      </w:r>
      <w:r>
        <w:rPr>
          <w:rFonts w:ascii="Times New Roman" w:cs="Times New Roman" w:eastAsia="Times New Roman" w:hAnsi="Times New Roman"/>
          <w:sz w:val="18"/>
          <w:szCs w:val="18"/>
          <w:color w:val="auto"/>
        </w:rPr>
        <w:t>” means the preferred stock, $0.0001 par value per share, of Obsidian, designated as Series C Preferred Stock.</w:t>
      </w:r>
    </w:p>
    <w:p>
      <w:pPr>
        <w:spacing w:after="0" w:line="225" w:lineRule="exact"/>
        <w:rPr>
          <w:sz w:val="20"/>
          <w:szCs w:val="20"/>
          <w:color w:val="auto"/>
        </w:rPr>
      </w:pPr>
    </w:p>
    <w:p>
      <w:pPr>
        <w:ind w:left="120" w:right="1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Triggering Event</w:t>
      </w:r>
      <w:r>
        <w:rPr>
          <w:rFonts w:ascii="Times New Roman" w:cs="Times New Roman" w:eastAsia="Times New Roman" w:hAnsi="Times New Roman"/>
          <w:sz w:val="18"/>
          <w:szCs w:val="18"/>
          <w:color w:val="auto"/>
        </w:rPr>
        <w:t>” shall be deemed to have occurred if: (i) Obsidian Board or any committee thereof shall have approved, endorsed or recommended any Acquisition Proposal or (ii) Obsidian shall have entered into any letter of intent or similar document or any Contract relating to any Acquisition Proposal (other than an Acceptable Confidentiality Agreement).</w:t>
      </w:r>
    </w:p>
    <w:p>
      <w:pPr>
        <w:spacing w:after="0" w:line="171"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71"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Ordinary Course of Business</w:t>
      </w:r>
      <w:r>
        <w:rPr>
          <w:rFonts w:ascii="Times New Roman" w:cs="Times New Roman" w:eastAsia="Times New Roman" w:hAnsi="Times New Roman"/>
          <w:sz w:val="18"/>
          <w:szCs w:val="18"/>
          <w:color w:val="auto"/>
        </w:rPr>
        <w:t>” means, in the case of each of Obsidian and Galera, such actions taken in the ordinary course of its normal operations and consistent with its past practices.</w:t>
      </w:r>
    </w:p>
    <w:p>
      <w:pPr>
        <w:spacing w:after="0" w:line="155" w:lineRule="exact"/>
        <w:rPr>
          <w:sz w:val="20"/>
          <w:szCs w:val="20"/>
          <w:color w:val="auto"/>
        </w:rPr>
      </w:pPr>
    </w:p>
    <w:p>
      <w:pPr>
        <w:ind w:left="120" w:right="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with respect to any Person (other than an individual), (i) the certificate or articles of association, formation, incorporation or organization or limited partnership, and any joint venture,</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80"/>
          </w:cols>
          <w:pgMar w:left="320" w:top="454" w:right="499" w:bottom="1440" w:gutter="0" w:footer="0" w:header="0"/>
        </w:sectPr>
      </w:pPr>
    </w:p>
    <w:bookmarkStart w:id="482" w:name="page483"/>
    <w:bookmarkEnd w:id="4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limited liability company, operating or partnership agreement and other similar documents adopted or filed in connection with the creation, formation or organization of such Person and (ii) all bylaws, regulations and similar documents or agreements relating to the organization or governance of such Person, in each case, as amended or supplemented.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Common Stock</w:t>
      </w:r>
      <w:r>
        <w:rPr>
          <w:rFonts w:ascii="Times New Roman" w:cs="Times New Roman" w:eastAsia="Times New Roman" w:hAnsi="Times New Roman"/>
          <w:sz w:val="18"/>
          <w:szCs w:val="18"/>
          <w:color w:val="auto"/>
        </w:rPr>
        <w:t>” means the common stock, $0.001 par value per share, of Parent.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Obsidian, Obsidian Merger Sub, Galera, Galera Merger Sub and Parent.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Galera Bridge Financing</w:t>
      </w:r>
      <w:r>
        <w:rPr>
          <w:rFonts w:ascii="Times New Roman" w:cs="Times New Roman" w:eastAsia="Times New Roman" w:hAnsi="Times New Roman"/>
          <w:sz w:val="18"/>
          <w:szCs w:val="18"/>
          <w:color w:val="auto"/>
        </w:rPr>
        <w:t>” means a financing of an amount of up to $1,800,000 to fund Galera’s operations during the Pre-Closing Period.</w:t>
      </w:r>
    </w:p>
    <w:p>
      <w:pPr>
        <w:spacing w:after="0" w:line="22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Galera Bridge Financing Agreement</w:t>
      </w:r>
      <w:r>
        <w:rPr>
          <w:rFonts w:ascii="Times New Roman" w:cs="Times New Roman" w:eastAsia="Times New Roman" w:hAnsi="Times New Roman"/>
          <w:sz w:val="18"/>
          <w:szCs w:val="18"/>
          <w:color w:val="auto"/>
        </w:rPr>
        <w:t>” means a Contract executed by Galera pursuant to which the counterparty has agreed to provide financing to Galera during the Pre-Closing Period to provide for the Permitted Galera Bridge Financing.</w:t>
      </w:r>
    </w:p>
    <w:p>
      <w:pPr>
        <w:spacing w:after="0" w:line="15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Obsidian Bridge Financing</w:t>
      </w:r>
      <w:r>
        <w:rPr>
          <w:rFonts w:ascii="Times New Roman" w:cs="Times New Roman" w:eastAsia="Times New Roman" w:hAnsi="Times New Roman"/>
          <w:sz w:val="18"/>
          <w:szCs w:val="18"/>
          <w:color w:val="auto"/>
        </w:rPr>
        <w:t>” means a financing to fund Obsidian’s operations during the Pre-Closing Period to be provided by Obsidian’s stockholders.</w:t>
      </w:r>
    </w:p>
    <w:p>
      <w:pPr>
        <w:spacing w:after="0" w:line="155"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Obsidian Bridge Financing Agreement</w:t>
      </w:r>
      <w:r>
        <w:rPr>
          <w:rFonts w:ascii="Times New Roman" w:cs="Times New Roman" w:eastAsia="Times New Roman" w:hAnsi="Times New Roman"/>
          <w:sz w:val="18"/>
          <w:szCs w:val="18"/>
          <w:color w:val="auto"/>
        </w:rPr>
        <w:t>” means a Contract executed by Obsidian pursuant to which the counterparty has agreed to purchase for cash convertible notes during the Pre-Closing Period to provide for the Permitted Obsidian Bridge Financing.</w:t>
      </w:r>
    </w:p>
    <w:p>
      <w:pPr>
        <w:spacing w:after="0" w:line="155" w:lineRule="exact"/>
        <w:rPr>
          <w:sz w:val="20"/>
          <w:szCs w:val="20"/>
          <w:color w:val="auto"/>
        </w:rPr>
      </w:pPr>
    </w:p>
    <w:p>
      <w:pPr>
        <w:ind w:left="120" w:right="1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Encumbrance</w:t>
      </w:r>
      <w:r>
        <w:rPr>
          <w:rFonts w:ascii="Times New Roman" w:cs="Times New Roman" w:eastAsia="Times New Roman" w:hAnsi="Times New Roman"/>
          <w:sz w:val="17"/>
          <w:szCs w:val="17"/>
          <w:color w:val="auto"/>
        </w:rPr>
        <w:t>” means (i) any statutory liens for current Taxes not yet due and payable or for Taxes that are being contested in good faith and for which adequate reserves have been made on the Obsidian Balance Sheet or the Galera Balance Sheet, as applicable, in accordance with GAAP,</w:t>
      </w:r>
    </w:p>
    <w:p>
      <w:pPr>
        <w:spacing w:after="0" w:line="1" w:lineRule="exact"/>
        <w:rPr>
          <w:sz w:val="20"/>
          <w:szCs w:val="20"/>
          <w:color w:val="auto"/>
        </w:rPr>
      </w:pPr>
    </w:p>
    <w:p>
      <w:pPr>
        <w:ind w:left="120" w:hanging="4"/>
        <w:spacing w:after="0" w:line="252" w:lineRule="auto"/>
        <w:tabs>
          <w:tab w:leader="none" w:pos="3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 liens that have arisen in the Ordinary Course of Business and that do not (in any case or in the aggregate) materially detract from the value of the assets subject thereto or materially impair the operations of Obsidian or Galera, as applicable, (iii) statutory liens to secure obligations to landlords, lessors or renters under leases or rental agreements, (iv) deposits or pledges made in connection with, or to secure payment of, workers’ compensation, unemployment insurance or similar programs mandated by Law, (v) statutory liens in favor of carriers, warehousemen, mechanics and materialmen, to secure claims for labor, materials or supplies,(vi) liens arising under applicable securities Law, and (vii) non-exclusive licenses of Intellectual Property granted by Galera or Obsidian, as applicable, in the Ordinary Course of Business and that do not (in any case or in the aggregate) materially detract from the value of the Intellectual Property Rights subject thereto.</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Entity or Governmental Authority.</w:t>
      </w:r>
    </w:p>
    <w:p>
      <w:pPr>
        <w:spacing w:after="0" w:line="22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(i) data and information concerning an identifiable natural person, or (ii) any information that is regulated or protected by one or more Privacy Laws.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mean Laws relating to privacy, security and/or collection, use or other processing of Personal Information.</w:t>
      </w:r>
    </w:p>
    <w:p>
      <w:pPr>
        <w:spacing w:after="0" w:line="225"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means, with respect to any Person, such Person’s directors, officers, employees, agents, attorneys, accountants, investment bankers, advisors and representatives.</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means the Sarbanes-Oxley Act of 2002.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4" w:right="459" w:bottom="1440" w:gutter="0" w:footer="0" w:header="0"/>
        </w:sectPr>
      </w:pPr>
    </w:p>
    <w:bookmarkStart w:id="483" w:name="page484"/>
    <w:bookmarkEnd w:id="4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Stockholders</w:t>
      </w:r>
      <w:r>
        <w:rPr>
          <w:rFonts w:ascii="Times New Roman" w:cs="Times New Roman" w:eastAsia="Times New Roman" w:hAnsi="Times New Roman"/>
          <w:sz w:val="18"/>
          <w:szCs w:val="18"/>
          <w:color w:val="auto"/>
        </w:rPr>
        <w:t>” means the Galera stockholders party to the Galera Stockholder Support Agreements.</w:t>
      </w:r>
    </w:p>
    <w:p>
      <w:pPr>
        <w:spacing w:after="0" w:line="22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 Person, an Entity of which more than 50% of the voting power of the equity securities or equity interests is owned, directly or indirectly, by such Person.</w:t>
      </w:r>
    </w:p>
    <w:p>
      <w:pPr>
        <w:spacing w:after="0" w:line="15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Offer</w:t>
      </w:r>
      <w:r>
        <w:rPr>
          <w:rFonts w:ascii="Times New Roman" w:cs="Times New Roman" w:eastAsia="Times New Roman" w:hAnsi="Times New Roman"/>
          <w:sz w:val="18"/>
          <w:szCs w:val="18"/>
          <w:color w:val="auto"/>
        </w:rPr>
        <w:t>” means an unsolicited bona fide written Acquisition Proposal (with all references to 20% in the definition of Acquisition Transaction being treated as references to 50% for these purposes) that: (i) was not obtained or made as a direct or indirect result of a breach of (or in violation of) this Agreement and (ii) is on terms and conditions that the Obsidian Board or the Galera Board, as applicable, determines in good faith, based on such matters that it deems relevant (including the likelihood of consummation thereof and the financing terms and any termination or break-up fees and conditions to consummation thereof), as well as any written offer by the other Party to this Agreement to amend the terms of this Agreement, and following consultation with its outside legal counsel and financial advisors, if any, are more favorable, from a financial point of view, to Obsidian’s stockholders or Galera’s stockholders, as applicable, than the terms of the Contemplated Transactions and is not subject to any financing conditions (and if financing is required, such financing is then fully committed to the third party).</w:t>
      </w:r>
    </w:p>
    <w:p>
      <w:pPr>
        <w:spacing w:after="0" w:line="185"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means (i) any U.S. federal, state or local or non-U.S. tax, including any income tax, franchise tax, capital gains tax, gross receipts tax, value-added tax, surtax, estimated tax, unemployment tax, excise tax, ad valorem tax, transfer tax, stamp tax, sales tax, use tax, property tax, business tax, withholding tax, imputed underpayment amount, payroll tax, customs duty, escheat, unclaimed property, alternative or add-on minimum or other tax or similar charge (whether imposed directly or through withholding and whether or not disputed), and including any fine, penalty, addition to tax, interest or additional amount imposed by a Governmental Authority with respect thereto (or attributable to the nonpayment thereof) and (ii) any liability for payment of amounts described in clause (i) whether as a result of transferee or successor liability, of being a member of an affiliated, consolidated, combined or unitary group for any period, pursuant to a Contract, through operation of Law or otherwise.</w:t>
      </w:r>
    </w:p>
    <w:p>
      <w:pPr>
        <w:spacing w:after="0" w:line="183" w:lineRule="exact"/>
        <w:rPr>
          <w:sz w:val="20"/>
          <w:szCs w:val="20"/>
          <w:color w:val="auto"/>
        </w:rPr>
      </w:pPr>
    </w:p>
    <w:p>
      <w:pPr>
        <w:ind w:left="120" w:right="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w:t>
      </w:r>
      <w:r>
        <w:rPr>
          <w:rFonts w:ascii="Times New Roman" w:cs="Times New Roman" w:eastAsia="Times New Roman" w:hAnsi="Times New Roman"/>
          <w:sz w:val="18"/>
          <w:szCs w:val="18"/>
          <w:color w:val="auto"/>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xml:space="preserve">” means, with respect to Galera, the aggregate amount (without duplication) of all costs, fees, Taxes and expenses incurred by Galera and its Subsidiaries, or for which Galera and any of its Subsidiaries are or may become liable in connection with the Mergers and the CVR Agreement and the negotiation, preparation and execution of this Agreement or any other agreement, document, instrument, filing, certificate, schedule, exhibit, letter or other document prepared or executed in connection with the Mergers and the CVR Agreement, including (i) any fees and expenses of legal counsel, accountants, payable to financial advisors, investment bankers, brokers, consultants, tax advisors, transfer agents, proxy solicitor and other advisors of Galera; (ii) the CVR Fees (to the extent actually accrued as of the Galera Effective Time); and (iii) any Taxes actually incurred by Galera with respect to the payment of any other item listed in this definition of Transaction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Transaction Expenses shall specifically exclude (A) any fees and expenses in respect of the Concurrent PIPE Financing, and (B) all Nasdaq fees associated with the Nasdaq Listing Application, in each case of clauses (A) and (B) which shall be payable Obsidian and its Subsidiaries.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United States Treasury regulations promulgated under the Code.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means the Worker Adjustment and Retraining Notification Act of 1988, as amended, and any similar law.</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20"/>
          </w:cols>
          <w:pgMar w:left="320" w:top="454" w:right="459" w:bottom="1440" w:gutter="0" w:footer="0" w:header="0"/>
        </w:sectPr>
      </w:pPr>
    </w:p>
    <w:bookmarkStart w:id="484" w:name="page485"/>
    <w:bookmarkEnd w:id="4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terms is defined in the Section set forth opposite such term:</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280" w:type="dxa"/>
            <w:vAlign w:val="bottom"/>
          </w:tcPr>
          <w:p>
            <w:pPr>
              <w:spacing w:after="0"/>
              <w:rPr>
                <w:sz w:val="15"/>
                <w:szCs w:val="15"/>
                <w:color w:val="auto"/>
              </w:rPr>
            </w:pPr>
          </w:p>
        </w:tc>
      </w:tr>
      <w:tr>
        <w:trPr>
          <w:trHeight w:val="191"/>
        </w:trPr>
        <w:tc>
          <w:tcPr>
            <w:tcW w:w="44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Accounting Firm</w:t>
            </w:r>
          </w:p>
        </w:tc>
        <w:tc>
          <w:tcPr>
            <w:tcW w:w="1420" w:type="dxa"/>
            <w:vAlign w:val="bottom"/>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5"/>
              </w:rPr>
              <w:t>2.11(e)</w:t>
            </w:r>
          </w:p>
        </w:tc>
        <w:tc>
          <w:tcPr>
            <w:tcW w:w="280" w:type="dxa"/>
            <w:vAlign w:val="bottom"/>
          </w:tcPr>
          <w:p>
            <w:pPr>
              <w:spacing w:after="0"/>
              <w:rPr>
                <w:sz w:val="16"/>
                <w:szCs w:val="16"/>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Allocation Certificate</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Meeting Galera Stockholder Vote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Anticipated Closing Date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2.11(a)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Obsidian Option</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2.5(g)</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Determination Time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2.11(a)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Capitalization Date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4.6(a)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7.6(a)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Offering Period</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2.6(i)</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CVR Agreement</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2.6(i)</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Indemnified Parties</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7.6(a)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tail policy</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7.6(d)</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Date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2.11(a)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Notice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2.11(b)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Disqualifying Event</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Drug Regulatory Agency</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3.14(a)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2.9(a)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FDA</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3.14(a)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FDCA</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3.14(a)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Final Galera Net Cash</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2.11(c)</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S-4</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7.1(a)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401(k) Plan</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7.18</w:t>
            </w:r>
          </w:p>
        </w:tc>
        <w:tc>
          <w:tcPr>
            <w:tcW w:w="2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Authorized Common Stock Increase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4.6(a)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Board</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Board Adverse Recommendation Change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7.3(b)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Board Recommendation</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7.3(b)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Certificate of Merger</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Certifications</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Closing Certificate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8.2(d)</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Common Stock</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4.6(a)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Contingent Worker</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4.18(b)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Disclosure Schedule</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w w:val="97"/>
              </w:rPr>
              <w:t>Article IV</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Effective Time</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Information Statement</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7.1(a)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Intervening Event</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7.3(c)</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IT Systems</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4.24(b)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Material Contract</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4.13(a)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Merger</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Merger Sub</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Preamble</w:t>
            </w: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Merger Sub Board</w:t>
            </w:r>
          </w:p>
        </w:tc>
        <w:tc>
          <w:tcPr>
            <w:tcW w:w="216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Recitals</w:t>
            </w:r>
          </w:p>
        </w:tc>
      </w:tr>
      <w:tr>
        <w:trPr>
          <w:trHeight w:val="365"/>
        </w:trPr>
        <w:tc>
          <w:tcPr>
            <w:tcW w:w="3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160" w:type="dxa"/>
            <w:vAlign w:val="bottom"/>
            <w:gridSpan w:val="3"/>
          </w:tcPr>
          <w:p>
            <w:pPr>
              <w:ind w:left="900"/>
              <w:spacing w:after="0"/>
              <w:rPr>
                <w:sz w:val="20"/>
                <w:szCs w:val="20"/>
                <w:color w:val="auto"/>
              </w:rPr>
            </w:pPr>
            <w:r>
              <w:rPr>
                <w:rFonts w:ascii="Times New Roman" w:cs="Times New Roman" w:eastAsia="Times New Roman" w:hAnsi="Times New Roman"/>
                <w:sz w:val="18"/>
                <w:szCs w:val="18"/>
                <w:color w:val="auto"/>
              </w:rPr>
              <w:t>A-21</w:t>
            </w:r>
          </w:p>
        </w:tc>
      </w:tr>
    </w:tbl>
    <w:p>
      <w:pPr>
        <w:sectPr>
          <w:pgSz w:w="11900" w:h="16838" w:orient="portrait"/>
          <w:cols w:equalWidth="0" w:num="1">
            <w:col w:w="10139"/>
          </w:cols>
          <w:pgMar w:left="320" w:top="454" w:right="1440" w:bottom="1440" w:gutter="0" w:footer="0" w:header="0"/>
        </w:sectPr>
      </w:pPr>
    </w:p>
    <w:bookmarkStart w:id="485" w:name="page486"/>
    <w:bookmarkEnd w:id="4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260" w:type="dxa"/>
            <w:vAlign w:val="bottom"/>
          </w:tcPr>
          <w:p>
            <w:pPr>
              <w:spacing w:after="0"/>
              <w:rPr>
                <w:sz w:val="15"/>
                <w:szCs w:val="15"/>
                <w:color w:val="auto"/>
              </w:rPr>
            </w:pPr>
          </w:p>
        </w:tc>
      </w:tr>
      <w:tr>
        <w:trPr>
          <w:trHeight w:val="191"/>
        </w:trPr>
        <w:tc>
          <w:tcPr>
            <w:tcW w:w="45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Galera Merger Surviving Corporation</w:t>
            </w:r>
          </w:p>
        </w:tc>
        <w:tc>
          <w:tcPr>
            <w:tcW w:w="1340" w:type="dxa"/>
            <w:vAlign w:val="bottom"/>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6"/>
                <w:szCs w:val="16"/>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Net Cash Calculation</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2.11(a)</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Net Cash Schedule</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2.11(a)</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Notice Period</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7.3(c)</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Owned IP Rights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4.12(e)</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Permits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4.15(b)</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Pre-Funded Warrant Exercise</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2.6(a)</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Preferred Stock Conversion</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2.6(b)</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Privacy Policies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4.24(a)</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Product Candidates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4.15(d)</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Regulatory Permits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4.15(d)</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Real Estate Leases</w:t>
            </w:r>
          </w:p>
        </w:tc>
        <w:tc>
          <w:tcPr>
            <w:tcW w:w="1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4.11</w:t>
            </w:r>
          </w:p>
        </w:tc>
        <w:tc>
          <w:tcPr>
            <w:tcW w:w="26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SEC Documents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4.7(a)</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Stockholder Matters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Stockholder Support Agreement</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Stockholder Written Consents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Galera Termination Fee</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10.3(b)</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Intended Tax Treatment</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w:t>
            </w:r>
          </w:p>
        </w:tc>
        <w:tc>
          <w:tcPr>
            <w:tcW w:w="1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Listing Application</w:t>
            </w:r>
          </w:p>
        </w:tc>
        <w:tc>
          <w:tcPr>
            <w:tcW w:w="1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Galera Option Shares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2.6(i)</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Board</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Board Adverse Recommendation Change</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7.2(b)</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Board Recommendation</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7.2(b)</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Certificate of Merger</w:t>
            </w:r>
          </w:p>
        </w:tc>
        <w:tc>
          <w:tcPr>
            <w:tcW w:w="1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Closing Certificate</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8.3(d)</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Contingent Worker</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3.17(b)</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Disclosure Schedule</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w w:val="96"/>
              </w:rPr>
              <w:t>Article III</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Effective Time</w:t>
            </w:r>
          </w:p>
        </w:tc>
        <w:tc>
          <w:tcPr>
            <w:tcW w:w="1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Financial Statements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3.7(a)</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Intervening Event</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7.2(c)</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IT Systems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3.22(b)</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Lock-Up Agreements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Material Contract</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3.13(a)</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Merger</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Merger Sub</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Merger Sub Board</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Merger Surviving Corporation</w:t>
            </w:r>
          </w:p>
        </w:tc>
        <w:tc>
          <w:tcPr>
            <w:tcW w:w="1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Notice Period</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7.2(c)</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Owned IP Rights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3.12(e)</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Permits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3.14(b)</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Preferred Stock Conversion</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2.5(a)</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Product Candidates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3.14(d)</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Real Estate Leases</w:t>
            </w:r>
          </w:p>
        </w:tc>
        <w:tc>
          <w:tcPr>
            <w:tcW w:w="180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tcPr>
          <w:p>
            <w:pPr>
              <w:spacing w:after="0"/>
              <w:rPr>
                <w:sz w:val="18"/>
                <w:szCs w:val="18"/>
                <w:color w:val="auto"/>
              </w:rPr>
            </w:pP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Regulatory Permits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3.14(d)</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Stockholder Support Agreement</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Obsidian Stockholder Written Consents</w:t>
            </w:r>
          </w:p>
        </w:tc>
        <w:tc>
          <w:tcPr>
            <w:tcW w:w="2060" w:type="dxa"/>
            <w:vAlign w:val="bottom"/>
            <w:gridSpan w:val="3"/>
          </w:tcPr>
          <w:p>
            <w:pPr>
              <w:ind w:left="1340"/>
              <w:spacing w:after="0"/>
              <w:rPr>
                <w:sz w:val="20"/>
                <w:szCs w:val="20"/>
                <w:color w:val="auto"/>
              </w:rPr>
            </w:pPr>
            <w:r>
              <w:rPr>
                <w:rFonts w:ascii="Times New Roman" w:cs="Times New Roman" w:eastAsia="Times New Roman" w:hAnsi="Times New Roman"/>
                <w:sz w:val="18"/>
                <w:szCs w:val="18"/>
                <w:color w:val="auto"/>
              </w:rPr>
              <w:t>Recitals</w:t>
            </w:r>
          </w:p>
        </w:tc>
      </w:tr>
      <w:tr>
        <w:trPr>
          <w:trHeight w:val="364"/>
        </w:trPr>
        <w:tc>
          <w:tcPr>
            <w:tcW w:w="34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6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A-22</w:t>
            </w:r>
          </w:p>
        </w:tc>
      </w:tr>
    </w:tbl>
    <w:p>
      <w:pPr>
        <w:sectPr>
          <w:pgSz w:w="11900" w:h="16838" w:orient="portrait"/>
          <w:cols w:equalWidth="0" w:num="1">
            <w:col w:w="10139"/>
          </w:cols>
          <w:pgMar w:left="320" w:top="454" w:right="1440" w:bottom="1440" w:gutter="0" w:footer="0" w:header="0"/>
        </w:sectPr>
      </w:pPr>
    </w:p>
    <w:bookmarkStart w:id="486" w:name="page487"/>
    <w:bookmarkEnd w:id="4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220" w:type="dxa"/>
            <w:vAlign w:val="bottom"/>
          </w:tcPr>
          <w:p>
            <w:pPr>
              <w:spacing w:after="0"/>
              <w:rPr>
                <w:sz w:val="15"/>
                <w:szCs w:val="15"/>
                <w:color w:val="auto"/>
              </w:rPr>
            </w:pPr>
          </w:p>
        </w:tc>
      </w:tr>
      <w:tr>
        <w:trPr>
          <w:trHeight w:val="191"/>
        </w:trPr>
        <w:tc>
          <w:tcPr>
            <w:tcW w:w="44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Obsidian Termination Fee</w:t>
            </w:r>
          </w:p>
        </w:tc>
        <w:tc>
          <w:tcPr>
            <w:tcW w:w="1420" w:type="dxa"/>
            <w:vAlign w:val="bottom"/>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3"/>
              </w:rPr>
              <w:t>10.3(b)</w:t>
            </w:r>
          </w:p>
        </w:tc>
        <w:tc>
          <w:tcPr>
            <w:tcW w:w="220" w:type="dxa"/>
            <w:vAlign w:val="bottom"/>
          </w:tcPr>
          <w:p>
            <w:pPr>
              <w:spacing w:after="0"/>
              <w:rPr>
                <w:sz w:val="16"/>
                <w:szCs w:val="16"/>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Course Agreement</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3.16(f)</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10.1(b)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Banc of California, Inc. Warrant</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2.5(h)</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w w:val="97"/>
              </w:rPr>
              <w:t>Preamble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PCAOB</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3.7(e)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PCAOB Auditor</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3.7(e)</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Alternative Agreement</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10.1(j)</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PHSA</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3.14(a)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Pre-Closing Distribution</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2.6(i)</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Pre-Closing Period</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6.1(a)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7.1(a)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Galera Stockholder Approval</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Required Obsidian Stockholder Approval</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Response Date</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2.11(b)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 Agent</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2.6(h)</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Purchase Agreement</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Issuance</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10.3(b)</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Litigation</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7.4(c)</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Litigation Party</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7.4(c)</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7.7(a)</w:t>
            </w:r>
          </w:p>
        </w:tc>
      </w:tr>
      <w:tr>
        <w:trPr>
          <w:trHeight w:val="216"/>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Holder</w:t>
            </w:r>
          </w:p>
        </w:tc>
        <w:tc>
          <w:tcPr>
            <w:tcW w:w="21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2.5(h)</w:t>
            </w: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Agent</w:t>
            </w:r>
          </w:p>
        </w:tc>
        <w:tc>
          <w:tcPr>
            <w:tcW w:w="188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spacing w:after="0"/>
              <w:rPr>
                <w:sz w:val="20"/>
                <w:szCs w:val="20"/>
                <w:color w:val="auto"/>
              </w:rPr>
            </w:pPr>
          </w:p>
        </w:tc>
      </w:tr>
    </w:tbl>
    <w:p>
      <w:pPr>
        <w:spacing w:after="0" w:line="198"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Other Definitional and Interpretative Provisions</w:t>
      </w:r>
      <w:r>
        <w:rPr>
          <w:rFonts w:ascii="Times New Roman" w:cs="Times New Roman" w:eastAsia="Times New Roman" w:hAnsi="Times New Roman"/>
          <w:sz w:val="18"/>
          <w:szCs w:val="18"/>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w:t>
      </w:r>
    </w:p>
    <w:p>
      <w:pPr>
        <w:spacing w:after="0" w:line="1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00"/>
          </w:cols>
          <w:pgMar w:left="320" w:top="454" w:right="47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be resolved against the drafting Party shall not be applied in the construction or interpretation of this Agreement. The Parties agree that the Obsidian Disclosure Schedule or the Galera Disclosure Schedule shall be arranged in sections and subsections corresponding to the numbered and lettered sections and subsections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respectively. The disclosures in any section or subsection of the Obsidian Disclosure Schedule or the Galera Disclosure Schedule shall qualify other sections and subsections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respectively, to the extent it is readily apparent from a reading of the disclosure that 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The inclusion of any information in the Obsidian Disclosure Schedule or Galera Disclosure Schedule (or any update thereto) shall not be deemed to be an admission or acknowledgement, in and of itself, that such information is required by the terms hereof to be disclosed, is material, has resulted in or would result in an Obsidian Material Adverse Effect or Galera Material Adverse Effect, as the case may be, or is outside the Ordinary Course of Business.</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Obsidian Merger</w:t>
      </w:r>
      <w:r>
        <w:rPr>
          <w:rFonts w:ascii="Times New Roman" w:cs="Times New Roman" w:eastAsia="Times New Roman" w:hAnsi="Times New Roman"/>
          <w:sz w:val="18"/>
          <w:szCs w:val="18"/>
          <w:color w:val="auto"/>
        </w:rPr>
        <w:t>. Upon the terms and subject to the conditions set forth in this Agreement and subject to the applicable provisions of Delaware Law, at the Closing, Parent and Obsidian shall cause Obsidian Merger Sub to be merged with and into Obsidian, whereupon the separate existence of Obsidian Merger Sub shall cease and Obsidian shall continue as the surviving corporation of the Obsidian Merger and as a wholly owned Subsidiary of Parent (the “</w:t>
      </w:r>
      <w:r>
        <w:rPr>
          <w:rFonts w:ascii="Times New Roman" w:cs="Times New Roman" w:eastAsia="Times New Roman" w:hAnsi="Times New Roman"/>
          <w:sz w:val="18"/>
          <w:szCs w:val="18"/>
          <w:b w:val="1"/>
          <w:bCs w:val="1"/>
          <w:color w:val="auto"/>
        </w:rPr>
        <w:t>Obsidian Merger Surviving Corporation</w:t>
      </w:r>
      <w:r>
        <w:rPr>
          <w:rFonts w:ascii="Times New Roman" w:cs="Times New Roman" w:eastAsia="Times New Roman" w:hAnsi="Times New Roman"/>
          <w:sz w:val="18"/>
          <w:szCs w:val="18"/>
          <w:color w:val="auto"/>
        </w:rPr>
        <w:t>”). Parent and Obsidian shall cause the Obsidian Merger to be consummated and effective under Delaware Law by executing and filing with the Secretary of State of the State of Delaware a certificate of merger, satisfying the applicable requirements of Delaware Law in a form mutually agreed by Parent and Obsidian (the “</w:t>
      </w:r>
      <w:r>
        <w:rPr>
          <w:rFonts w:ascii="Times New Roman" w:cs="Times New Roman" w:eastAsia="Times New Roman" w:hAnsi="Times New Roman"/>
          <w:sz w:val="18"/>
          <w:szCs w:val="18"/>
          <w:b w:val="1"/>
          <w:bCs w:val="1"/>
          <w:color w:val="auto"/>
        </w:rPr>
        <w:t>Obsidian Certificate of Merger</w:t>
      </w:r>
      <w:r>
        <w:rPr>
          <w:rFonts w:ascii="Times New Roman" w:cs="Times New Roman" w:eastAsia="Times New Roman" w:hAnsi="Times New Roman"/>
          <w:sz w:val="18"/>
          <w:szCs w:val="18"/>
          <w:color w:val="auto"/>
        </w:rPr>
        <w:t>”). The Obsidian Merger shall become effective at the time of the filing of such Obsidian Certificate of Merger and the acceptance by the Secretary of State of the State of Delaware, or at such later time as may be specified in such Obsidian Certificate of Merger with the consent of Galera and Obsidian (the time as of which the Obsidian Merger becomes effective being referred to as the “</w:t>
      </w:r>
      <w:r>
        <w:rPr>
          <w:rFonts w:ascii="Times New Roman" w:cs="Times New Roman" w:eastAsia="Times New Roman" w:hAnsi="Times New Roman"/>
          <w:sz w:val="18"/>
          <w:szCs w:val="18"/>
          <w:b w:val="1"/>
          <w:bCs w:val="1"/>
          <w:color w:val="auto"/>
        </w:rPr>
        <w:t>Obsidian Effective Time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The Galera Merger</w:t>
      </w:r>
      <w:r>
        <w:rPr>
          <w:rFonts w:ascii="Times New Roman" w:cs="Times New Roman" w:eastAsia="Times New Roman" w:hAnsi="Times New Roman"/>
          <w:sz w:val="18"/>
          <w:szCs w:val="18"/>
          <w:color w:val="auto"/>
        </w:rPr>
        <w:t>. Immediately following the Obsidian Effective Time, upon the terms and subject to the conditions set forth in this Agreement and subject to the applicable provisions of Delaware Law, Parent and Galera shall cause Galera Merger Sub to be merged with and into Galera, whereupon the separate existence of Galera Merger Sub shall cease and Galera shall continue as the surviving corporation of the Galera Merger and as a wholly owned Subsidiary of Parent (the “</w:t>
      </w:r>
      <w:r>
        <w:rPr>
          <w:rFonts w:ascii="Times New Roman" w:cs="Times New Roman" w:eastAsia="Times New Roman" w:hAnsi="Times New Roman"/>
          <w:sz w:val="18"/>
          <w:szCs w:val="18"/>
          <w:b w:val="1"/>
          <w:bCs w:val="1"/>
          <w:color w:val="auto"/>
        </w:rPr>
        <w:t>Galera Merger Surviving Corporation</w:t>
      </w:r>
      <w:r>
        <w:rPr>
          <w:rFonts w:ascii="Times New Roman" w:cs="Times New Roman" w:eastAsia="Times New Roman" w:hAnsi="Times New Roman"/>
          <w:sz w:val="18"/>
          <w:szCs w:val="18"/>
          <w:color w:val="auto"/>
        </w:rPr>
        <w:t>”). Parent and Galera shall cause the Galera Merger to be consummated and effective under Delaware Law by executing and filing with the Secretary of State of the State of Delaware a certificate of merger, satisfying the applicable requirements of Delaware Law in a form mutually agreed by Galera and Obsidian (the “</w:t>
      </w:r>
      <w:r>
        <w:rPr>
          <w:rFonts w:ascii="Times New Roman" w:cs="Times New Roman" w:eastAsia="Times New Roman" w:hAnsi="Times New Roman"/>
          <w:sz w:val="18"/>
          <w:szCs w:val="18"/>
          <w:b w:val="1"/>
          <w:bCs w:val="1"/>
          <w:color w:val="auto"/>
        </w:rPr>
        <w:t>Galera Certificate of Merger</w:t>
      </w:r>
      <w:r>
        <w:rPr>
          <w:rFonts w:ascii="Times New Roman" w:cs="Times New Roman" w:eastAsia="Times New Roman" w:hAnsi="Times New Roman"/>
          <w:sz w:val="18"/>
          <w:szCs w:val="18"/>
          <w:color w:val="auto"/>
        </w:rPr>
        <w:t>”). The Galera Merger shall become effective at the time of the filing of such Galera Certificate of Merger and the acceptance by the Secretary of State of the State of Delaware, or at such later time as may be specified in such Galera Certificate of Merger with the consent of Galera and Obsidian (the time as of which the Mergers becomes effective being referred to as the “</w:t>
      </w:r>
      <w:r>
        <w:rPr>
          <w:rFonts w:ascii="Times New Roman" w:cs="Times New Roman" w:eastAsia="Times New Roman" w:hAnsi="Times New Roman"/>
          <w:sz w:val="18"/>
          <w:szCs w:val="18"/>
          <w:b w:val="1"/>
          <w:bCs w:val="1"/>
          <w:color w:val="auto"/>
        </w:rPr>
        <w:t>Galera Effective Time</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Subject to the satisfaction or waiver of the conditions set forth in this Agreement, the consummation of the Mergers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shall take place remotely via the electronic exchange of documents and signatures, (a) no later than the second Business Day after all the conditions precedent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shall have been satisfied or waived (other than those conditions that, by their nature, are to be satisfied at the Closing (provided such conditions would be so satisfied)) or (b) at such other time, date and place as the Parties may mutually agree in writing. The date on which the Closing actually takes place is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120"/>
          </w:cols>
          <w:pgMar w:left="320" w:top="454" w:right="45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Organizational Documents;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0" w:hanging="244"/>
        <w:spacing w:after="0"/>
        <w:tabs>
          <w:tab w:leader="none" w:pos="8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Obsidian Effective Time:</w:t>
      </w:r>
    </w:p>
    <w:p>
      <w:pPr>
        <w:spacing w:after="0" w:line="117" w:lineRule="exact"/>
        <w:rPr>
          <w:rFonts w:ascii="Times New Roman" w:cs="Times New Roman" w:eastAsia="Times New Roman" w:hAnsi="Times New Roman"/>
          <w:sz w:val="18"/>
          <w:szCs w:val="18"/>
          <w:color w:val="auto"/>
        </w:rPr>
      </w:pPr>
    </w:p>
    <w:p>
      <w:pPr>
        <w:ind w:left="560" w:right="240" w:firstLine="419"/>
        <w:spacing w:after="0" w:line="266" w:lineRule="auto"/>
        <w:tabs>
          <w:tab w:leader="none" w:pos="119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Obsidian Merger Surviving Corporation shall be amended and restated at or prior to the Obsidian Effective Time as set forth in an exhibit to the Obsidian Certificate of Merger, and as so amended and restated shall be the certificate of incorporation of the Obsidian Merger Surviving Corporation until thereafter amended as provided by Delaware Law;</w:t>
      </w:r>
    </w:p>
    <w:p>
      <w:pPr>
        <w:spacing w:after="0" w:line="67" w:lineRule="exact"/>
        <w:rPr>
          <w:rFonts w:ascii="Times New Roman" w:cs="Times New Roman" w:eastAsia="Times New Roman" w:hAnsi="Times New Roman"/>
          <w:sz w:val="18"/>
          <w:szCs w:val="18"/>
          <w:color w:val="auto"/>
        </w:rPr>
      </w:pPr>
    </w:p>
    <w:p>
      <w:pPr>
        <w:ind w:left="560" w:right="80" w:firstLine="419"/>
        <w:spacing w:after="0" w:line="261" w:lineRule="auto"/>
        <w:tabs>
          <w:tab w:leader="none" w:pos="124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Obsidian Merger Surviving Corporation shall be amended and restated to be identical to the bylaws of Obsidian Merger Sub as in effect immediately prior to the Obsidian Effective Time (with the name of Obsidian Therapeutics Sub, Inc. as the Obsidian Merger Surviving Corporation’s name) until thereafter amended in accordance with Delaware Law and as provided in Obsidian Merger Surviving Corporation’s Organizational Documents; and</w:t>
      </w:r>
    </w:p>
    <w:p>
      <w:pPr>
        <w:spacing w:after="0" w:line="71" w:lineRule="exact"/>
        <w:rPr>
          <w:rFonts w:ascii="Times New Roman" w:cs="Times New Roman" w:eastAsia="Times New Roman" w:hAnsi="Times New Roman"/>
          <w:sz w:val="18"/>
          <w:szCs w:val="18"/>
          <w:color w:val="auto"/>
        </w:rPr>
      </w:pPr>
    </w:p>
    <w:p>
      <w:pPr>
        <w:ind w:left="560" w:right="100" w:firstLine="419"/>
        <w:spacing w:after="0" w:line="282" w:lineRule="auto"/>
        <w:tabs>
          <w:tab w:leader="none" w:pos="129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and officers of Obsidian Merger Surviving Corporation, each to hold office in accordance with the provisions of Delaware Law and Obsidian Merger Surviving Corporation’s Organizational shall be as set forth in </w:t>
      </w:r>
      <w:r>
        <w:rPr>
          <w:rFonts w:ascii="Times New Roman" w:cs="Times New Roman" w:eastAsia="Times New Roman" w:hAnsi="Times New Roman"/>
          <w:sz w:val="18"/>
          <w:szCs w:val="18"/>
          <w:u w:val="single" w:color="auto"/>
          <w:color w:val="auto"/>
        </w:rPr>
        <w:t>Section 7.10(c)</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Galera Effective Time:</w:t>
      </w:r>
    </w:p>
    <w:p>
      <w:pPr>
        <w:spacing w:after="0" w:line="117" w:lineRule="exact"/>
        <w:rPr>
          <w:rFonts w:ascii="Times New Roman" w:cs="Times New Roman" w:eastAsia="Times New Roman" w:hAnsi="Times New Roman"/>
          <w:sz w:val="18"/>
          <w:szCs w:val="18"/>
          <w:color w:val="auto"/>
        </w:rPr>
      </w:pPr>
    </w:p>
    <w:p>
      <w:pPr>
        <w:jc w:val="both"/>
        <w:ind w:left="560" w:right="100" w:firstLine="419"/>
        <w:spacing w:after="0" w:line="266" w:lineRule="auto"/>
        <w:tabs>
          <w:tab w:leader="none" w:pos="119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of the Galera Merger Surviving Corporation shall be amended and restated as set forth in an exhibit to the Galera Certificate of Merger, and as so amended and restated shall be the certificate of incorporation of the Galera Merger Surviving Corporation until thereafter amended as provided by Delaware Law;</w:t>
      </w:r>
    </w:p>
    <w:p>
      <w:pPr>
        <w:spacing w:after="0" w:line="67" w:lineRule="exact"/>
        <w:rPr>
          <w:rFonts w:ascii="Times New Roman" w:cs="Times New Roman" w:eastAsia="Times New Roman" w:hAnsi="Times New Roman"/>
          <w:sz w:val="18"/>
          <w:szCs w:val="18"/>
          <w:color w:val="auto"/>
        </w:rPr>
      </w:pPr>
    </w:p>
    <w:p>
      <w:pPr>
        <w:ind w:left="560" w:firstLine="419"/>
        <w:spacing w:after="0" w:line="261" w:lineRule="auto"/>
        <w:tabs>
          <w:tab w:leader="none" w:pos="124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of the Galera Merger Surviving Corporation shall be amended and restated to be identical to the bylaws of Galera Merger Sub as in effect immediately prior to the Galera Effective Time (with the name of Galera Therapeutics, Inc. as the Galera Merger Surviving Corporation’s name) until thereafter amended in accordance with Delaware Law and as provided in Galera Merger Surviving Corporation’s Organizational Documents;</w:t>
      </w:r>
    </w:p>
    <w:p>
      <w:pPr>
        <w:spacing w:after="0" w:line="71" w:lineRule="exact"/>
        <w:rPr>
          <w:rFonts w:ascii="Times New Roman" w:cs="Times New Roman" w:eastAsia="Times New Roman" w:hAnsi="Times New Roman"/>
          <w:sz w:val="18"/>
          <w:szCs w:val="18"/>
          <w:color w:val="auto"/>
        </w:rPr>
      </w:pPr>
    </w:p>
    <w:p>
      <w:pPr>
        <w:ind w:left="560" w:right="280" w:firstLine="419"/>
        <w:spacing w:after="0" w:line="282" w:lineRule="auto"/>
        <w:tabs>
          <w:tab w:leader="none" w:pos="129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directors and officers of Galera Merger Surviving Corporation, each to hold office in accordance with the provisions of Delaware Law and Galera Merger Surviving Corporation’s Organizational shall be as set forth in </w:t>
      </w:r>
      <w:r>
        <w:rPr>
          <w:rFonts w:ascii="Times New Roman" w:cs="Times New Roman" w:eastAsia="Times New Roman" w:hAnsi="Times New Roman"/>
          <w:sz w:val="18"/>
          <w:szCs w:val="18"/>
          <w:u w:val="single" w:color="auto"/>
          <w:color w:val="auto"/>
        </w:rPr>
        <w:t>Section 7.10(b)</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file one or more amendments to its certificate of incorporation to change the name of Parent to Obsidian Therapeutics, Inc.</w:t>
      </w:r>
    </w:p>
    <w:p>
      <w:pPr>
        <w:spacing w:after="0" w:line="225"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0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Galera Effective Time, Parent shall further take all actions reasonably necessary so that the certificate of incorporation of Parent shall remain in effect, until thereafter amended as provided by Delaware Law, provided, however, that at or prior to the Galera Effective Time, Parent shall file one or more amendments to its certificate of incorporation to make such other changes as are agreeable to Obsidian.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Conversion of Shares of Obsidian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36"/>
        <w:spacing w:after="0" w:line="266" w:lineRule="auto"/>
        <w:tabs>
          <w:tab w:leader="none" w:pos="80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prior to the Obsidian Effective Time, all issued and outstanding Obsidian Preferred Stock shall be converted into Obsidian Common Stock in accordance with, and pursuant to the terms and conditions of, the Organizational Documents of Obsidian (the “</w:t>
      </w:r>
      <w:r>
        <w:rPr>
          <w:rFonts w:ascii="Times New Roman" w:cs="Times New Roman" w:eastAsia="Times New Roman" w:hAnsi="Times New Roman"/>
          <w:sz w:val="18"/>
          <w:szCs w:val="18"/>
          <w:b w:val="1"/>
          <w:bCs w:val="1"/>
          <w:color w:val="auto"/>
        </w:rPr>
        <w:t>Obsidian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Conversion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40" w:firstLine="436"/>
        <w:spacing w:after="0" w:line="261" w:lineRule="auto"/>
        <w:tabs>
          <w:tab w:leader="none" w:pos="81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Obsidian Effective Time (after giving effect to Obsidian Preferred Stock Conversion), by virtue of the Obsidian Merger and without any further action on the part of Obsidian, Parent, Obsidian Merger Sub, or any stockholder of Obsidian, subject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the Obsidian Common Stock outstanding immediately prior to the Obsidian Effective Time shall be converted solely into the right to receive a number of shares of Parent Common Stock equal to the Obsidian Exchange Ratio.</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40"/>
          </w:cols>
          <w:pgMar w:left="320" w:top="454" w:right="439" w:bottom="1440" w:gutter="0" w:footer="0" w:header="0"/>
        </w:sectPr>
      </w:pPr>
    </w:p>
    <w:bookmarkStart w:id="489" w:name="page490"/>
    <w:bookmarkEnd w:id="4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36"/>
        <w:spacing w:after="0" w:line="256" w:lineRule="auto"/>
        <w:tabs>
          <w:tab w:leader="none" w:pos="80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Obsidian Common Stock underlying any restricted stock award agreement or other similar agreement with Obsidian outstanding immediately prior to the Obsidian Effective Time is unvested or is subject to a repurchase option or a risk of forfeiture, then the shares of Parent Common Stock issued in exchange for such Obsidian Common Stock will to the same extent be unvested and subject to the same repurchase option or risk of forfeiture and other applicable terms and conditions, and such shares of Parent Common Stock shall accordingly be marked with appropriate legends. From and after the Closing, Parent shall be entitled to exercise any such repurchase option or other right set forth in any such restricted stock award agreement or other agreement without any further action by Obsidian, Parent, Obsidian Merger Sub or any holder of Obsidian Capital Stock.</w:t>
      </w:r>
    </w:p>
    <w:p>
      <w:pPr>
        <w:spacing w:after="0" w:line="187" w:lineRule="exact"/>
        <w:rPr>
          <w:rFonts w:ascii="Times New Roman" w:cs="Times New Roman" w:eastAsia="Times New Roman" w:hAnsi="Times New Roman"/>
          <w:sz w:val="18"/>
          <w:szCs w:val="18"/>
          <w:color w:val="auto"/>
        </w:rPr>
      </w:pPr>
    </w:p>
    <w:p>
      <w:pPr>
        <w:jc w:val="both"/>
        <w:ind w:left="120" w:right="60" w:firstLine="436"/>
        <w:spacing w:after="0" w:line="261" w:lineRule="auto"/>
        <w:tabs>
          <w:tab w:leader="none" w:pos="81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Parent Common Stock shall be issued in connection with the Obsidian Merger, and no certificates or scrip for any such fractional shares shall be issued, with no cash being paid for any fractional share eliminated by such rounding. Any fractional shares of Parent Common Stock a holder of Obsidian Common Stock would otherwise be entitled to receive shall be aggregated together first prior to eliminating any remaining fractional share. Any remaining fractional share of Parent Common Stock will be rounded up to the nearest whole share.</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80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Obsidian Effective Time, by virtue of the Obsidian Merger and without any further action on the part of Obsidian, Parent, Obsidian Merger Sub, or any stockholder of Obsidian, each share of common stock, $0.001 par value per share, of Obsidian Merger Sub issued and outstanding immediately prior to the Obsidian Effective Time shall be converted into and exchanged for one validly issued, fully paid and nonassessable share of common stock, $0.0001 par value per share, of the Obsidian Merger Surviving Corporation. If applicable, each stock certificate of Obsidian Merger Sub evidencing ownership of any such shares shall, as of the Obsidian Effective Time, evidence ownership of such shares of common stock of the Obsidian Merger Surviving Corporation until presented for transfer or exchange.</w:t>
      </w:r>
    </w:p>
    <w:p>
      <w:pPr>
        <w:spacing w:after="0" w:line="187" w:lineRule="exact"/>
        <w:rPr>
          <w:rFonts w:ascii="Times New Roman" w:cs="Times New Roman" w:eastAsia="Times New Roman" w:hAnsi="Times New Roman"/>
          <w:sz w:val="18"/>
          <w:szCs w:val="18"/>
          <w:color w:val="auto"/>
        </w:rPr>
      </w:pPr>
    </w:p>
    <w:p>
      <w:pPr>
        <w:ind w:left="120" w:firstLine="436"/>
        <w:spacing w:after="0" w:line="273" w:lineRule="auto"/>
        <w:tabs>
          <w:tab w:leader="none" w:pos="785"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between the date of this Agreement and the Obsidian Effective Time, the outstanding Obsidian Common Stock or Parent Common Stock shall have been changed into, or exchanged for, a different number of shares or a different class, by reason of any stock dividend, subdivision, reclassification, recapitalization, split, combination or exchange of shares or other like change, Obsidian Merger Shares shall, to the extent necessary, be equitably adjusted to reflect such change to the extent necessary to provide the holders of Obsidian Common Stock and Parent Common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nothing herein will be construed to permit Obsidian or Parent to take any action with respect to Obsidian Common Stock or Parent Common Stock, respectively, that is prohibited or not expressly permitted by the terms of this Agreement.</w:t>
      </w:r>
    </w:p>
    <w:p>
      <w:pPr>
        <w:spacing w:after="0" w:line="171" w:lineRule="exact"/>
        <w:rPr>
          <w:rFonts w:ascii="Times New Roman" w:cs="Times New Roman" w:eastAsia="Times New Roman" w:hAnsi="Times New Roman"/>
          <w:sz w:val="17"/>
          <w:szCs w:val="17"/>
          <w:color w:val="auto"/>
        </w:rPr>
      </w:pPr>
    </w:p>
    <w:p>
      <w:pPr>
        <w:ind w:left="120" w:right="40" w:firstLine="436"/>
        <w:spacing w:after="0" w:line="269" w:lineRule="auto"/>
        <w:tabs>
          <w:tab w:leader="none" w:pos="815" w:val="left"/>
        </w:tabs>
        <w:numPr>
          <w:ilvl w:val="0"/>
          <w:numId w:val="2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the Obsidian Effective Time, each Obsidian Option outstanding and unexercised immediately prior to the Obsidian Effective Time shall automatically without any further action on the part of Obsidian, Parent, Obsidian Merger Sub, or any holder of an Obsidian Option, be assumed and converted into an option (an “</w:t>
      </w:r>
      <w:r>
        <w:rPr>
          <w:rFonts w:ascii="Times New Roman" w:cs="Times New Roman" w:eastAsia="Times New Roman" w:hAnsi="Times New Roman"/>
          <w:sz w:val="17"/>
          <w:szCs w:val="17"/>
          <w:b w:val="1"/>
          <w:bCs w:val="1"/>
          <w:color w:val="auto"/>
        </w:rPr>
        <w:t>Assumed Obsidian Option</w:t>
      </w:r>
      <w:r>
        <w:rPr>
          <w:rFonts w:ascii="Times New Roman" w:cs="Times New Roman" w:eastAsia="Times New Roman" w:hAnsi="Times New Roman"/>
          <w:sz w:val="17"/>
          <w:szCs w:val="17"/>
          <w:color w:val="auto"/>
        </w:rPr>
        <w:t>”) to acquire, on the same terms and conditions (including the same vesting and exercisability terms and conditions) as were applicable under the Obsidian Equity Plan and option agreement applicable to such Obsidian Option immediately prior to the Obsidian Effective Time, the number of shares of Parent Common Stock determined by multiplying the number of shares of Obsidian Common Stock subject to such Obsidian Option immediately prior to the Obsidian Effective Time by the Obsidian Exchange Ratio, rounding down to the nearest whole number of shares, at a per share exercise price determined by dividing the per share exercise price of such Obsidian Option immediately prior to the Obsidian Effective Time by the Obsidian Exchange Ratio, rounding up to the nearest whole cent; provided, that the conversion of the Obsidian Options will be made in a manner consistent with Treasury Regulations Section 1.424-1, such that the conversion will not constitute a “modification” of such Obsidian Options for purposes of Section 409A or Section 424 of the Code. As of the Obsidian Effective Time, Parent will assume the Obsidian Equity Plan; provided, further, that (i) the terms of the Assumed Obsidian Options shall be further amended as may be necessary to reflect such</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20"/>
          </w:cols>
          <w:pgMar w:left="320" w:top="454" w:right="45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assumption and conversion of the Obsidian Options into Assumed Obsidian Options (such as by making any change in control or similar definition relate to Parent instead of Obsidian and having any provision that provides for the adjustment of Obsidian Options upon the occurrence of certain corporate events of Obsidian relate to similar corporate events of Parent instead); and (ii) the Parent Board or a committee thereof shall succeed to the authority and responsibility of the Obsidian Board or any committee thereof with respect to each Assumed Obsidian Option.</w:t>
      </w:r>
    </w:p>
    <w:p>
      <w:pPr>
        <w:spacing w:after="0" w:line="180" w:lineRule="exact"/>
        <w:rPr>
          <w:sz w:val="20"/>
          <w:szCs w:val="20"/>
          <w:color w:val="auto"/>
        </w:rPr>
      </w:pPr>
    </w:p>
    <w:p>
      <w:pPr>
        <w:ind w:left="120" w:right="40" w:firstLine="436"/>
        <w:spacing w:after="0" w:line="255" w:lineRule="auto"/>
        <w:tabs>
          <w:tab w:leader="none" w:pos="81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Obsidian Effective Time, the Obsidian Board (or, if appropriate, any committee thereof) shall adopt resolutions that provide that, immediately prior to the Obsidian Effective Time, pursuant to Section 3.2 of the Warrant to Purchase Stock (as assigned, the “</w:t>
      </w:r>
      <w:r>
        <w:rPr>
          <w:rFonts w:ascii="Times New Roman" w:cs="Times New Roman" w:eastAsia="Times New Roman" w:hAnsi="Times New Roman"/>
          <w:sz w:val="18"/>
          <w:szCs w:val="18"/>
          <w:b w:val="1"/>
          <w:bCs w:val="1"/>
          <w:color w:val="auto"/>
        </w:rPr>
        <w:t>Banc of California,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dated as of May 25, 2018, between the Company and Banc of California, Inc. (the “</w:t>
      </w:r>
      <w:r>
        <w:rPr>
          <w:rFonts w:ascii="Times New Roman" w:cs="Times New Roman" w:eastAsia="Times New Roman" w:hAnsi="Times New Roman"/>
          <w:sz w:val="18"/>
          <w:szCs w:val="18"/>
          <w:b w:val="1"/>
          <w:bCs w:val="1"/>
          <w:color w:val="auto"/>
        </w:rPr>
        <w:t>Warrant Holder</w:t>
      </w:r>
      <w:r>
        <w:rPr>
          <w:rFonts w:ascii="Times New Roman" w:cs="Times New Roman" w:eastAsia="Times New Roman" w:hAnsi="Times New Roman"/>
          <w:sz w:val="18"/>
          <w:szCs w:val="18"/>
          <w:color w:val="auto"/>
        </w:rPr>
        <w:t>”) (which provision requires Obsidian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provide the Warrant Holder with written notice of the Obsidian Merger not less than ten (10) days prior to the Closing), the unexercised portion of the Banc of California, Inc. Warrant shall be deemed to be automatically exercised pursuant to Section 1.6 of the Banc of California, Inc. Warrant immediately prior to the Effective Time without any action on the part of the Warrant Holder. From and after the Obsidian Effective Time, the Banc of California, Inc. Warrant shall terminate in full.</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Conversion of Shares of Galera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436"/>
        <w:spacing w:after="0" w:line="282" w:lineRule="auto"/>
        <w:tabs>
          <w:tab w:leader="none" w:pos="80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Galera Effective Time, the Galera Pre-Funded Warrants shall be exchanged for shares of Galera Common Stock in accordance with, and pursuant to the terms and conditions of, the Galera Pre-Funded Warrants (the “</w:t>
      </w:r>
      <w:r>
        <w:rPr>
          <w:rFonts w:ascii="Times New Roman" w:cs="Times New Roman" w:eastAsia="Times New Roman" w:hAnsi="Times New Roman"/>
          <w:sz w:val="18"/>
          <w:szCs w:val="18"/>
          <w:b w:val="1"/>
          <w:bCs w:val="1"/>
          <w:color w:val="auto"/>
        </w:rPr>
        <w:t>Galera Pre-Funded Warrant Exercise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81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Obsidian Effective Time but immediately prior to the Galera Effective Time, all Galera Preferred Stock, including the shares of Galera Series C Preferred Stock issued in the Concurrent PIPE Financing, shall be converted into Galera Common Stock in accordance with, and pursuant to the terms and conditions of, the Organizational Documents of Galera (the “</w:t>
      </w:r>
      <w:r>
        <w:rPr>
          <w:rFonts w:ascii="Times New Roman" w:cs="Times New Roman" w:eastAsia="Times New Roman" w:hAnsi="Times New Roman"/>
          <w:sz w:val="18"/>
          <w:szCs w:val="18"/>
          <w:b w:val="1"/>
          <w:bCs w:val="1"/>
          <w:color w:val="auto"/>
        </w:rPr>
        <w:t>Galera Preferred Stock Conversion</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20" w:right="80" w:firstLine="436"/>
        <w:spacing w:after="0" w:line="266" w:lineRule="auto"/>
        <w:tabs>
          <w:tab w:leader="none" w:pos="80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Galera Effective Time, by virtue of the Galera Merger and without any further action on the part of Galera, Parent, Galera Merger Sub, or any stockholder of Galera, subject to </w:t>
      </w:r>
      <w:r>
        <w:rPr>
          <w:rFonts w:ascii="Times New Roman" w:cs="Times New Roman" w:eastAsia="Times New Roman" w:hAnsi="Times New Roman"/>
          <w:sz w:val="18"/>
          <w:szCs w:val="18"/>
          <w:u w:val="single" w:color="auto"/>
          <w:color w:val="auto"/>
        </w:rPr>
        <w:t>Section 2.6(f)</w:t>
      </w:r>
      <w:r>
        <w:rPr>
          <w:rFonts w:ascii="Times New Roman" w:cs="Times New Roman" w:eastAsia="Times New Roman" w:hAnsi="Times New Roman"/>
          <w:sz w:val="18"/>
          <w:szCs w:val="18"/>
          <w:color w:val="auto"/>
        </w:rPr>
        <w:t>, each share of Galera Common Stock outstanding immediately prior to the Galera Effective Time shall be converted into the right to receive a number of shares of Parent Common Stock equal to the Galera Exchange Ratio.</w:t>
      </w:r>
    </w:p>
    <w:p>
      <w:pPr>
        <w:spacing w:after="0" w:line="175" w:lineRule="exact"/>
        <w:rPr>
          <w:rFonts w:ascii="Times New Roman" w:cs="Times New Roman" w:eastAsia="Times New Roman" w:hAnsi="Times New Roman"/>
          <w:sz w:val="18"/>
          <w:szCs w:val="18"/>
          <w:color w:val="auto"/>
        </w:rPr>
      </w:pPr>
    </w:p>
    <w:p>
      <w:pPr>
        <w:ind w:left="120" w:right="120" w:firstLine="436"/>
        <w:spacing w:after="0" w:line="256" w:lineRule="auto"/>
        <w:tabs>
          <w:tab w:leader="none" w:pos="81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Galera Effective Time, (i) each Galera Exchangeable Warrant that is outstanding and unexercised immediately prior to the Galera Effective Time, whether or not vested, shall remain outstanding in accordance with its terms (as in effect as of the date of this Agreement) and, without any further action from Galera or Parent, become a warrant to purchase shares of Parent Common Stock and (ii) to the extent unexercised as of immediately prior to the Galera Effective Time, the Galera Terminable Warrants that are outstanding and unexercised, whether or not vested, shall automatically be terminated in accordance with the terms (as in effect as of the date of this Agreement) of the warrant agreement by which such Galera Terminable Warrant is evidenced.</w:t>
      </w:r>
    </w:p>
    <w:p>
      <w:pPr>
        <w:spacing w:after="0" w:line="187" w:lineRule="exact"/>
        <w:rPr>
          <w:rFonts w:ascii="Times New Roman" w:cs="Times New Roman" w:eastAsia="Times New Roman" w:hAnsi="Times New Roman"/>
          <w:sz w:val="18"/>
          <w:szCs w:val="18"/>
          <w:color w:val="auto"/>
        </w:rPr>
      </w:pPr>
    </w:p>
    <w:p>
      <w:pPr>
        <w:ind w:left="120" w:firstLine="436"/>
        <w:spacing w:after="0" w:line="256" w:lineRule="auto"/>
        <w:tabs>
          <w:tab w:leader="none" w:pos="80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Galera Common Stock outstanding immediately prior to the Galera Effective Time, respectively, is unvested or is subject to a repurchase option or a risk of forfeiture under any applicable restricted stock award agreement or other similar agreement with Galera, then the shares of Parent Common Stock issued in exchange for such Galera Common Stock will to the same extent be unvested and subject to the same repurchase option or risk of forfeiture and other applicable terms and conditions, and such shares of Parent Common Stock shall accordingly be marked with appropriate legends. Galera shall take all actions that may be necessary to ensure that, from and after the Galera Effective Time, Parent is entitled to exercise any such repurchase option or other right set forth in any such restricted stock award agreement or other agreement.</w:t>
      </w:r>
    </w:p>
    <w:p>
      <w:pPr>
        <w:spacing w:after="0" w:line="187"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78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Parent Common Stock shall be issued in connection with the Galera Merger, and no certificates or scrip for any such fractional shares shall be issued, with no cash being paid for any fractional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4" w:right="459" w:bottom="1440" w:gutter="0" w:footer="0" w:header="0"/>
        </w:sectPr>
      </w:pPr>
    </w:p>
    <w:bookmarkStart w:id="491" w:name="page492"/>
    <w:bookmarkEnd w:id="4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share eliminated by such rounding. Any fractional shares of Parent Common Stock a holder of Galera Common Stock would otherwise be entitled to receive shall be aggregated together first prior to eliminating any remaining fractional share. Any remaining fractional share of Parent Common Stock will be rounded up to the nearest whole share.</w:t>
      </w:r>
    </w:p>
    <w:p>
      <w:pPr>
        <w:spacing w:after="0" w:line="176" w:lineRule="exact"/>
        <w:rPr>
          <w:sz w:val="20"/>
          <w:szCs w:val="20"/>
          <w:color w:val="auto"/>
        </w:rPr>
      </w:pPr>
    </w:p>
    <w:p>
      <w:pPr>
        <w:ind w:left="120" w:right="20" w:firstLine="436"/>
        <w:spacing w:after="0" w:line="256" w:lineRule="auto"/>
        <w:tabs>
          <w:tab w:leader="none" w:pos="81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Galera Effective Time, by virtue of the Galera Merger and without any further action on the part of Galera, Parent, Galera Merger Sub, or any stockholder of Galera, each share of common stock, $0.001 par value per share, of Galera Merger Sub issued and outstanding immediately prior to the Galera Effective Time shall be converted into and exchanged for one validly issued, fully paid and nonassessable share of common stock, $0.0001 par value per share, of the Galera Merger Surviving Corporation. If applicable, each stock certificate of Galera Merger Sub evidencing ownership of any such shares shall, as of the Galera Effective Time, evidence ownership of such shares of common stock of the Galera Merger Surviving Corporation until presented for transfer or exchange.</w:t>
      </w:r>
    </w:p>
    <w:p>
      <w:pPr>
        <w:spacing w:after="0" w:line="187"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between the date of this Agreement and the Galera Effective Time, the outstanding Galera Common Stock or Parent Common Stock shall have been changed into, or exchanged for, a different number of shares or a different class, by reason of any stock dividend, subdivision, reclassification, recapitalization, split, combination or exchange of shares or other like change, Galera Merger Shares shall, to the extent necessary, be equitably adjusted to reflect such change to the extent necessary to provide the holders of Galera Common Stock and Parent Common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will be construed to permit Galera or Parent to take any action with respect to Galera Common Stock or Parent Common Stock, respectively, that is prohibited or not expressly permitted by the terms of this Agreement.</w:t>
      </w:r>
    </w:p>
    <w:p>
      <w:pPr>
        <w:spacing w:after="0" w:line="188" w:lineRule="exact"/>
        <w:rPr>
          <w:rFonts w:ascii="Times New Roman" w:cs="Times New Roman" w:eastAsia="Times New Roman" w:hAnsi="Times New Roman"/>
          <w:sz w:val="18"/>
          <w:szCs w:val="18"/>
          <w:color w:val="auto"/>
        </w:rPr>
      </w:pPr>
    </w:p>
    <w:p>
      <w:pPr>
        <w:ind w:left="120" w:right="60" w:firstLine="436"/>
        <w:spacing w:after="0" w:line="253" w:lineRule="auto"/>
        <w:tabs>
          <w:tab w:leader="none" w:pos="775"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Galera ITM Option immediately prior to the Galera Effective Time shall automatically without any further action on the part of Galera, Parent, Galera Merger Sub, or any holder of a Galera Option, become fully vested and be converted, at the Galera Effective Time, into a net exercised share of Parent Common Stock determined by (i) multiplying the number of shares of Galera Common Stock subject to such Galera Option immediately prior to the Galera Effective Time by the Galera Exchange Ratio, rounding down to the nearest whole number of shares, and (ii) reducing such number of shares of Parent Common Stock by the number of shares of Parent Common Stock with an aggregate value equal to the sum of (a) the total exercise price for such Galera Option (determined by dividing the per share exercise price of such Galera Option immediately prior to the Galera Effective Time by the Galera Exchange Ratio, rounding up to the nearest whole cent) plus (b) any required withholding taxes required to be paid by Galera with respect to such net exercise, and (c) dividing such sum of (a) and (b) by the per share price of Parent Common Stock as of the Effective Time (such net number of shares of Parent Common Stock the “</w:t>
      </w:r>
      <w:r>
        <w:rPr>
          <w:rFonts w:ascii="Times New Roman" w:cs="Times New Roman" w:eastAsia="Times New Roman" w:hAnsi="Times New Roman"/>
          <w:sz w:val="18"/>
          <w:szCs w:val="18"/>
          <w:b w:val="1"/>
          <w:bCs w:val="1"/>
          <w:color w:val="auto"/>
        </w:rPr>
        <w:t>Net Galera Option Shares</w:t>
      </w:r>
      <w:r>
        <w:rPr>
          <w:rFonts w:ascii="Times New Roman" w:cs="Times New Roman" w:eastAsia="Times New Roman" w:hAnsi="Times New Roman"/>
          <w:sz w:val="18"/>
          <w:szCs w:val="18"/>
          <w:color w:val="auto"/>
        </w:rPr>
        <w:t>”); provided, that the net exercise of the Galera Options will be made in a manner consistent with applicable Law. For the avoidance of doubt, such Net Galera Option Shares will be eligible to receive one CVR for each outstanding share pursuant to Section 2.7 below. Each outstanding Galera Option that is not an ITM Option immediately prior to the Galera Effective Time will be cancelled for no consideration.</w:t>
      </w:r>
    </w:p>
    <w:p>
      <w:pPr>
        <w:spacing w:after="0" w:line="19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Contingent Value Right</w:t>
      </w:r>
      <w:r>
        <w:rPr>
          <w:rFonts w:ascii="Times New Roman" w:cs="Times New Roman" w:eastAsia="Times New Roman" w:hAnsi="Times New Roman"/>
          <w:sz w:val="18"/>
          <w:szCs w:val="18"/>
          <w:color w:val="auto"/>
        </w:rPr>
        <w:t>. Prior to the Galera Effective Time but after the conversion of all Galera Series B Preferred Stock into Galera Common Stock, Galera shall declare a distribution (the “</w:t>
      </w:r>
      <w:r>
        <w:rPr>
          <w:rFonts w:ascii="Times New Roman" w:cs="Times New Roman" w:eastAsia="Times New Roman" w:hAnsi="Times New Roman"/>
          <w:sz w:val="18"/>
          <w:szCs w:val="18"/>
          <w:b w:val="1"/>
          <w:bCs w:val="1"/>
          <w:color w:val="auto"/>
        </w:rPr>
        <w:t>Pre-Closing Distribution</w:t>
      </w:r>
      <w:r>
        <w:rPr>
          <w:rFonts w:ascii="Times New Roman" w:cs="Times New Roman" w:eastAsia="Times New Roman" w:hAnsi="Times New Roman"/>
          <w:sz w:val="18"/>
          <w:szCs w:val="18"/>
          <w:color w:val="auto"/>
        </w:rPr>
        <w:t>”) to holders of Galera Common Stock of record the right to receive one contingent value right (each, a “</w:t>
      </w:r>
      <w:r>
        <w:rPr>
          <w:rFonts w:ascii="Times New Roman" w:cs="Times New Roman" w:eastAsia="Times New Roman" w:hAnsi="Times New Roman"/>
          <w:sz w:val="18"/>
          <w:szCs w:val="18"/>
          <w:b w:val="1"/>
          <w:bCs w:val="1"/>
          <w:color w:val="auto"/>
        </w:rPr>
        <w:t>CVR</w:t>
      </w:r>
      <w:r>
        <w:rPr>
          <w:rFonts w:ascii="Times New Roman" w:cs="Times New Roman" w:eastAsia="Times New Roman" w:hAnsi="Times New Roman"/>
          <w:sz w:val="18"/>
          <w:szCs w:val="18"/>
          <w:color w:val="auto"/>
        </w:rPr>
        <w:t xml:space="preserve">”) for each outstanding share of Galera Common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to be entered into between Parent, Obsidian and Equiniti Trust Company, LLC (or such other nationally recognized rights agent agreed to between Galera and Obsidian)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with such revisions thereto requested by the Rights Agent that are not, individually or in the aggregate, materially detrimental to the holders of CVRs and reasonably acceptable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4" w:right="459" w:bottom="1440" w:gutter="0" w:footer="0" w:header="0"/>
        </w:sectPr>
      </w:pPr>
    </w:p>
    <w:bookmarkStart w:id="492" w:name="page493"/>
    <w:bookmarkEnd w:id="4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color w:val="auto"/>
        </w:rPr>
        <w:t>Galera and Obsidian (the “</w:t>
      </w:r>
      <w:r>
        <w:rPr>
          <w:rFonts w:ascii="Times New Roman" w:cs="Times New Roman" w:eastAsia="Times New Roman" w:hAnsi="Times New Roman"/>
          <w:sz w:val="18"/>
          <w:szCs w:val="18"/>
          <w:b w:val="1"/>
          <w:bCs w:val="1"/>
          <w:color w:val="auto"/>
        </w:rPr>
        <w:t>CVR Agreement</w:t>
      </w:r>
      <w:r>
        <w:rPr>
          <w:rFonts w:ascii="Times New Roman" w:cs="Times New Roman" w:eastAsia="Times New Roman" w:hAnsi="Times New Roman"/>
          <w:sz w:val="18"/>
          <w:szCs w:val="18"/>
          <w:color w:val="auto"/>
        </w:rPr>
        <w:t>”). The record date for the Pre-Closing Distribution shall be the close of business on the last Business Day prior to the day on which the Galera Effective Time occurs and the payment date for the Pre-Closing Distribution shall be three (3) Business Days after the Galera Effective Time; provided that the payment of such distribution may be conditioned upon the occurrence of the Galera Effective Time. In connection with the Pre-Closing Distribution, Galera shall cause the CVR Agreement to be duly authorized, executed and delivered by Galera and the Exchange Agent.</w:t>
      </w:r>
    </w:p>
    <w:p>
      <w:pPr>
        <w:spacing w:after="0" w:line="183" w:lineRule="exact"/>
        <w:rPr>
          <w:sz w:val="20"/>
          <w:szCs w:val="20"/>
          <w:color w:val="auto"/>
        </w:rPr>
      </w:pPr>
    </w:p>
    <w:p>
      <w:pPr>
        <w:ind w:left="120" w:right="80" w:firstLine="436"/>
        <w:spacing w:after="0" w:line="258" w:lineRule="auto"/>
        <w:tabs>
          <w:tab w:leader="none" w:pos="80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are solely contractual rights and shall not constitute equity or ownership interests in Parent, Galera, Obsidian or any of their respective Affiliates, and Parent, Galera and Obsidian shall cooperate, including by making changes to the CVR Agreement, as necessary to ensure that the CVRs are not subject to registration under the Securities Act, the Exchange Act or applicable state securities or “blue sky” Laws. Notwithstanding anything to the contrary herein or in the CVR Agreement, none of Parent, Galera, Obsidian or any of their respective Affiliates shall owe any fiduciary or other duties to any holder of CVRs, except to the extent expressly set forth in the CVR Agreement.</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Galera agrees to pay all costs and fees of the Rights Agent contemplated by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CVR Fees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Closing of Transfer Books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36"/>
        <w:spacing w:after="0" w:line="256" w:lineRule="auto"/>
        <w:tabs>
          <w:tab w:leader="none" w:pos="80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Obsidian Effective Time, (i) all Obsidian Common Stock outstanding immediately prior to the Obsidian Effective Time shall be treated in accordance with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and all holders of certificates representing Obsidian Common Stock that were outstanding immediately prior to the Obsidian Effective Time shall cease to have any rights as stockholders of Obsidian (other than the right to receive Obsidian Merger Shares) and (ii) the stock transfer books of Obsidian shall be closed with respect to all Obsidian Common Stock (including any Obsidian Common Stock underlying the Banc of California, Inc. Warrant and Obsidian Options) outstanding immediately prior to the Obsidian Effective Time. No further transfer of any such Obsidian Common Stock shall be made on such stock transfer books after the Obsidian Effective Time.</w:t>
      </w:r>
    </w:p>
    <w:p>
      <w:pPr>
        <w:spacing w:after="0" w:line="187" w:lineRule="exact"/>
        <w:rPr>
          <w:rFonts w:ascii="Times New Roman" w:cs="Times New Roman" w:eastAsia="Times New Roman" w:hAnsi="Times New Roman"/>
          <w:sz w:val="18"/>
          <w:szCs w:val="18"/>
          <w:color w:val="auto"/>
        </w:rPr>
      </w:pPr>
    </w:p>
    <w:p>
      <w:pPr>
        <w:ind w:left="120" w:firstLine="436"/>
        <w:spacing w:after="0" w:line="256" w:lineRule="auto"/>
        <w:tabs>
          <w:tab w:leader="none" w:pos="81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Galera Effective Time: (i) all Galera Common Stock outstanding immediately prior to the Galera Effective Time shall be treated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and all holders of certificates representing Galera Common Stock that were outstanding immediately prior to the Galera Effective Time shall cease to have any rights as stockholders of Galera (other than the right to receive Galera Merger Shares) and (ii) the stock transfer books of Galera shall be closed with respect to all Galera Common Stock (including any Galera Common Stock underlying Galera Warrants and Galera Options) outstanding immediately prior to the Galera Effective Time. No further transfer of any such Galera Common Stock shall be made on such stock transfer books after the Galera Effective Time.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Surrender of Obsidian Common Stock</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jc w:val="both"/>
        <w:ind w:left="120" w:right="220" w:firstLine="436"/>
        <w:spacing w:after="0" w:line="266" w:lineRule="auto"/>
        <w:tabs>
          <w:tab w:leader="none" w:pos="80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Galera and Obsidian shall jointly select a reputable bank, transfer agent or trust company to act as exchange agent in the Mergers (the “</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xml:space="preserve">”). At the Obsidian Effective Time, Parent shall deposit with the Exchange Agent evidence of book-entry shares representing the shares of Parent Common Stock issuable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in exchange for Obsidian Common Stock.</w:t>
      </w:r>
    </w:p>
    <w:p>
      <w:pPr>
        <w:spacing w:after="0" w:line="175" w:lineRule="exact"/>
        <w:rPr>
          <w:rFonts w:ascii="Times New Roman" w:cs="Times New Roman" w:eastAsia="Times New Roman" w:hAnsi="Times New Roman"/>
          <w:sz w:val="18"/>
          <w:szCs w:val="18"/>
          <w:color w:val="auto"/>
        </w:rPr>
      </w:pPr>
    </w:p>
    <w:p>
      <w:pPr>
        <w:ind w:left="120" w:right="20" w:firstLine="436"/>
        <w:spacing w:after="0" w:line="256" w:lineRule="auto"/>
        <w:tabs>
          <w:tab w:leader="none" w:pos="81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Obsidian Effective Time, the Parties shall cause the Exchange Agent to mail to the Persons who were record holders of Obsidian Common Stock that were converted into the right to receive Obsidian Merger Shares: (i) a letter of transmittal in customary form and containing such provisions as Parent may reasonably specify and (ii) instructions for effecting the surrender of Obsidian Common Stock in exchange for book-entry shares of Parent Common Stock. Upon execution and delivery of a duly executed letter of transmittal and such other documents as may be reasonably required by the Exchange Agent or Parent, the holder of such Obsidian Common Stock shall be entitled to receive in exchange therefor book-entry shares representing</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120"/>
          </w:cols>
          <w:pgMar w:left="320" w:top="454" w:right="459" w:bottom="1440" w:gutter="0" w:footer="0" w:header="0"/>
        </w:sectPr>
      </w:pPr>
    </w:p>
    <w:bookmarkStart w:id="493" w:name="page494"/>
    <w:bookmarkEnd w:id="4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 xml:space="preserve">Obsidian Merger Shares (in a number of whole shares of Parent Common Stock) that such holder has the right to receive pursuant to the provisions of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60" w:firstLine="436"/>
        <w:spacing w:after="0" w:line="258" w:lineRule="auto"/>
        <w:tabs>
          <w:tab w:leader="none" w:pos="80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or other distributions declared or made with respect to Parent Common Stock with a record date after the Obsidian Effective Time shall be paid to the holder of any Obsidian Common Stock with respect to the shares of Parent Common Stock that such holder has the right to receive in the Mergers until such holder delivers a duly executed letter of transmittal (at which time (or, if later, on the applicable payment date) such holder shall be entitled, subject to the effect of applicable abandoned property, escheat or similar Laws, to receive all such dividends and distributions, without interest).</w:t>
      </w:r>
    </w:p>
    <w:p>
      <w:pPr>
        <w:spacing w:after="0" w:line="183" w:lineRule="exact"/>
        <w:rPr>
          <w:rFonts w:ascii="Times New Roman" w:cs="Times New Roman" w:eastAsia="Times New Roman" w:hAnsi="Times New Roman"/>
          <w:sz w:val="18"/>
          <w:szCs w:val="18"/>
          <w:color w:val="auto"/>
        </w:rPr>
      </w:pPr>
    </w:p>
    <w:p>
      <w:pPr>
        <w:jc w:val="both"/>
        <w:ind w:left="120" w:right="100" w:firstLine="436"/>
        <w:spacing w:after="0" w:line="261" w:lineRule="auto"/>
        <w:tabs>
          <w:tab w:leader="none" w:pos="81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of Parent Common Stock deposited with the Exchange Agent that remain undistributed to holders of Obsidian Common Stock as of the date that is 180 days after the Closing Date shall be delivered to Parent upon demand, and any holders of Obsidian Common Stock who have not theretofore delivered a duly executed letter of transmittal in accordance with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shall thereafter look only to Parent for satisfaction of their claims for Parent Common Stock and any dividends or distributions with respect to shares of Parent Common Stock.</w:t>
      </w:r>
    </w:p>
    <w:p>
      <w:pPr>
        <w:spacing w:after="0" w:line="179" w:lineRule="exact"/>
        <w:rPr>
          <w:rFonts w:ascii="Times New Roman" w:cs="Times New Roman" w:eastAsia="Times New Roman" w:hAnsi="Times New Roman"/>
          <w:sz w:val="18"/>
          <w:szCs w:val="18"/>
          <w:color w:val="auto"/>
        </w:rPr>
      </w:pPr>
    </w:p>
    <w:p>
      <w:pPr>
        <w:ind w:left="120" w:right="220" w:firstLine="436"/>
        <w:spacing w:after="0" w:line="266" w:lineRule="auto"/>
        <w:tabs>
          <w:tab w:leader="none" w:pos="80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liable to any former holder of any Obsidian Common Stock or to any other Person with respect to any shares of Parent Common Stock (or dividends or distributions with respect thereto) or for any cash amounts delivered to any public official pursuant to any applicable abandoned property Law, escheat Law or similar Law.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Surrender of Galera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40" w:firstLine="436"/>
        <w:spacing w:after="0" w:line="282" w:lineRule="auto"/>
        <w:tabs>
          <w:tab w:leader="none" w:pos="80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Galera Effective Time, Parent shall deposit with the Exchange Agent evidence of book-entry shares representing the shares of Parent Common Stock issuable pursuant to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exchange for Galera Common Stock.</w:t>
      </w:r>
    </w:p>
    <w:p>
      <w:pPr>
        <w:spacing w:after="0" w:line="161"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Galera Effective Time, the Parties shall cause the Exchange Agent to mail to the Persons who were record holders of Galera Common Stock that were converted into the right to receive Galera Merger Shares: (i) a letter of transmittal in customary form and containing such provisions as Parent may reasonably specify and (ii) instructions for effecting the surrender of Galera Common Stock in exchange for book-entry shares of Parent Common Stock. Upon execution and delivery of a duly executed letter of transmittal and such other documents as may be reasonably required by the Exchange Agent or Parent, the holder of such Galera Common Stock shall be entitled to receive in exchange therefor book-entry shares representing Galera Merger Shares (in a number of whole shares of Parent Common Stock) that such holder has the right to receive pursuant to the provisions of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100" w:firstLine="436"/>
        <w:spacing w:after="0" w:line="258" w:lineRule="auto"/>
        <w:tabs>
          <w:tab w:leader="none" w:pos="80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or other distributions declared or made with respect to Parent Common Stock with a record date after the Galera Effective Time shall be paid to the holder of any Galera Common Stock with respect to the shares of Parent Common Stock that such holder has the right to receive in the Mergers until such holder delivers a duly executed letter of transmittal (at which time (or, if later, on the applicable payment date) such holder shall be entitled, subject to the effect of applicable abandoned property, escheat or similar Laws, to receive all such dividends and distributions, without interest).</w:t>
      </w:r>
    </w:p>
    <w:p>
      <w:pPr>
        <w:spacing w:after="0" w:line="183" w:lineRule="exact"/>
        <w:rPr>
          <w:rFonts w:ascii="Times New Roman" w:cs="Times New Roman" w:eastAsia="Times New Roman" w:hAnsi="Times New Roman"/>
          <w:sz w:val="18"/>
          <w:szCs w:val="18"/>
          <w:color w:val="auto"/>
        </w:rPr>
      </w:pPr>
    </w:p>
    <w:p>
      <w:pPr>
        <w:ind w:left="120" w:firstLine="436"/>
        <w:spacing w:after="0" w:line="261" w:lineRule="auto"/>
        <w:tabs>
          <w:tab w:leader="none" w:pos="81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of Parent Common Stock deposited with the Exchange Agent that remain undistributed to holders of Galera Common Stock as of the date that is 180 days after the Closing Date shall be delivered to Parent upon demand, and any holders of Galera Common Stock who have not theretofore delivered a duly executed letter of transmittal in accordance with this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thereafter look only to Parent for satisfaction of their claims for Parent Common Stock and any dividends or distributions with respect to shares of Parent Common Stock.</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00"/>
          </w:cols>
          <w:pgMar w:left="320" w:top="454" w:right="479" w:bottom="1440" w:gutter="0" w:footer="0" w:header="0"/>
        </w:sectPr>
      </w:pPr>
    </w:p>
    <w:bookmarkStart w:id="494" w:name="page495"/>
    <w:bookmarkEnd w:id="4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36"/>
        <w:spacing w:after="0" w:line="266" w:lineRule="auto"/>
        <w:tabs>
          <w:tab w:leader="none" w:pos="80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liable to any former holder of any Galera Common Stock or to any other Person with respect to any shares of Parent Common Stock (or dividends or distributions with respect thereto) or for any cash amounts delivered to any public official pursuant to any applicable abandoned property Law, escheat Law or similar Law.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Calculation of Net Cash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3" w:lineRule="auto"/>
        <w:tabs>
          <w:tab w:leader="none" w:pos="80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ten (10) Business Days prior to the anticipated date for Closing as mutually agreed in good faith by Galera and Obsidian (the “</w:t>
      </w:r>
      <w:r>
        <w:rPr>
          <w:rFonts w:ascii="Times New Roman" w:cs="Times New Roman" w:eastAsia="Times New Roman" w:hAnsi="Times New Roman"/>
          <w:sz w:val="18"/>
          <w:szCs w:val="18"/>
          <w:b w:val="1"/>
          <w:bCs w:val="1"/>
          <w:color w:val="auto"/>
        </w:rPr>
        <w:t>Anticipated Closing Date</w:t>
      </w:r>
      <w:r>
        <w:rPr>
          <w:rFonts w:ascii="Times New Roman" w:cs="Times New Roman" w:eastAsia="Times New Roman" w:hAnsi="Times New Roman"/>
          <w:sz w:val="18"/>
          <w:szCs w:val="18"/>
          <w:color w:val="auto"/>
        </w:rPr>
        <w:t>”), Galera will deliver to Obsidian a certificate that includes a schedule (the “</w:t>
      </w:r>
      <w:r>
        <w:rPr>
          <w:rFonts w:ascii="Times New Roman" w:cs="Times New Roman" w:eastAsia="Times New Roman" w:hAnsi="Times New Roman"/>
          <w:sz w:val="18"/>
          <w:szCs w:val="18"/>
          <w:b w:val="1"/>
          <w:bCs w:val="1"/>
          <w:color w:val="auto"/>
        </w:rPr>
        <w:t>Galera Net Cash Schedule</w:t>
      </w:r>
      <w:r>
        <w:rPr>
          <w:rFonts w:ascii="Times New Roman" w:cs="Times New Roman" w:eastAsia="Times New Roman" w:hAnsi="Times New Roman"/>
          <w:sz w:val="18"/>
          <w:szCs w:val="18"/>
          <w:color w:val="auto"/>
        </w:rPr>
        <w:t>”, and the date of delivery of the Galera Net Cash Schedule, the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setting forth, in reasonable detail, Galera’s good faith, estimated calculation of Galera Net Cash (the “</w:t>
      </w:r>
      <w:r>
        <w:rPr>
          <w:rFonts w:ascii="Times New Roman" w:cs="Times New Roman" w:eastAsia="Times New Roman" w:hAnsi="Times New Roman"/>
          <w:sz w:val="18"/>
          <w:szCs w:val="18"/>
          <w:b w:val="1"/>
          <w:bCs w:val="1"/>
          <w:color w:val="auto"/>
        </w:rPr>
        <w:t>Galera Net Cash Calculation</w:t>
      </w:r>
      <w:r>
        <w:rPr>
          <w:rFonts w:ascii="Times New Roman" w:cs="Times New Roman" w:eastAsia="Times New Roman" w:hAnsi="Times New Roman"/>
          <w:sz w:val="18"/>
          <w:szCs w:val="18"/>
          <w:color w:val="auto"/>
        </w:rPr>
        <w:t>”) at the close on business of the Closing Date (the “</w:t>
      </w:r>
      <w:r>
        <w:rPr>
          <w:rFonts w:ascii="Times New Roman" w:cs="Times New Roman" w:eastAsia="Times New Roman" w:hAnsi="Times New Roman"/>
          <w:sz w:val="18"/>
          <w:szCs w:val="18"/>
          <w:b w:val="1"/>
          <w:bCs w:val="1"/>
          <w:color w:val="auto"/>
        </w:rPr>
        <w:t>Cash Determination Time</w:t>
      </w:r>
      <w:r>
        <w:rPr>
          <w:rFonts w:ascii="Times New Roman" w:cs="Times New Roman" w:eastAsia="Times New Roman" w:hAnsi="Times New Roman"/>
          <w:sz w:val="18"/>
          <w:szCs w:val="18"/>
          <w:color w:val="auto"/>
        </w:rPr>
        <w:t xml:space="preserve">”) prepared and signed by Galera’s chief financial officer (or if there is no chief financial officer at such time, the principal financial and accounting officer for Galera). Galera shall make available to Obsidian (electronically to the greatest extent possible), as reasonably requested by Obsidian, the work papers and back-up materials used or useful in preparing the Galera Net Cash Schedule and, if reasonably requested by Obsidian, Galera’s accountants and counsel at reasonable times and upon reasonable notice. The Galera Net Cash Calculation shall include Galera’s determination, as of the Cash Determination Time, of the defined terms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necessary to calculate Obsidian Merger Shares. Set forth on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of the Galera Disclosure Schedule is an illustrative example of Galera Net Cash calculation calculated on a hypothetical basis as of the date described therein. For the avoidance of doubt, in no event shall any Permitted Galera Bridge Financing cause the Final Galera Net Cash to be greater than $1,800,000.</w:t>
      </w:r>
    </w:p>
    <w:p>
      <w:pPr>
        <w:spacing w:after="0" w:line="187" w:lineRule="exact"/>
        <w:rPr>
          <w:rFonts w:ascii="Times New Roman" w:cs="Times New Roman" w:eastAsia="Times New Roman" w:hAnsi="Times New Roman"/>
          <w:sz w:val="18"/>
          <w:szCs w:val="18"/>
          <w:color w:val="auto"/>
        </w:rPr>
      </w:pPr>
    </w:p>
    <w:p>
      <w:pPr>
        <w:jc w:val="both"/>
        <w:ind w:left="120" w:right="340" w:firstLine="436"/>
        <w:spacing w:after="0" w:line="268" w:lineRule="auto"/>
        <w:tabs>
          <w:tab w:leader="none" w:pos="81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Business Days after the Delivery Date (the last day of such period, the “</w:t>
      </w:r>
      <w:r>
        <w:rPr>
          <w:rFonts w:ascii="Times New Roman" w:cs="Times New Roman" w:eastAsia="Times New Roman" w:hAnsi="Times New Roman"/>
          <w:sz w:val="18"/>
          <w:szCs w:val="18"/>
          <w:b w:val="1"/>
          <w:bCs w:val="1"/>
          <w:color w:val="auto"/>
        </w:rPr>
        <w:t>Response Date</w:t>
      </w:r>
      <w:r>
        <w:rPr>
          <w:rFonts w:ascii="Times New Roman" w:cs="Times New Roman" w:eastAsia="Times New Roman" w:hAnsi="Times New Roman"/>
          <w:sz w:val="18"/>
          <w:szCs w:val="18"/>
          <w:color w:val="auto"/>
        </w:rPr>
        <w:t>”), Obsidian shall have the right to dispute any part of the Galera Net Cash Calculation by delivering a written notice to that effect to Galera (a “</w:t>
      </w:r>
      <w:r>
        <w:rPr>
          <w:rFonts w:ascii="Times New Roman" w:cs="Times New Roman" w:eastAsia="Times New Roman" w:hAnsi="Times New Roman"/>
          <w:sz w:val="18"/>
          <w:szCs w:val="18"/>
          <w:b w:val="1"/>
          <w:bCs w:val="1"/>
          <w:color w:val="auto"/>
        </w:rPr>
        <w:t>Dispute Notice</w:t>
      </w:r>
      <w:r>
        <w:rPr>
          <w:rFonts w:ascii="Times New Roman" w:cs="Times New Roman" w:eastAsia="Times New Roman" w:hAnsi="Times New Roman"/>
          <w:sz w:val="18"/>
          <w:szCs w:val="18"/>
          <w:color w:val="auto"/>
        </w:rPr>
        <w:t>”). Any Dispute Notice shall identify in reasonable detail the nature and amounts of any proposed revisions to the Galera Net Cash Calculation.</w:t>
      </w:r>
    </w:p>
    <w:p>
      <w:pPr>
        <w:spacing w:after="0" w:line="174" w:lineRule="exact"/>
        <w:rPr>
          <w:rFonts w:ascii="Times New Roman" w:cs="Times New Roman" w:eastAsia="Times New Roman" w:hAnsi="Times New Roman"/>
          <w:sz w:val="18"/>
          <w:szCs w:val="18"/>
          <w:color w:val="auto"/>
        </w:rPr>
      </w:pPr>
    </w:p>
    <w:p>
      <w:pPr>
        <w:ind w:left="120" w:right="20" w:firstLine="436"/>
        <w:spacing w:after="0" w:line="261" w:lineRule="auto"/>
        <w:tabs>
          <w:tab w:leader="none" w:pos="80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or prior to the Response Date, (i) Obsidian notifies Galera in writing that it has no objections to the Galera Net Cash Calculation or (ii) if prior to 5:00 p.m. (New York City time) on the Response Date, Obsidian has failed to deliver a Dispute Notice as provided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then the Galera Net Cash Calculation as set forth in the Galera Net Cash Schedule shall be deemed to have been finally determined for purposes of this Agreement and to represent the Galera Net Cash at the Cash Determination Time (the “</w:t>
      </w:r>
      <w:r>
        <w:rPr>
          <w:rFonts w:ascii="Times New Roman" w:cs="Times New Roman" w:eastAsia="Times New Roman" w:hAnsi="Times New Roman"/>
          <w:sz w:val="18"/>
          <w:szCs w:val="18"/>
          <w:b w:val="1"/>
          <w:bCs w:val="1"/>
          <w:color w:val="auto"/>
        </w:rPr>
        <w:t>Final Galera Net Cash</w:t>
      </w:r>
      <w:r>
        <w:rPr>
          <w:rFonts w:ascii="Times New Roman" w:cs="Times New Roman" w:eastAsia="Times New Roman" w:hAnsi="Times New Roman"/>
          <w:sz w:val="18"/>
          <w:szCs w:val="18"/>
          <w:color w:val="auto"/>
        </w:rPr>
        <w:t>”) for purposes of this Agreement.</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61" w:lineRule="auto"/>
        <w:tabs>
          <w:tab w:leader="none" w:pos="81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Obsidian delivers a Dispute Notice on or prior to 5:00 p.m. (New York City time) on the Response Date, then Representatives of Galera and Obsidian shall promptly, and in no event later than one calendar day after the Response Date, meet and attempt in good faith to resolve the disputed item(s) and negotiate an agreed-upon determination of Galera Net Cash, which agreed upon Galera Net Cash amount shall be deemed to have been finally determined for purposes of this Agreement and to represent the Final Galera Net Cash for purposes of this Agreement.</w:t>
      </w:r>
    </w:p>
    <w:p>
      <w:pPr>
        <w:spacing w:after="0" w:line="179"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Representatives of Galera and Obsidian are unable to negotiate an agreed-upon determination of Final Galera Net Cash pursuant to</w:t>
      </w:r>
    </w:p>
    <w:p>
      <w:pPr>
        <w:spacing w:after="0" w:line="27" w:lineRule="exact"/>
        <w:rPr>
          <w:sz w:val="20"/>
          <w:szCs w:val="20"/>
          <w:color w:val="auto"/>
        </w:rPr>
      </w:pPr>
    </w:p>
    <w:p>
      <w:pPr>
        <w:ind w:left="120" w:right="20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2.11(d)</w:t>
      </w:r>
      <w:r>
        <w:rPr>
          <w:rFonts w:ascii="Times New Roman" w:cs="Times New Roman" w:eastAsia="Times New Roman" w:hAnsi="Times New Roman"/>
          <w:sz w:val="18"/>
          <w:szCs w:val="18"/>
          <w:color w:val="auto"/>
        </w:rPr>
        <w:t xml:space="preserve"> within two (2) calendar days after delivery of the Dispute Notice (or such other period as Galera and Obsidian may mutually agree upon), then any remaining disagreements as to the calculation of Galera Net Cash shall be referred to an independent auditor of recognized national standing jointly selected by Galera and Obsidian (the “</w:t>
      </w:r>
      <w:r>
        <w:rPr>
          <w:rFonts w:ascii="Times New Roman" w:cs="Times New Roman" w:eastAsia="Times New Roman" w:hAnsi="Times New Roman"/>
          <w:sz w:val="18"/>
          <w:szCs w:val="18"/>
          <w:b w:val="1"/>
          <w:bCs w:val="1"/>
          <w:color w:val="auto"/>
        </w:rPr>
        <w:t>Accounting Firm</w:t>
      </w:r>
      <w:r>
        <w:rPr>
          <w:rFonts w:ascii="Times New Roman" w:cs="Times New Roman" w:eastAsia="Times New Roman" w:hAnsi="Times New Roman"/>
          <w:sz w:val="18"/>
          <w:szCs w:val="18"/>
          <w:color w:val="auto"/>
        </w:rPr>
        <w:t>”). Galera shall promptly deliver to the Accounting Firm all work papers and back-up materials used in preparing the Galera Net Cash Schedule, and Galera and Obsidian shall use commercially reasonable efforts to cause the Accounting Firm to make its determination within five (5) calendar days of accepting its selection. Galera and Obsidian shall be afforded the opportunity to present to the Accounting Firm any material related to the unresolved disputes and to discuss the issues with the Accounting Firm; provided, however, that no such presentation or discussion shall occur without the presence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00"/>
          </w:cols>
          <w:pgMar w:left="320" w:top="454" w:right="479" w:bottom="1440" w:gutter="0" w:footer="0" w:header="0"/>
        </w:sectPr>
      </w:pPr>
    </w:p>
    <w:bookmarkStart w:id="495" w:name="page496"/>
    <w:bookmarkEnd w:id="4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a Representative of each of Galera and Obsidian. The determination of the Accounting Firm shall be limited to the disagreements submitted to the Accounting Firm. The determination of the amount of Galera Net Cash made by the Accounting Firm shall be made in writing delivered to each of Galera and Obsidian, shall be final and binding on Galera and Obsidian and shall be deemed to have been finally determined for purposes of this Agreement and to represent the Final Galera Net Cash for purposes of this Agreement. The Parties shall delay the Closing until the resolution of the matters described in this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 xml:space="preserve">. The fees and expenses of the Accounting Firm shall be allocated between Galera and Obsidian in the same proportion that the disputed amount of the Galera Net Cash that was unsuccessfully disputed by such Party (as finally determined by the Accounting Firm) bears to the total disputed amount of the Galera Net Cash amount and such portion of the costs and expenses of the Accounting Firm borne by Obsidian and any other fees, costs or expenses incurred by Obsidian following the Anticipated Closing Date in connection with the procedures set forth in this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 xml:space="preserve"> shall be deducted from the final determination of the amount of Galera Net Cash. If this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 xml:space="preserve"> applies as to the determination of the Final Galera Net Cash described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upon resolution of the matter in accordance with this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 the Parties shall not be required to determine Galera Net Cash again even though the Closing Date may occur later than the Anticipated Closing Date, except that either Galera and Obsidian may require a redetermination of the Final Galera Net Cash if the Closing Date is more than ten (10) calendar days after the Anticipated Closing Date.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36"/>
        <w:spacing w:after="0" w:line="258" w:lineRule="auto"/>
        <w:tabs>
          <w:tab w:leader="none" w:pos="80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Obsidian Effective Time, any further action is determined by the Obsidian Merger Surviving Corporation to be necessary or desirable to carry out the purposes of this Agreement or to vest the Obsidian Merger Surviving Corporation with full right, title and possession of and to all rights and property of Obsidian, then the officers and directors of the Obsidian Merger Surviving Corporation shall be fully authorized, and shall use their and its commercially reasonable efforts (in the name of Obsidian, in the name of Obsidian Merger Sub, in the name of the Obsidian Merger Surviving Corporation and otherwise) to take such action.</w:t>
      </w:r>
    </w:p>
    <w:p>
      <w:pPr>
        <w:spacing w:after="0" w:line="183"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Galera Effective Time, any further action is determined by the Galera Merger Surviving Corporation to be necessary or desirable to carry out the purposes of this Agreement or to vest the Galera Merger Surviving Corporation with full right, title and possession of and to all rights and property of Galera, then the officers and directors of the Galera Merger Surviving Corporation shall be fully authorized, and shall use their and its commercially reasonable efforts (in the name of Galera, in the name of Galera Merger Sub, in the name of the Galera Merger Surviving Corporation and otherwise) to take such action.</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Each of the Exchange Agent, Parent, the Obsidian Merger Surviving Corporation and the Galera Merger Surviving Corporation (each, a “</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xml:space="preserve">”) shall be entitled to deduct and withhold from any consideration deliverable pursuant to this Agreement such amounts as are required to be deducted or withheld from such consideration under the Code or under any other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that if a Withholding Agent determines that any payment in connection with the Contemplated Transactions is subject to deduction and/or withholding, then, except with respect to compensatory payments or as a result of a failure to deliver the certificate described in </w:t>
      </w:r>
      <w:r>
        <w:rPr>
          <w:rFonts w:ascii="Times New Roman" w:cs="Times New Roman" w:eastAsia="Times New Roman" w:hAnsi="Times New Roman"/>
          <w:sz w:val="18"/>
          <w:szCs w:val="18"/>
          <w:u w:val="single" w:color="auto"/>
          <w:color w:val="auto"/>
        </w:rPr>
        <w:t>Section 7.7(b)</w:t>
      </w:r>
      <w:r>
        <w:rPr>
          <w:rFonts w:ascii="Times New Roman" w:cs="Times New Roman" w:eastAsia="Times New Roman" w:hAnsi="Times New Roman"/>
          <w:sz w:val="18"/>
          <w:szCs w:val="18"/>
          <w:color w:val="auto"/>
        </w:rPr>
        <w:t>, such Withholding Agent shall use reasonable best efforts to (i) provide notice to such recipient after such determination and (ii) cooperate with such recipient prior to the Closing to reduce or eliminate any such deduction and/or withholding. To the extent such amounts are so deducted or withheld, and timely remitted to the appropriate Governmental Authority, such amounts shall be treated for all purposes under this Agreement as having been paid to the Person to whom such amounts would otherwise have been paid.</w:t>
      </w:r>
    </w:p>
    <w:p>
      <w:pPr>
        <w:spacing w:after="0" w:line="18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Appraisal Rights</w:t>
      </w:r>
      <w:r>
        <w:rPr>
          <w:rFonts w:ascii="Times New Roman" w:cs="Times New Roman" w:eastAsia="Times New Roman" w:hAnsi="Times New Roman"/>
          <w:sz w:val="18"/>
          <w:szCs w:val="18"/>
          <w:color w:val="auto"/>
        </w:rPr>
        <w:t>.Notwithstanding any provision of this Agreement to the contrary, shares of Galera Common Stock that are outstanding immediately prior to the Galera Effective Time (after giving effect to the Galera Preferred Stock Conversion) and which are held by stockholders who have exercised and perfected appraisal rights for such shares of Galera Common Stock in accordance with Delaware Law (collectively,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20"/>
          </w:cols>
          <w:pgMar w:left="320" w:top="454" w:right="45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xml:space="preserve">”) shall not be converted into or represent the right to receive the consideration described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respectively, attributable to such Dissenting Shares. Such stockholders shall be entitled to receive payment of the appraised value of such shares of Galera Common Stock held by them in accordance with Delaware Law, unless and until such stockholders fail to perfect or effectively withdraw or otherwise lose their appraisal rights under Delaware Law. All Dissenting Shares held by stockholders who shall have failed to perfect or shall have effectively withdrawn or lost their right to appraisal of such shares of Galera Common Stock under Delaware Law (whether occurring before, at or after the Galera Effective Time) shall thereupon be deemed to be converted into and to have become exchangeable for, as of the Galera Effective Time, the right to receive the consideration attributable to such Dissenting Shares upon their surrender in the manner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respectively. Galera shall give Parent prompt written notice of any demands by dissenting stockholders received thereby, withdrawals of such demands and any other instruments served thereupon and any material correspondence received thereby in connection with such demands, and Parent shall have the right to direct all negotiations and proceedings with respect to such demands;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Galera shall have the right to participate in such negotiations and proceedings. Neither Parent nor Galera shall, except with the other party’s prior written consent (which shall not be unreasonably withheld, conditioned ore delayed), voluntarily make any payment with respect to, or settle or offer to settle, any such demands, or approve any withdrawal of any such demands or agree to do any of the foregoing.</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Obsidian</w:t>
      </w:r>
    </w:p>
    <w:p>
      <w:pPr>
        <w:spacing w:after="0" w:line="203"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Except as set forth in the written disclosure schedule delivered by Obsidian to Galera (the “</w:t>
      </w:r>
      <w:r>
        <w:rPr>
          <w:rFonts w:ascii="Times New Roman" w:cs="Times New Roman" w:eastAsia="Times New Roman" w:hAnsi="Times New Roman"/>
          <w:sz w:val="18"/>
          <w:szCs w:val="18"/>
          <w:b w:val="1"/>
          <w:bCs w:val="1"/>
          <w:color w:val="auto"/>
        </w:rPr>
        <w:t>Obsidian Disclosure Schedule</w:t>
      </w:r>
      <w:r>
        <w:rPr>
          <w:rFonts w:ascii="Times New Roman" w:cs="Times New Roman" w:eastAsia="Times New Roman" w:hAnsi="Times New Roman"/>
          <w:sz w:val="18"/>
          <w:szCs w:val="18"/>
          <w:color w:val="auto"/>
        </w:rPr>
        <w:t>”), Obsidian represents and warrants to Galera as follows: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8" w:lineRule="auto"/>
        <w:tabs>
          <w:tab w:leader="none" w:pos="80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Obsidian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Obsidian’s Subsidiaries are directly or indirectly wholly-owned by Obsidian.</w:t>
      </w:r>
    </w:p>
    <w:p>
      <w:pPr>
        <w:spacing w:after="0" w:line="183" w:lineRule="exact"/>
        <w:rPr>
          <w:rFonts w:ascii="Times New Roman" w:cs="Times New Roman" w:eastAsia="Times New Roman" w:hAnsi="Times New Roman"/>
          <w:sz w:val="18"/>
          <w:szCs w:val="18"/>
          <w:color w:val="auto"/>
        </w:rPr>
      </w:pPr>
    </w:p>
    <w:p>
      <w:pPr>
        <w:ind w:left="120" w:right="460" w:firstLine="436"/>
        <w:spacing w:after="0" w:line="261" w:lineRule="auto"/>
        <w:tabs>
          <w:tab w:leader="none" w:pos="81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Obsidian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an Obsidian Material Adverse Effect.</w:t>
      </w:r>
    </w:p>
    <w:p>
      <w:pPr>
        <w:spacing w:after="0" w:line="179" w:lineRule="exact"/>
        <w:rPr>
          <w:rFonts w:ascii="Times New Roman" w:cs="Times New Roman" w:eastAsia="Times New Roman" w:hAnsi="Times New Roman"/>
          <w:sz w:val="18"/>
          <w:szCs w:val="18"/>
          <w:color w:val="auto"/>
        </w:rPr>
      </w:pPr>
    </w:p>
    <w:p>
      <w:pPr>
        <w:ind w:left="120" w:firstLine="436"/>
        <w:spacing w:after="0" w:line="256" w:lineRule="auto"/>
        <w:tabs>
          <w:tab w:leader="none" w:pos="80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of the Obsidian Disclosure Schedule, Obsidian has no Subsidiaries and Obsidian does not directly or indirectly own any capital stock of, or any equity ownership or profit sharing interest of any nature in, or control directly or indirectly, any other Entity. Obsidian is not and has not otherwise been, directly or indirectly, a party to, member of or participant in any partnership, joint venture or similar business entity. Obsidian has not agreed and is not obligated to make, nor is Obsidian bound by any Contract under which it may become obligated to make, any future investment in or capital contribution to any other Entity. Obsidian has not, at any time, been a general partner of, and has not otherwise been liable for any of the debts or other obligations of, any general partnership, limited partnership or other Entity.</w:t>
      </w:r>
    </w:p>
    <w:p>
      <w:pPr>
        <w:spacing w:after="0" w:line="187"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Organizational Documents</w:t>
      </w:r>
      <w:r>
        <w:rPr>
          <w:rFonts w:ascii="Times New Roman" w:cs="Times New Roman" w:eastAsia="Times New Roman" w:hAnsi="Times New Roman"/>
          <w:sz w:val="17"/>
          <w:szCs w:val="17"/>
          <w:color w:val="auto"/>
        </w:rPr>
        <w:t>. Obsidian has delivered to Galera accurate and complete copies of Obsidian’s and its Subsidiaries’ Organizational Documents. Neither Obsidian nor any of its Subsidiaries is in breach or violation of its Organizational Documents in any material respect.</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00"/>
          </w:cols>
          <w:pgMar w:left="320" w:top="454" w:right="479" w:bottom="1440" w:gutter="0" w:footer="0" w:header="0"/>
        </w:sectPr>
      </w:pPr>
    </w:p>
    <w:bookmarkStart w:id="497" w:name="page498"/>
    <w:bookmarkEnd w:id="4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55" w:lineRule="auto"/>
        <w:tabs>
          <w:tab w:leader="none" w:pos="80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Obsidian and its Subsidiaries has all necessary corporate power and authority to enter into and to perform its obligations under this Agreement and to consummate the Contemplated Transactions. The Obsidian Board (at meetings duly called and held) has (i) determined that the Contemplated Transactions are fair to, advisable and in the best interests of Obsidian and its stockholders, (ii) approved and declared advisable this Agreement and the Contemplated Transactions and (iii) determined to recommend the Obsidian Board Recommendation to the stockholders of Obsidian as promptly as practicable after the forms thereof are mutually agreed to by Galera and Obsidian. This Agreement has been duly executed and delivered by Obsidian and assuming the due authorization, execution and delivery by Galera, constitutes the legal, valid and binding obligation of Obsidian, enforceable against Obsidian in accordance with its terms, subject to the Enforceability Exceptions.</w:t>
      </w:r>
    </w:p>
    <w:p>
      <w:pPr>
        <w:spacing w:after="0" w:line="189"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 The affirmative vote of the holders of at least (i) a majority of the then outstanding shares of Obsidian Common Stock outstanding on the record date for the Obsidian Stockholder Written Consent and (ii) a majority of the then outstanding shares of Obsidian Preferred Stock voting as a single class on an as-converted basis (together, the “</w:t>
      </w:r>
      <w:r>
        <w:rPr>
          <w:rFonts w:ascii="Times New Roman" w:cs="Times New Roman" w:eastAsia="Times New Roman" w:hAnsi="Times New Roman"/>
          <w:sz w:val="18"/>
          <w:szCs w:val="18"/>
          <w:b w:val="1"/>
          <w:bCs w:val="1"/>
          <w:color w:val="auto"/>
        </w:rPr>
        <w:t>Required Obsidian Stockholder Approval</w:t>
      </w:r>
      <w:r>
        <w:rPr>
          <w:rFonts w:ascii="Times New Roman" w:cs="Times New Roman" w:eastAsia="Times New Roman" w:hAnsi="Times New Roman"/>
          <w:sz w:val="18"/>
          <w:szCs w:val="18"/>
          <w:color w:val="auto"/>
        </w:rPr>
        <w:t>”), is the only vote of the holders of any class or series of Obsidian Capital Stock necessary to adopt and approve this Agreement and approve the Contemplated Transactions.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240" w:firstLine="436"/>
        <w:spacing w:after="0" w:line="266" w:lineRule="auto"/>
        <w:tabs>
          <w:tab w:leader="none" w:pos="80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obtaining the Required Obsidian Stockholder Approval and the filing of the Obsidian Certificate of Merger required by Delaware Law, neither (x) the execution, delivery or performance of this Agreement by Obsidian, nor (y) the consummation of the Contemplated Transactions, will directly or indirectly (with or without notice or lapse of time):</w:t>
      </w:r>
    </w:p>
    <w:p>
      <w:pPr>
        <w:spacing w:after="0" w:line="6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Organizational Documents of Obsidian or its Subsidiaries;</w:t>
      </w:r>
    </w:p>
    <w:p>
      <w:pPr>
        <w:spacing w:after="0" w:line="117" w:lineRule="exact"/>
        <w:rPr>
          <w:rFonts w:ascii="Times New Roman" w:cs="Times New Roman" w:eastAsia="Times New Roman" w:hAnsi="Times New Roman"/>
          <w:sz w:val="18"/>
          <w:szCs w:val="18"/>
          <w:color w:val="auto"/>
        </w:rPr>
      </w:pPr>
    </w:p>
    <w:p>
      <w:pPr>
        <w:jc w:val="both"/>
        <w:ind w:left="560" w:right="140" w:firstLine="419"/>
        <w:spacing w:after="0" w:line="266" w:lineRule="auto"/>
        <w:tabs>
          <w:tab w:leader="none" w:pos="124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Obsidian or its Subsidiaries, or any of the assets owned or used by Obsidian or its Subsidiaries, is subject;</w:t>
      </w:r>
    </w:p>
    <w:p>
      <w:pPr>
        <w:spacing w:after="0" w:line="67" w:lineRule="exact"/>
        <w:rPr>
          <w:rFonts w:ascii="Times New Roman" w:cs="Times New Roman" w:eastAsia="Times New Roman" w:hAnsi="Times New Roman"/>
          <w:sz w:val="18"/>
          <w:szCs w:val="18"/>
          <w:color w:val="auto"/>
        </w:rPr>
      </w:pPr>
    </w:p>
    <w:p>
      <w:pPr>
        <w:ind w:left="560" w:firstLine="419"/>
        <w:spacing w:after="0" w:line="266" w:lineRule="auto"/>
        <w:tabs>
          <w:tab w:leader="none" w:pos="129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Obsidian or its Subsidiaries or that otherwise relates to the business of Obsidian, or any of the assets owned, leased or used by Obsidian;</w:t>
      </w:r>
    </w:p>
    <w:p>
      <w:pPr>
        <w:spacing w:after="0" w:line="67" w:lineRule="exact"/>
        <w:rPr>
          <w:rFonts w:ascii="Times New Roman" w:cs="Times New Roman" w:eastAsia="Times New Roman" w:hAnsi="Times New Roman"/>
          <w:sz w:val="18"/>
          <w:szCs w:val="18"/>
          <w:color w:val="auto"/>
        </w:rPr>
      </w:pPr>
    </w:p>
    <w:p>
      <w:pPr>
        <w:ind w:left="560" w:right="60" w:firstLine="419"/>
        <w:spacing w:after="0" w:line="258" w:lineRule="auto"/>
        <w:tabs>
          <w:tab w:leader="none" w:pos="128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or breach of, or result in a default under, any provision of any Obsidian Material Contract, or give any Person the right to: (A) declare a default or exercise any remedy under any Obsidian Material Contract, (B) any material payment, rebate, chargeback, penalty or change in delivery schedule under any such Obsidian Material Contract, (C) accelerate the maturity or performance of any Obsidian Material Contract or (D) cancel, terminate or modify any term of any Obsidian Material Contract, except in the case of any nonmaterial breach, default, penalty or modification; or</w:t>
      </w:r>
    </w:p>
    <w:p>
      <w:pPr>
        <w:spacing w:after="0" w:line="75" w:lineRule="exact"/>
        <w:rPr>
          <w:rFonts w:ascii="Times New Roman" w:cs="Times New Roman" w:eastAsia="Times New Roman" w:hAnsi="Times New Roman"/>
          <w:sz w:val="18"/>
          <w:szCs w:val="18"/>
          <w:color w:val="auto"/>
        </w:rPr>
      </w:pPr>
    </w:p>
    <w:p>
      <w:pPr>
        <w:ind w:left="560" w:right="120" w:firstLine="419"/>
        <w:spacing w:after="0" w:line="282" w:lineRule="auto"/>
        <w:tabs>
          <w:tab w:leader="none" w:pos="1238"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imposition or creation of any Encumbrance upon or with respect to any asset owned or used by Obsidian or its Subsidiaries (except for Permitted Encumbrances).</w:t>
      </w:r>
    </w:p>
    <w:p>
      <w:pPr>
        <w:spacing w:after="0" w:line="161" w:lineRule="exact"/>
        <w:rPr>
          <w:rFonts w:ascii="Times New Roman" w:cs="Times New Roman" w:eastAsia="Times New Roman" w:hAnsi="Times New Roman"/>
          <w:sz w:val="18"/>
          <w:szCs w:val="18"/>
          <w:color w:val="auto"/>
        </w:rPr>
      </w:pPr>
    </w:p>
    <w:p>
      <w:pPr>
        <w:ind w:left="120" w:right="340" w:firstLine="436"/>
        <w:spacing w:after="0" w:line="266" w:lineRule="auto"/>
        <w:tabs>
          <w:tab w:leader="none" w:pos="81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(i) any Consent set forth on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of the Obsidian Disclosure Schedule under any Obsidian Contract, (ii) the Required Obsidian Stockholder Approval, (iii) the filing of the Obsidian Certificate of Merger with the Secretary of State of the State of Delaware pursuant to Delaware Law and (iv) such Consents,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20"/>
          </w:cols>
          <w:pgMar w:left="320" w:top="454" w:right="459" w:bottom="1440" w:gutter="0" w:footer="0" w:header="0"/>
        </w:sectPr>
      </w:pPr>
    </w:p>
    <w:bookmarkStart w:id="498" w:name="page499"/>
    <w:bookmarkEnd w:id="4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waivers, approvals, orders, authorizations, registrations, declarations and filings as may be required under applicable federal and state securities laws, neither Obsidian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58" w:lineRule="exact"/>
        <w:rPr>
          <w:sz w:val="20"/>
          <w:szCs w:val="20"/>
          <w:color w:val="auto"/>
        </w:rPr>
      </w:pPr>
    </w:p>
    <w:p>
      <w:pPr>
        <w:ind w:left="120" w:right="20" w:firstLine="436"/>
        <w:spacing w:after="0" w:line="261" w:lineRule="auto"/>
        <w:tabs>
          <w:tab w:leader="none" w:pos="80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Obsidian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36"/>
        <w:spacing w:after="0" w:line="255" w:lineRule="auto"/>
        <w:tabs>
          <w:tab w:leader="none" w:pos="805"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Obsidian consists of (i) 274,320,131 shares of Obsidian Common Stock of which 21,437,128 shares have been issued and are outstanding as of April 9, 2026, and (ii) 215,060,316 shares of Obsidian Preferred Stock of which (a) 32,222,339 shares have been designated Obsidian Series A-1 Preferred Stock of which 26,114,925 shares have been issued and are outstanding as of April 9, 2026, (b) 14,936,323 shares have been designated Obsidian Series A-2 Preferred Stock of which 14,936,323 shares have been issued and are outstanding as of April 9, 2026,</w:t>
      </w:r>
    </w:p>
    <w:p>
      <w:pPr>
        <w:spacing w:after="0" w:line="2" w:lineRule="exact"/>
        <w:rPr>
          <w:rFonts w:ascii="Times New Roman" w:cs="Times New Roman" w:eastAsia="Times New Roman" w:hAnsi="Times New Roman"/>
          <w:sz w:val="18"/>
          <w:szCs w:val="18"/>
          <w:color w:val="auto"/>
        </w:rPr>
      </w:pPr>
    </w:p>
    <w:p>
      <w:pPr>
        <w:ind w:left="120" w:right="220" w:hanging="4"/>
        <w:spacing w:after="0" w:line="253" w:lineRule="auto"/>
        <w:tabs>
          <w:tab w:leader="none" w:pos="36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6,146,592 shares have been designated Obsidian Series A-3 Preferred Stock of which 6,146,592 shares have been issued and are outstanding as of April 9, 2026, (d) 76,187,917 shares have been designated Obsidian Series B Preferred Stock of which 76,187,917 shares have been issued and are outstanding as of April 9, 2026 and (e) 84,567,145 shares have been designated Obsidian Series C Preferred Stock of which 84,567,145 shares have been issued and are outstanding as of April 9, 2026. As of April 9, 2026, there was one Warrant to Purchase Stock to purchase an aggregate of 22,124 shares of Obsidian Series A-1 Preferred Stock. Obsidian does not hold any shares of its capital stock in its treasury.</w:t>
      </w:r>
    </w:p>
    <w:p>
      <w:pPr>
        <w:spacing w:after="0" w:line="186" w:lineRule="exact"/>
        <w:rPr>
          <w:rFonts w:ascii="Times New Roman" w:cs="Times New Roman" w:eastAsia="Times New Roman" w:hAnsi="Times New Roman"/>
          <w:sz w:val="18"/>
          <w:szCs w:val="18"/>
          <w:color w:val="auto"/>
        </w:rPr>
      </w:pPr>
    </w:p>
    <w:p>
      <w:pPr>
        <w:ind w:left="120" w:firstLine="436"/>
        <w:spacing w:after="0" w:line="255" w:lineRule="auto"/>
        <w:tabs>
          <w:tab w:leader="none" w:pos="805"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Obsidian Common Stock have been duly authorized and validly issued, and are fully paid and nonassessable and are free of any Encumbrances other than under applicable securities Laws. None of the outstanding shares of Obsidian Common Stock is entitled or subject to any preemptive right, right of participation, right of maintenance or any similar right. All of the outstanding shares of Obsidian Common Stock are subject to a right of first refusal in favor of Obsidian. Except as contemplated herein, there is no Obsidian Contract relating to the voting or registration of, or restricting any Person from purchasing, selling, pledging or otherwise disposing of (or granting any option or similar right with respect to), any shares of Obsidian Common Stock. Obsidian is not under any obligation, nor is Obsidian bound by any Contract pursuant to which it may become obligated, to repurchase, redeem or otherwise acquire any outstanding shares of Obsidian Common Stock or other securities.</w:t>
      </w:r>
    </w:p>
    <w:p>
      <w:pPr>
        <w:spacing w:after="0" w:line="188" w:lineRule="exact"/>
        <w:rPr>
          <w:rFonts w:ascii="Times New Roman" w:cs="Times New Roman" w:eastAsia="Times New Roman" w:hAnsi="Times New Roman"/>
          <w:sz w:val="18"/>
          <w:szCs w:val="18"/>
          <w:color w:val="auto"/>
        </w:rPr>
      </w:pPr>
    </w:p>
    <w:p>
      <w:pPr>
        <w:ind w:left="120" w:right="80" w:firstLine="436"/>
        <w:spacing w:after="0" w:line="267" w:lineRule="auto"/>
        <w:tabs>
          <w:tab w:leader="none" w:pos="805"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the Obsidian Equity Plan and the Obsidian Options granted thereunder, Obsidian does not have any stock incentive plan or any other plan, program, agreement or arrangement providing for any equity or equity-based compensation for any Person and there were no other equity or equity-based awards outstanding as of the date of this Agreement. As of the date of this Agreement, Obsidian has reserved 48,749,161 shares of Obsidian Common Stock for issuance under the Obsidian Equity Plan, of which 6,207,225 shares have been issued and are outstanding pursuant to the exercise of Obsidian Options, 39,255,362 shares are subject to outstanding Obsidian Options, and 3,286,574 shares remain available for future grant pursuant to the Obsidian Equity Plan. </w:t>
      </w:r>
      <w:r>
        <w:rPr>
          <w:rFonts w:ascii="Times New Roman" w:cs="Times New Roman" w:eastAsia="Times New Roman" w:hAnsi="Times New Roman"/>
          <w:sz w:val="17"/>
          <w:szCs w:val="17"/>
          <w:u w:val="single" w:color="auto"/>
          <w:color w:val="auto"/>
        </w:rPr>
        <w:t>Section 3.6(c)</w:t>
      </w:r>
      <w:r>
        <w:rPr>
          <w:rFonts w:ascii="Times New Roman" w:cs="Times New Roman" w:eastAsia="Times New Roman" w:hAnsi="Times New Roman"/>
          <w:sz w:val="17"/>
          <w:szCs w:val="17"/>
          <w:color w:val="auto"/>
        </w:rPr>
        <w:t xml:space="preserve"> of the Obsidian Disclosure Schedule sets forth a true and complete list, as of the date of this Agreement, of each outstanding Obsidian Option, including: (i) the name of the holder, (ii) the number of shares of Obsidian Common Stock subject to such Obsidian Option, (iii) the per share exercise price, (iv) the date of grant, (v) the applicable vesting schedule, including any acceleration provisions, and the number of vested and unvested shares, (vi) the expiration date, and (vii) whether the Obsidian Option is intended to be an “incentive stock option” (as defined in the Code) or a non-qualified stock option. Obsidian has made available to Galera accurate and complete copies of the following:</w:t>
      </w:r>
    </w:p>
    <w:p>
      <w:pPr>
        <w:spacing w:after="0" w:line="3"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standard form of agreement evidencing Obsidian Options;</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20"/>
          </w:cols>
          <w:pgMar w:left="320" w:top="454" w:right="459" w:bottom="1440" w:gutter="0" w:footer="0" w:header="0"/>
        </w:sectPr>
      </w:pPr>
    </w:p>
    <w:bookmarkStart w:id="499" w:name="page500"/>
    <w:bookmarkEnd w:id="4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(B) each agreement evidencing an Obsidian Option that does not conform in all material respects to the standard form agreement.</w:t>
      </w:r>
    </w:p>
    <w:p>
      <w:pPr>
        <w:spacing w:after="0" w:line="225" w:lineRule="exact"/>
        <w:rPr>
          <w:sz w:val="20"/>
          <w:szCs w:val="20"/>
          <w:color w:val="auto"/>
        </w:rPr>
      </w:pPr>
    </w:p>
    <w:p>
      <w:pPr>
        <w:ind w:left="120" w:firstLine="436"/>
        <w:spacing w:after="0" w:line="256" w:lineRule="auto"/>
        <w:tabs>
          <w:tab w:leader="none" w:pos="81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xml:space="preserve"> of the Obsidian Disclosure Schedule, there is no: (i) outstanding subscription, option, call, warrant or right (whether or not currently exercisable) to acquire any shares of the capital stock or other securities of Obsidian, (ii) outstanding security, instrument or obligation that is or may become convertible into or exchangeable for any shares of the capital stock or other securities of Obsidian, (iii) stockholder rights plan (or similar plan commonly referred to as a “poison pill”) or Contract under which Obsidian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Obsidian.</w:t>
      </w:r>
    </w:p>
    <w:p>
      <w:pPr>
        <w:spacing w:after="0" w:line="187"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0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Obsidian Common Stock, and other securities of Obsidian have been issued and granted in compliance with (i) all applicable securities laws and other applicable Law and (ii) all requirements set forth in applicable Contracts.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firstLine="436"/>
        <w:spacing w:after="0" w:line="266" w:lineRule="auto"/>
        <w:tabs>
          <w:tab w:leader="none" w:pos="80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of the Obsidian Disclosure Schedule includes true, correct and complete copies of the Obsidian Balance Sheet and the related audited estimated statement of income, cash flow and changes in partners’ capital for the years ended December 31, 2024 and December 31, 2025 (the “</w:t>
      </w:r>
      <w:r>
        <w:rPr>
          <w:rFonts w:ascii="Times New Roman" w:cs="Times New Roman" w:eastAsia="Times New Roman" w:hAnsi="Times New Roman"/>
          <w:sz w:val="18"/>
          <w:szCs w:val="18"/>
          <w:b w:val="1"/>
          <w:bCs w:val="1"/>
          <w:color w:val="auto"/>
        </w:rPr>
        <w:t>Obsidian Financial Statements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100" w:firstLine="436"/>
        <w:spacing w:after="0" w:line="272" w:lineRule="auto"/>
        <w:tabs>
          <w:tab w:leader="none" w:pos="815"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Obsidian Financial Statements (i) were prepared in accordance with GAAP applied on a consistent basis unless otherwise noted therein throughout the periods indicated, (ii) fairly present, in all material respects, the financial position of Obsidian as of the respective dates thereof and the results of operations and cash flows of Obsidian for the periods covered thereby and (iii) when delivered by Obsidian for inclusion in the Registration Statement (as defined below) for filing with the SEC following the date of this Agreement in accordance with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shall comply in all material respects with the applicable accounting requirements and with the rules and regulations of the SEC, the Exchange Act and the Securities Act applicable to a registrant, in effect as of the respective dates thereof. Other than as expressly disclosed in the Obsidian Financial Statements, there has been no material change in Obsidian’s accounting methods or principles that would be required to be disclosed in Obsidian’s financial statements in accordance with GAAP. The books of account and other financial records of Obsidian and each of its Subsidiaries are true and complete in all material respects.</w:t>
      </w:r>
    </w:p>
    <w:p>
      <w:pPr>
        <w:spacing w:after="0" w:line="171" w:lineRule="exact"/>
        <w:rPr>
          <w:rFonts w:ascii="Times New Roman" w:cs="Times New Roman" w:eastAsia="Times New Roman" w:hAnsi="Times New Roman"/>
          <w:sz w:val="17"/>
          <w:szCs w:val="17"/>
          <w:color w:val="auto"/>
        </w:rPr>
      </w:pPr>
    </w:p>
    <w:p>
      <w:pPr>
        <w:ind w:left="120" w:right="20" w:firstLine="436"/>
        <w:spacing w:after="0" w:line="266" w:lineRule="auto"/>
        <w:tabs>
          <w:tab w:leader="none" w:pos="80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formal internal investigations regarding financial reporting or accounting policies and practices discussed with, reviewed by or initiated at the direction of the chief executive officer, chief financial officer, or general counsel of Obsidian, the Obsidian Board or any committee thereof, other than ordinary course audits or reviews of accounting policies and practices or internal controls.</w:t>
      </w:r>
    </w:p>
    <w:p>
      <w:pPr>
        <w:spacing w:after="0" w:line="175"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Obsidian maintains records that in reasonable detail accurately and fairly reflect Obsidian’s transactions and dispositions of assets, (ii) that transactions are recorded as necessary to permit preparation of financial statements in accordance with GAAP, (iii) that receipts and expenditures are made only in accordance with authorizations of management and the Obsidian Board and (iv) regarding prevention or timely detection of the unauthorized acquisition, use or disposition of Obsidian’s assets that could have a material effect on Obsidian’s financial statements. Obsidian has evaluated the effectiveness of Obsidian’s internal control over financial reporting and, to the extent required by applicable Law, presented its conclusions about the effectiveness of the internal control over financial reporting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4" w:right="459" w:bottom="1440" w:gutter="0" w:footer="0" w:header="0"/>
        </w:sectPr>
      </w:pPr>
    </w:p>
    <w:bookmarkStart w:id="500" w:name="page501"/>
    <w:bookmarkEnd w:id="5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as of the end of the period covered by such financial reporting based on such evaluation. Obsidian has disclosed to Obsidian’s auditors and the Audit Committee of the Obsidian Board (and made available to Galera a summary of the significant aspects of such disclosure) (A) all significant deficiencies and material weaknesses in the design or operation of internal control over financial reporting that are reasonably likely to adversely affect Obsidian’s ability to record, process, summarize and report financial information and (B) any known fraud, whether or not material, that involves management or other employees who have a significant role in Obsidian or its Subsidiaries’ internal control over financial reporting. Except as disclosed in the Obsidian Financial Statements filed prior to the date hereof, Obsidian’s internal control over financial reporting is effective and Obsidian has not identified any material weaknesses in the design or operation of Obsidian’s internal control over financial reporting.</w:t>
      </w:r>
    </w:p>
    <w:p>
      <w:pPr>
        <w:spacing w:after="0" w:line="189" w:lineRule="exact"/>
        <w:rPr>
          <w:sz w:val="20"/>
          <w:szCs w:val="20"/>
          <w:color w:val="auto"/>
        </w:rPr>
      </w:pPr>
    </w:p>
    <w:p>
      <w:pPr>
        <w:ind w:left="120" w:right="40" w:firstLine="436"/>
        <w:spacing w:after="0" w:line="258" w:lineRule="auto"/>
        <w:tabs>
          <w:tab w:leader="none" w:pos="80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Obsidian’s auditor has at all times since the date of enactment of the Sarbanes-Oxley Act been: (i) a registered public accounting firm (as defined in Section 2(a)(12) of the Sarbanes-Oxley Act), (ii) to the Knowledge of Obsidian, “independent” with respect to Obsidian within the meaning of Regulation S-X under the Exchange Act and (iii) to the Knowledge of Obsidian, in compliance with subsections (g) through (l) of Section 10A of the Exchange Act and the rules and regulations promulgated by the SEC and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thereunder (such firm, the “</w:t>
      </w:r>
      <w:r>
        <w:rPr>
          <w:rFonts w:ascii="Times New Roman" w:cs="Times New Roman" w:eastAsia="Times New Roman" w:hAnsi="Times New Roman"/>
          <w:sz w:val="18"/>
          <w:szCs w:val="18"/>
          <w:b w:val="1"/>
          <w:bCs w:val="1"/>
          <w:color w:val="auto"/>
        </w:rPr>
        <w:t>PCAOB Auditor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Obsidian Disclosure Schedule, since January 1, 2026, Obsidian and its Subsidiaries have conducted their business only in the Ordinary Course of Business (except for the execution and performance of this Agreement and the discussions, negotiations and transactions related thereto) and there has not been any (a) Obsidian Material Adverse Effect or (b) action, event or occurrence that would have required Consent of Galera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this Agreement had such action, event or occurrence taken place after the execution and delivery of this Agreement.</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Neither Obsidian nor any of its Subsidiaries has any liability, indebtedness, obligation, expense, claim, deficiency, guaranty or endorsement of any kind, whether accrued, absolute, contingent, matured, unmatured or otherwise (each a “</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xml:space="preserve">”), in each case, of a type required to be reflected or reserved for on a balance sheet prepared in accordance with GAAP, except for: (a) Liabilities disclosed, reflected or reserved against in the Obsidian Balance Sheet, (b) normal and recurring current Liabilities that have been incurred by Obsidian or its Subsidiaries since the date of the Obsidian Balance Sheet in the Ordinary Course of Business (none of which relates to any breach of contract, breach of warranty, tort, infringement, or violation of Law), (c) Liabilities for performance of obligations of Obsidian or any of its Subsidiaries under Obsidian Contracts, (d) Liabilities incurred in connection with the Contemplated Transactions and (e) Liabilities listed in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of the Obsidian Disclosure Schedule.</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Each of Obsidian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Obsidian Balance Sheet and (b) all other tangible assets reflected in the books and records of Obsidian as being owned by Obsidian. All of such assets are owned or, in the case of leased assets, leased by Obsidian or any of its Subsidiaries free and clear of any Encumbrances, other than Permitted Encumbrances.</w:t>
      </w:r>
    </w:p>
    <w:p>
      <w:pPr>
        <w:spacing w:after="0" w:line="183"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Real Property; Leasehold</w:t>
      </w:r>
      <w:r>
        <w:rPr>
          <w:rFonts w:ascii="Times New Roman" w:cs="Times New Roman" w:eastAsia="Times New Roman" w:hAnsi="Times New Roman"/>
          <w:sz w:val="18"/>
          <w:szCs w:val="18"/>
          <w:color w:val="auto"/>
        </w:rPr>
        <w:t>. Neither Obsidian nor any of its Subsidiaries owns or has ever owned any real property. Obsidian has made available to Galera (a) an accurate and complete list of all real properties with respect to which Obsidian directly or indirectly holds a valid leasehold interest as well as any other real estate that is in the possession of or leased by Obsidian or any of its Subsidiaries and (b) copies of all leases under which any such real property is possessed (the “</w:t>
      </w:r>
      <w:r>
        <w:rPr>
          <w:rFonts w:ascii="Times New Roman" w:cs="Times New Roman" w:eastAsia="Times New Roman" w:hAnsi="Times New Roman"/>
          <w:sz w:val="18"/>
          <w:szCs w:val="18"/>
          <w:b w:val="1"/>
          <w:bCs w:val="1"/>
          <w:color w:val="auto"/>
        </w:rPr>
        <w:t>Obsidian Real Estate Leases</w:t>
      </w:r>
      <w:r>
        <w:rPr>
          <w:rFonts w:ascii="Times New Roman" w:cs="Times New Roman" w:eastAsia="Times New Roman" w:hAnsi="Times New Roman"/>
          <w:sz w:val="18"/>
          <w:szCs w:val="18"/>
          <w:color w:val="auto"/>
        </w:rPr>
        <w:t>”), each of which is in full force and effect, with no existing material default thereunder.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00"/>
          </w:cols>
          <w:pgMar w:left="320" w:top="454" w:right="479" w:bottom="1440" w:gutter="0" w:footer="0" w:header="0"/>
        </w:sectPr>
      </w:pPr>
    </w:p>
    <w:bookmarkStart w:id="501" w:name="page502"/>
    <w:bookmarkEnd w:id="5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3" w:lineRule="auto"/>
        <w:tabs>
          <w:tab w:leader="none" w:pos="805"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Obsidian Disclosure Schedule is an accurate, true and complete listing of all Obsidian Registered IP, including for each item (i) the record owner(s) (and name of any other Person with an ownership interest in such item of Obsidian Registered IP and the nature of such ownership interest, if any), jurisdiction, status, and registration or application number of each item, as applicable, (ii) all filing, registration, issuance and grant dates and (iii) any actions that are required to be taken within 180 days of the date hereof for any Obsidian Registered IP, including the payment of any registration, maintenance or renewal fees or the filing of or response to any documents, applications or certificates, for the purposes of prosecuting, obtaining, perfecting, maintaining or renewing any Obsidian Registered IP.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of the Obsidian Disclosure Schedule also sets forth, as of the date of this Agreement, a list of all internet domain names with respect to which Obsidian or any of its Subsidiaries are the registrant and, with respect to each domain name, the record owner of such domain name and if different, the legal and beneficial owner(s) of such domain name and the applicable domain name registrar. All Obsidian Registered IP is subsisting and in full force and effect and, to Obsidian’s Knowledge, all Obsidian Registered IP (other than pending applications) is valid and enforceable. All fees due to, and all documents, powers and other filings required to be filed with, a Governmental Authority with respect to any such Obsidian Registered IP have been fully and timely paid and filed as necessary for the filing, prosecuting, obtaining grant of and maintaining such item of Obsidian Registered IP.</w:t>
      </w:r>
    </w:p>
    <w:p>
      <w:pPr>
        <w:spacing w:after="0" w:line="189" w:lineRule="exact"/>
        <w:rPr>
          <w:rFonts w:ascii="Times New Roman" w:cs="Times New Roman" w:eastAsia="Times New Roman" w:hAnsi="Times New Roman"/>
          <w:sz w:val="18"/>
          <w:szCs w:val="18"/>
          <w:color w:val="auto"/>
        </w:rPr>
      </w:pPr>
    </w:p>
    <w:p>
      <w:pPr>
        <w:ind w:left="120" w:firstLine="436"/>
        <w:spacing w:after="0" w:line="253" w:lineRule="auto"/>
        <w:tabs>
          <w:tab w:leader="none" w:pos="815"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Obsidian Disclosure Schedule is a true, correct and complete listing of all Obsidian Contracts pursuant to which any Obsidian IP Rights are licensed to Obsidian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Obsidian’s or its Subsidiaries’ products or services, (B) any Intellectual Property licensed on a non-exclusive basis ancillary to the purchase or use of equipment, reagents or other materials, (C) any confidential information provided under confidentiality agreements and (D) agreements between Obsidian or its Subsidiaries and their respective employees in Obsidian’s standard form thereof). To the Knowledge of Obsidian, each Obsidian Contract listed in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Obsidian Disclosure Schedule is in full force and effect and constitutes a legal, valid, and binding obligation of Obsidian, its Subsidiaries and each other party thereto, and is enforceable against Obsidian, its Subsidiaries and each other party thereto in accordance with its terms. To the Knowledge of Obsidian, neither Obsidian, its Subsidiaries, nor, to the Knowledge of Obsidian, any other party to any Obsidian Contract listed in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Obsidian Disclosure Schedule has been or is, or has been or is alleged to be, in material default under, or has provided or received any notice of breach under, or intention to terminate (including by non-renewal), any Obsidian Contract listed in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Obsidian Disclosure Schedule, except as would not reasonably be expected to have, individually or in the aggregate, an Obsidian Material Adverse Effect.</w:t>
      </w:r>
    </w:p>
    <w:p>
      <w:pPr>
        <w:spacing w:after="0" w:line="187" w:lineRule="exact"/>
        <w:rPr>
          <w:rFonts w:ascii="Times New Roman" w:cs="Times New Roman" w:eastAsia="Times New Roman" w:hAnsi="Times New Roman"/>
          <w:sz w:val="18"/>
          <w:szCs w:val="18"/>
          <w:color w:val="auto"/>
        </w:rPr>
      </w:pPr>
    </w:p>
    <w:p>
      <w:pPr>
        <w:jc w:val="both"/>
        <w:ind w:left="120" w:right="180" w:firstLine="436"/>
        <w:spacing w:after="0" w:line="272" w:lineRule="auto"/>
        <w:tabs>
          <w:tab w:leader="none" w:pos="805"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3.12(c)</w:t>
      </w:r>
      <w:r>
        <w:rPr>
          <w:rFonts w:ascii="Times New Roman" w:cs="Times New Roman" w:eastAsia="Times New Roman" w:hAnsi="Times New Roman"/>
          <w:sz w:val="17"/>
          <w:szCs w:val="17"/>
          <w:color w:val="auto"/>
        </w:rPr>
        <w:t xml:space="preserve"> of the Obsidian Disclosure Schedule is a true, correct and complete listing of each Obsidian Contract pursuant to which any Person has been granted any license, sublicense, option or covenant not to sue under, or otherwise has received or acquired any right (whether or not currently exercisable) or interest in, any Obsidian IP Rights (other than (i) any confidential information provided under confidentiality agreements and</w:t>
      </w:r>
    </w:p>
    <w:p>
      <w:pPr>
        <w:spacing w:after="0" w:line="1" w:lineRule="exact"/>
        <w:rPr>
          <w:rFonts w:ascii="Times New Roman" w:cs="Times New Roman" w:eastAsia="Times New Roman" w:hAnsi="Times New Roman"/>
          <w:sz w:val="17"/>
          <w:szCs w:val="17"/>
          <w:color w:val="auto"/>
        </w:rPr>
      </w:pPr>
    </w:p>
    <w:p>
      <w:pPr>
        <w:ind w:left="120" w:right="60" w:hanging="4"/>
        <w:spacing w:after="0" w:line="252" w:lineRule="auto"/>
        <w:tabs>
          <w:tab w:leader="none" w:pos="38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Obsidian IP Rights non-exclusively licensed to academic collaborators, suppliers or service providers for the sole purpose of enabling such academic collaborator, supplier or service providers to provide services for Obsidian’s or its Subsidiaries’ benefit). To the Knowledge of Obsidian, each Obsidian Contract listed in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color w:val="auto"/>
        </w:rPr>
        <w:t xml:space="preserve"> of the Obsidian Disclosure Schedule is in full force and effect and constitutes a legal, valid, and binding obligation of Obsidian, its Subsidiaries and each other party thereto, and is enforceable against Obsidian, its Subsidiaries and each other party thereto in accordance with its terms. Neither Obsidian, its Subsidiaries nor, to the Knowledge of Obsidian, any other party to any Obsidian Contract listed in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color w:val="auto"/>
        </w:rPr>
        <w:t xml:space="preserve"> of the Obsidian Disclosure Schedule has provided or received any written notice of breach under, or intention to terminate (including by non-renewal), any Obsidian Contract listed in </w:t>
      </w:r>
      <w:r>
        <w:rPr>
          <w:rFonts w:ascii="Times New Roman" w:cs="Times New Roman" w:eastAsia="Times New Roman" w:hAnsi="Times New Roman"/>
          <w:sz w:val="18"/>
          <w:szCs w:val="18"/>
          <w:u w:val="single" w:color="auto"/>
          <w:color w:val="auto"/>
        </w:rPr>
        <w:t>Section 3.12(c)</w:t>
      </w:r>
      <w:r>
        <w:rPr>
          <w:rFonts w:ascii="Times New Roman" w:cs="Times New Roman" w:eastAsia="Times New Roman" w:hAnsi="Times New Roman"/>
          <w:sz w:val="18"/>
          <w:szCs w:val="18"/>
          <w:color w:val="auto"/>
        </w:rPr>
        <w:t xml:space="preserve"> of the Obsidian Disclosure Schedule.</w:t>
      </w:r>
    </w:p>
    <w:p>
      <w:pPr>
        <w:spacing w:after="0" w:line="188" w:lineRule="exact"/>
        <w:rPr>
          <w:rFonts w:ascii="Times New Roman" w:cs="Times New Roman" w:eastAsia="Times New Roman" w:hAnsi="Times New Roman"/>
          <w:sz w:val="18"/>
          <w:szCs w:val="18"/>
          <w:color w:val="auto"/>
        </w:rPr>
      </w:pPr>
    </w:p>
    <w:p>
      <w:pPr>
        <w:ind w:left="120" w:right="180" w:firstLine="436"/>
        <w:spacing w:after="0" w:line="282" w:lineRule="auto"/>
        <w:tabs>
          <w:tab w:leader="none" w:pos="81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identified on </w:t>
      </w:r>
      <w:r>
        <w:rPr>
          <w:rFonts w:ascii="Times New Roman" w:cs="Times New Roman" w:eastAsia="Times New Roman" w:hAnsi="Times New Roman"/>
          <w:sz w:val="18"/>
          <w:szCs w:val="18"/>
          <w:u w:val="single" w:color="auto"/>
          <w:color w:val="auto"/>
        </w:rPr>
        <w:t>Section 3.12(d)</w:t>
      </w:r>
      <w:r>
        <w:rPr>
          <w:rFonts w:ascii="Times New Roman" w:cs="Times New Roman" w:eastAsia="Times New Roman" w:hAnsi="Times New Roman"/>
          <w:sz w:val="18"/>
          <w:szCs w:val="18"/>
          <w:color w:val="auto"/>
        </w:rPr>
        <w:t xml:space="preserve"> of the Obsidian Disclosure Schedule, neither Obsidian nor any of its Subsidiaries is bound by, and no Obsidian Owned IP Rights are subject to, and to the Knowledge of Obsidian,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4" w:right="459" w:bottom="1440" w:gutter="0" w:footer="0" w:header="0"/>
        </w:sectPr>
      </w:pPr>
    </w:p>
    <w:bookmarkStart w:id="502" w:name="page503"/>
    <w:bookmarkEnd w:id="5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no Obsidian Licensed IP Rights are subject to, any Contract containing any covenant or other provision that in any way limits or restricts the ability of Obsidian or any of its Subsidiaries to use, exploit, assert, or enforce any Obsidian IP Rights anywhere in the world.</w:t>
      </w:r>
    </w:p>
    <w:p>
      <w:pPr>
        <w:spacing w:after="0" w:line="162" w:lineRule="exact"/>
        <w:rPr>
          <w:sz w:val="20"/>
          <w:szCs w:val="20"/>
          <w:color w:val="auto"/>
        </w:rPr>
      </w:pPr>
    </w:p>
    <w:p>
      <w:pPr>
        <w:ind w:left="120" w:right="20" w:firstLine="436"/>
        <w:spacing w:after="0" w:line="254" w:lineRule="auto"/>
        <w:tabs>
          <w:tab w:leader="none" w:pos="80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Obsidian or one of its Subsidiaries exclusively owns all right, title, and interest to and in the Obsidian IP Rights (other than (A) Obsidian Licensed IP Rights, or co-owned rights each as identified in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Obsidian Disclosure Schedule, and (B) any non-customized software that (1) is licensed to Obsidian or its Subsidiaries solely in executable or object code form pursuant to a nonexclusive, internal use software license and other Intellectual Property associated with such software and (2) is not incorporated into, or material to the development, manufacturing, or distribution of, any of Obsidian’s or its Subsidiaries’ products or services, (ii) all Obsidian Owned IP Rights and, to the Knowledge of Obsidian, other Obsidian IP Rights that are exclusively licensed to Obsidian are free and clear of any Encumbrances (other than Permitted Encumbrances) and (iii) Obsidian owns, or has a valid and enforceable right pursuant to a binding written Contract to use, all material Obsidian IP Rights currently used or practiced by Obsidian. Without limiting the generality of the foregoing:</w:t>
      </w:r>
    </w:p>
    <w:p>
      <w:pPr>
        <w:spacing w:after="0" w:line="83" w:lineRule="exact"/>
        <w:rPr>
          <w:rFonts w:ascii="Times New Roman" w:cs="Times New Roman" w:eastAsia="Times New Roman" w:hAnsi="Times New Roman"/>
          <w:sz w:val="18"/>
          <w:szCs w:val="18"/>
          <w:color w:val="auto"/>
        </w:rPr>
      </w:pPr>
    </w:p>
    <w:p>
      <w:pPr>
        <w:ind w:left="560" w:right="100" w:firstLine="419"/>
        <w:spacing w:after="0" w:line="255" w:lineRule="auto"/>
        <w:tabs>
          <w:tab w:leader="none" w:pos="1198"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Obsidian, all documents and instruments necessary to register or apply for or renew registration of Obsidian Registered IP owned by Obsidian, and all documents and instruments necessary to register or apply for or renew registration of Obsidian Registered IP exclusively licensed to Obsidian, have been validly executed, delivered, and filed in a timely manner with the appropriate Governmental Authority. To the Knowledge of Obsidian, Obsidian has filed all statements of use and paid all renewal and maintenance fees, annuities and other fees with respect to the Obsidian Registered IP owned by Obsidian that are due or payable as of the date of this Agreement, and to the Knowledge of Obsidian, all documents and instruments necessary to register or apply for or renew registration of Obsidian Registered IP exclusively licensed to Obsidian.</w:t>
      </w:r>
    </w:p>
    <w:p>
      <w:pPr>
        <w:spacing w:after="0" w:line="80" w:lineRule="exact"/>
        <w:rPr>
          <w:rFonts w:ascii="Times New Roman" w:cs="Times New Roman" w:eastAsia="Times New Roman" w:hAnsi="Times New Roman"/>
          <w:sz w:val="18"/>
          <w:szCs w:val="18"/>
          <w:color w:val="auto"/>
        </w:rPr>
      </w:pPr>
    </w:p>
    <w:p>
      <w:pPr>
        <w:ind w:left="560" w:right="80" w:firstLine="419"/>
        <w:spacing w:after="0" w:line="256" w:lineRule="auto"/>
        <w:tabs>
          <w:tab w:leader="none" w:pos="1248"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instances that would not reasonably be expected to have, individually or in the aggregate, an Obsidian Material Adverse Effect, to the Knowledge of Obsidian each Person who is or was an employee, contractor or consultant of Obsidian or any of its Subsidiaries and who is or was involved in the creation, discovery, reduction to practice or development of any Intellectual Property for Obsidian or any of its Subsidiaries has signed a valid, enforceable written agreement containing a present assignment of all right, title and interest in and to such Intellectual Property to Obsidian or such Subsidiary and confidentiality provisions protecting trade secrets and confidential information of Obsidian and its Subsidiaries.</w:t>
      </w:r>
    </w:p>
    <w:p>
      <w:pPr>
        <w:spacing w:after="0" w:line="79" w:lineRule="exact"/>
        <w:rPr>
          <w:rFonts w:ascii="Times New Roman" w:cs="Times New Roman" w:eastAsia="Times New Roman" w:hAnsi="Times New Roman"/>
          <w:sz w:val="18"/>
          <w:szCs w:val="18"/>
          <w:color w:val="auto"/>
        </w:rPr>
      </w:pPr>
    </w:p>
    <w:p>
      <w:pPr>
        <w:ind w:left="560" w:firstLine="419"/>
        <w:spacing w:after="0" w:line="256" w:lineRule="auto"/>
        <w:tabs>
          <w:tab w:leader="none" w:pos="1298"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Obsidian, no current or former member, officer, director, or employee of Obsidian or any of its Subsidiaries has any claim, right (whether or not currently exercisable), or interest to or in any Obsidian IP Rights purported to be owned by Obsidian. To the Knowledge of Obsidian, no employee of Obsidian or any of its Subsidiaries is (A) bound by or otherwise subject to any Contract restricting him or her from performing his or her duties for Obsidian or such Subsidiary or (B) in breach of any Contract with any former employer or other Person concerning Obsidian IP Rights purported to be owned by Obsidian or such Subsidiary or confidentiality provisions protecting trade secrets and confidential information comprising Obsidian IP Rights purported to be owned by Obsidian or such Subsidiary.</w:t>
      </w:r>
    </w:p>
    <w:p>
      <w:pPr>
        <w:spacing w:after="0" w:line="79" w:lineRule="exact"/>
        <w:rPr>
          <w:rFonts w:ascii="Times New Roman" w:cs="Times New Roman" w:eastAsia="Times New Roman" w:hAnsi="Times New Roman"/>
          <w:sz w:val="18"/>
          <w:szCs w:val="18"/>
          <w:color w:val="auto"/>
        </w:rPr>
      </w:pPr>
    </w:p>
    <w:p>
      <w:pPr>
        <w:ind w:left="560" w:firstLine="419"/>
        <w:spacing w:after="0" w:line="256" w:lineRule="auto"/>
        <w:tabs>
          <w:tab w:leader="none" w:pos="1288"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identified on </w:t>
      </w:r>
      <w:r>
        <w:rPr>
          <w:rFonts w:ascii="Times New Roman" w:cs="Times New Roman" w:eastAsia="Times New Roman" w:hAnsi="Times New Roman"/>
          <w:sz w:val="18"/>
          <w:szCs w:val="18"/>
          <w:u w:val="single" w:color="auto"/>
          <w:color w:val="auto"/>
        </w:rPr>
        <w:t>Section 3.12(e)(iv)</w:t>
      </w:r>
      <w:r>
        <w:rPr>
          <w:rFonts w:ascii="Times New Roman" w:cs="Times New Roman" w:eastAsia="Times New Roman" w:hAnsi="Times New Roman"/>
          <w:sz w:val="18"/>
          <w:szCs w:val="18"/>
          <w:color w:val="auto"/>
        </w:rPr>
        <w:t xml:space="preserve"> of the Obsidian Disclosure Schedule, no funding, facilities, or personnel of any Governmental Authority were used, directly or indirectly, to develop or create, in whole or in part, any Obsidian Owned IP Rights, or, to the Knowledge of Obsidian, any Obsidian Licensed IP Rights. Except as identified on </w:t>
      </w:r>
      <w:r>
        <w:rPr>
          <w:rFonts w:ascii="Times New Roman" w:cs="Times New Roman" w:eastAsia="Times New Roman" w:hAnsi="Times New Roman"/>
          <w:sz w:val="18"/>
          <w:szCs w:val="18"/>
          <w:u w:val="single" w:color="auto"/>
          <w:color w:val="auto"/>
        </w:rPr>
        <w:t>Section 3.12(e)(iv)</w:t>
      </w:r>
      <w:r>
        <w:rPr>
          <w:rFonts w:ascii="Times New Roman" w:cs="Times New Roman" w:eastAsia="Times New Roman" w:hAnsi="Times New Roman"/>
          <w:sz w:val="18"/>
          <w:szCs w:val="18"/>
          <w:color w:val="auto"/>
        </w:rPr>
        <w:t xml:space="preserve"> of the Obsidian Disclosure Schedule, to the Knowledge of Obsidian, no Governmental Authority has any right to (including any “step-in” or “march-in” rights with respect to), ownership of, commercialization of, or right to royalties or other payments for any Obsidian Owned IP Rights, or, to the Knowledge of Obsidian, any Obsidian Licensed IP Rights.</w:t>
      </w:r>
    </w:p>
    <w:p>
      <w:pPr>
        <w:spacing w:after="0" w:line="79" w:lineRule="exact"/>
        <w:rPr>
          <w:rFonts w:ascii="Times New Roman" w:cs="Times New Roman" w:eastAsia="Times New Roman" w:hAnsi="Times New Roman"/>
          <w:sz w:val="18"/>
          <w:szCs w:val="18"/>
          <w:color w:val="auto"/>
        </w:rPr>
      </w:pPr>
    </w:p>
    <w:p>
      <w:pPr>
        <w:ind w:left="560" w:right="200" w:firstLine="419"/>
        <w:spacing w:after="0" w:line="312" w:lineRule="auto"/>
        <w:tabs>
          <w:tab w:leader="none" w:pos="1238" w:val="left"/>
        </w:tabs>
        <w:numPr>
          <w:ilvl w:val="1"/>
          <w:numId w:val="2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Obsidian and each of its Subsidiaries has taken reasonable steps to maintain the confidentiality of and otherwise protect, maintain and enforce its rights in all proprietary information that Obsidian or such Subsidiary holds, or purports to hold, as confidential or a trade secret.</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060"/>
          </w:cols>
          <w:pgMar w:left="320" w:top="454" w:right="519" w:bottom="1440" w:gutter="0" w:footer="0" w:header="0"/>
        </w:sectPr>
      </w:pPr>
    </w:p>
    <w:bookmarkStart w:id="503" w:name="page504"/>
    <w:bookmarkEnd w:id="5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firstLine="419"/>
        <w:spacing w:after="0" w:line="282" w:lineRule="auto"/>
        <w:tabs>
          <w:tab w:leader="none" w:pos="128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Obsidian nor any of its Subsidiaries has assigned or otherwise transferred ownership of, or agreed to assign or otherwise transfer ownership of, any Obsidian IP Rights to any other Person.</w:t>
      </w:r>
    </w:p>
    <w:p>
      <w:pPr>
        <w:spacing w:after="0" w:line="53" w:lineRule="exact"/>
        <w:rPr>
          <w:rFonts w:ascii="Times New Roman" w:cs="Times New Roman" w:eastAsia="Times New Roman" w:hAnsi="Times New Roman"/>
          <w:sz w:val="18"/>
          <w:szCs w:val="18"/>
          <w:color w:val="auto"/>
        </w:rPr>
      </w:pPr>
    </w:p>
    <w:p>
      <w:pPr>
        <w:ind w:left="560" w:firstLine="419"/>
        <w:spacing w:after="0" w:line="256" w:lineRule="auto"/>
        <w:tabs>
          <w:tab w:leader="none" w:pos="133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Obsidian, each item of Obsidian IP Right has been duly maintained and is not expired, abandoned or cancelled. To the Knowledge of Obsidian, each of the Patents included in the Obsidian IP Rights identifies each and every inventor of the claims thereof as determined in accordance with the applicable laws of the jurisdiction in which such Patent is issued or pending. To the Knowledge of Obsidian, each of Obsidian and its Subsidiaries and their respective patent counsel have complied with its duty of candor and disclosure and have made no material misrepresentations in the filings submitted to the applicable Governmental Authorities with respect to all Patents included in the Obsidian IP Rights for which Obsidian or any of its Subsidiaries is responsible for prosecuting.</w:t>
      </w:r>
    </w:p>
    <w:p>
      <w:pPr>
        <w:spacing w:after="0" w:line="79" w:lineRule="exact"/>
        <w:rPr>
          <w:rFonts w:ascii="Times New Roman" w:cs="Times New Roman" w:eastAsia="Times New Roman" w:hAnsi="Times New Roman"/>
          <w:sz w:val="18"/>
          <w:szCs w:val="18"/>
          <w:color w:val="auto"/>
        </w:rPr>
      </w:pPr>
    </w:p>
    <w:p>
      <w:pPr>
        <w:jc w:val="both"/>
        <w:ind w:left="560" w:right="360" w:firstLine="419"/>
        <w:spacing w:after="0" w:line="266" w:lineRule="auto"/>
        <w:tabs>
          <w:tab w:leader="none" w:pos="1388"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Obsidian, the Obsidian IP Rights constitute all Intellectual Property material to or necessary for Obsidian to conduct its business as currently conducted or currently proposed to be conducted as of the date hereof; provided, however, that the foregoing representation is not a representation with respect to non-infringement of Intellectual Property.</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has delivered, or made available to Galera, a complete and accurate copy of all material Obsidian IP Rights Agreements.</w:t>
      </w:r>
    </w:p>
    <w:p>
      <w:pPr>
        <w:spacing w:after="0" w:line="225" w:lineRule="exact"/>
        <w:rPr>
          <w:rFonts w:ascii="Times New Roman" w:cs="Times New Roman" w:eastAsia="Times New Roman" w:hAnsi="Times New Roman"/>
          <w:sz w:val="18"/>
          <w:szCs w:val="18"/>
          <w:color w:val="auto"/>
        </w:rPr>
      </w:pPr>
    </w:p>
    <w:p>
      <w:pPr>
        <w:ind w:left="120" w:right="100" w:firstLine="436"/>
        <w:spacing w:after="0" w:line="254" w:lineRule="auto"/>
        <w:tabs>
          <w:tab w:leader="none" w:pos="81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Obsidian, the conduct of the business of Obsidian as has been conducted since January 1, 2023 and as is currently being conducted, including the manufacture, marketing, offering for sale, sale, importation, use or intended use or other disposal of any product as currently sold or under development by Obsidian (i) has not violated, and does not presently violate, any license or agreement between Obsidian or its Subsidiaries and any Person in any material respect, and, (ii) to the Knowledge of Obsidian, has not infringed, misappropriated or otherwise violated, and does not infringe, misappropriate or otherwise violate, any valid and issued Patents or other Intellectual Property of any other Person, which infringement would reasonably be expected to have an Obsidian Material Adverse Effect. To the Knowledge of Obsidian, since January 1, 2023, no Person has engaged in the unauthorized use of, or has infringed, misappropriated or otherwise violated any Patents within the Obsidian IP Rights, or otherwise violating any Obsidian IP Rights Agreement.</w:t>
      </w:r>
    </w:p>
    <w:p>
      <w:pPr>
        <w:spacing w:after="0" w:line="191" w:lineRule="exact"/>
        <w:rPr>
          <w:rFonts w:ascii="Times New Roman" w:cs="Times New Roman" w:eastAsia="Times New Roman" w:hAnsi="Times New Roman"/>
          <w:sz w:val="18"/>
          <w:szCs w:val="18"/>
          <w:color w:val="auto"/>
        </w:rPr>
      </w:pPr>
    </w:p>
    <w:p>
      <w:pPr>
        <w:ind w:left="120" w:right="40" w:firstLine="436"/>
        <w:spacing w:after="0" w:line="254" w:lineRule="auto"/>
        <w:tabs>
          <w:tab w:leader="none" w:pos="81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and since January 1, 2023, neither Obsidian nor any of its Subsidiaries is or has been a party to any, or is the subject of any pending or, to the Knowledge of Obsidian, threatened in writing, Legal Proceeding (including, but not limited to, opposition, interference or other proceeding in any patent or other government office) contesting the validity, enforceability, ownership or right to use, sell, offer for sale, license or dispose of any Obsidian IP Rights. None of the Obsidian Owned IP Rights, and to the Knowledge of Obsidian, any Obsidian Licensed IP Rights, have been adjudged invalid or unenforceable in whole or part, and all Obsidian Owned IP Rights, and to the Knowledge of Obsidian, all Obsidian Licensed IP Rights, are in full force and effect. Neither Obsidian nor any of its Subsidiaries have received any written notice asserting that any Obsidian IP Rights or the proposed use, sale, offer for sale, license or disposition of products, methods, or processes claimed or covered thereunder infringes or misappropriates or violates the rights of any other Person or that Obsidian or any of its Subsidiaries have otherwise infringed, misappropriated or otherwise violated any Intellectual Property of any Person.</w:t>
      </w:r>
    </w:p>
    <w:p>
      <w:pPr>
        <w:spacing w:after="0" w:line="188"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77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Obsidian, no trademark (whether registered or unregistered) or trade name owned, used, or applied for by Obsidian conflicts or interferes with any trademark (whether registered or unregistered) or trade name owned, used, or applied for by any other Person except as would not have an Obsidian Material Adverse Effect. To the Knowledge of Obsidian, none of the goodwill associated with or inherent in any trademark (whether registered or unregistered) in which Obsidian or its Subsidiaries has or purports to have an ownership interest has been impaired as determined by Obsidian in accordance with GAAP. </w:t>
      </w:r>
      <w:r>
        <w:rPr>
          <w:rFonts w:ascii="Times New Roman" w:cs="Times New Roman" w:eastAsia="Times New Roman" w:hAnsi="Times New Roman"/>
          <w:sz w:val="18"/>
          <w:szCs w:val="18"/>
          <w:u w:val="single" w:color="auto"/>
          <w:color w:val="auto"/>
        </w:rPr>
        <w:t>Section 3.12(i)</w:t>
      </w:r>
      <w:r>
        <w:rPr>
          <w:rFonts w:ascii="Times New Roman" w:cs="Times New Roman" w:eastAsia="Times New Roman" w:hAnsi="Times New Roman"/>
          <w:sz w:val="18"/>
          <w:szCs w:val="18"/>
          <w:color w:val="auto"/>
        </w:rPr>
        <w:t xml:space="preserve"> of the Obsidian Disclosure Schedule sets forth all material unregistered trademarks included in the Obsidian IP Rights.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4" w:right="459" w:bottom="1440" w:gutter="0" w:footer="0" w:header="0"/>
        </w:sectPr>
      </w:pPr>
    </w:p>
    <w:bookmarkStart w:id="504" w:name="page505"/>
    <w:bookmarkEnd w:id="5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36"/>
        <w:spacing w:after="0" w:line="255" w:lineRule="auto"/>
        <w:tabs>
          <w:tab w:leader="none" w:pos="77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would not reasonably be expected to have an Obsidian Material Adverse Effect, (ii) as may be set forth in </w:t>
      </w:r>
      <w:r>
        <w:rPr>
          <w:rFonts w:ascii="Times New Roman" w:cs="Times New Roman" w:eastAsia="Times New Roman" w:hAnsi="Times New Roman"/>
          <w:sz w:val="18"/>
          <w:szCs w:val="18"/>
          <w:u w:val="single" w:color="auto"/>
          <w:color w:val="auto"/>
        </w:rPr>
        <w:t>Section 3.12(j)</w:t>
      </w:r>
      <w:r>
        <w:rPr>
          <w:rFonts w:ascii="Times New Roman" w:cs="Times New Roman" w:eastAsia="Times New Roman" w:hAnsi="Times New Roman"/>
          <w:sz w:val="18"/>
          <w:szCs w:val="18"/>
          <w:color w:val="auto"/>
        </w:rPr>
        <w:t xml:space="preserve"> of the Obsidian Disclosure Schedule or (iii) as contained in license, distribution or service agreements entered into in the Ordinary Course of Business by Obsidian, to the Knowledge of Obsidian, (A) neither Obsidian nor any of its Subsidiaries is bound by any Contract to indemnify, defend, hold harmless, or reimburse any other Person with respect to any Intellectual Property infringement, misappropriation, or similar claim which is material to Obsidian or any of its Subsidiaries, taken as a whole and (B) neither Obsidian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88" w:lineRule="exact"/>
        <w:rPr>
          <w:rFonts w:ascii="Times New Roman" w:cs="Times New Roman" w:eastAsia="Times New Roman" w:hAnsi="Times New Roman"/>
          <w:sz w:val="18"/>
          <w:szCs w:val="18"/>
          <w:color w:val="auto"/>
        </w:rPr>
      </w:pPr>
    </w:p>
    <w:p>
      <w:pPr>
        <w:ind w:left="120" w:firstLine="436"/>
        <w:spacing w:after="0" w:line="253" w:lineRule="auto"/>
        <w:tabs>
          <w:tab w:leader="none" w:pos="81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and delivery of this Agreement, the consummation of the transactions contemplated hereby or the performance by Obsidian of its obligations hereunder conflict or will conflict with, alter or impair any of Obsidian’s rights in, to and under any material Obsidian IP Rights or the validity, enforceability, priority, scope or duration of any material Obsidian IP Rights. Without limiting the foregoing, to the Knowledge of Obsidian, neither Obsidian nor any of its Subsidiaries is party to any Contract that, as a result of such execution, delivery and performance of this Agreement, will (i) cause the grant, assignment, or transfer to any other Person of any license or other right to or in any Obsidian IP Rights, (ii) result in breach of, default under or termination of such Contract with respect to any Obsidian IP Rights, (iii) alter, encumber, impair or extinguish, or result in any Encumbrance with respect to the right of Obsidian or the Surviving Corporation and its Subsidiaries to use, sell or license or enforce any Obsidian IP Rights or portion thereof, or (iv) result in Obsidian or any of its Subsidiaries being bound by or subject to any exclusivity obligations, non-compete or other restrictions on the operation or scope of their respective businesses, or to any obligation to grant any rights in or to any Obsidian IP Rights, except, in each of (i), (ii), (iii) and (iv), for the occurrence of any such grant or impairment that would not individually or in the aggregate, reasonably be expected to result in an Obsidian Material Adverse Effect.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36"/>
        <w:spacing w:after="0" w:line="282" w:lineRule="auto"/>
        <w:tabs>
          <w:tab w:leader="none" w:pos="80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Obsidian Disclosure Schedule lists the following Obsidian Contracts in effect as of the date of this Agreement (each, a “</w:t>
      </w:r>
      <w:r>
        <w:rPr>
          <w:rFonts w:ascii="Times New Roman" w:cs="Times New Roman" w:eastAsia="Times New Roman" w:hAnsi="Times New Roman"/>
          <w:sz w:val="18"/>
          <w:szCs w:val="18"/>
          <w:b w:val="1"/>
          <w:bCs w:val="1"/>
          <w:color w:val="auto"/>
        </w:rPr>
        <w:t>Obsidian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Obsidian Material Contracts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60" w:right="100" w:firstLine="419"/>
        <w:spacing w:after="0" w:line="282" w:lineRule="auto"/>
        <w:tabs>
          <w:tab w:leader="none" w:pos="119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that is a collective bargaining agreement or other agreement or arrangement with any labor union, works council or labor organization;</w:t>
      </w:r>
    </w:p>
    <w:p>
      <w:pPr>
        <w:spacing w:after="0" w:line="53" w:lineRule="exact"/>
        <w:rPr>
          <w:rFonts w:ascii="Times New Roman" w:cs="Times New Roman" w:eastAsia="Times New Roman" w:hAnsi="Times New Roman"/>
          <w:sz w:val="18"/>
          <w:szCs w:val="18"/>
          <w:color w:val="auto"/>
        </w:rPr>
      </w:pPr>
    </w:p>
    <w:p>
      <w:pPr>
        <w:ind w:left="560" w:right="60" w:firstLine="419"/>
        <w:spacing w:after="0" w:line="282" w:lineRule="auto"/>
        <w:tabs>
          <w:tab w:leader="none" w:pos="124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for the employment or engagement of any individual on an employee, consulting or other basis that provides for annual base compensation in excess of $500,000;</w:t>
      </w:r>
    </w:p>
    <w:p>
      <w:pPr>
        <w:spacing w:after="0" w:line="53" w:lineRule="exact"/>
        <w:rPr>
          <w:rFonts w:ascii="Times New Roman" w:cs="Times New Roman" w:eastAsia="Times New Roman" w:hAnsi="Times New Roman"/>
          <w:sz w:val="18"/>
          <w:szCs w:val="18"/>
          <w:color w:val="auto"/>
        </w:rPr>
      </w:pPr>
    </w:p>
    <w:p>
      <w:pPr>
        <w:ind w:left="560" w:firstLine="419"/>
        <w:spacing w:after="0" w:line="282" w:lineRule="auto"/>
        <w:tabs>
          <w:tab w:leader="none" w:pos="129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with any Obsidian Associate that provides for retention, change in control, transaction or other similar payments or benefits, whether or not payable as a result of the Contemplated Transactions;</w:t>
      </w:r>
    </w:p>
    <w:p>
      <w:pPr>
        <w:spacing w:after="0" w:line="5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relating to any agreement of indemnification or guaranty not entered into in the Ordinary Course of Business;</w:t>
      </w:r>
    </w:p>
    <w:p>
      <w:pPr>
        <w:spacing w:after="0" w:line="117" w:lineRule="exact"/>
        <w:rPr>
          <w:rFonts w:ascii="Times New Roman" w:cs="Times New Roman" w:eastAsia="Times New Roman" w:hAnsi="Times New Roman"/>
          <w:sz w:val="18"/>
          <w:szCs w:val="18"/>
          <w:color w:val="auto"/>
        </w:rPr>
      </w:pPr>
    </w:p>
    <w:p>
      <w:pPr>
        <w:jc w:val="both"/>
        <w:ind w:left="560" w:right="120" w:firstLine="419"/>
        <w:spacing w:after="0" w:line="266" w:lineRule="auto"/>
        <w:tabs>
          <w:tab w:leader="none" w:pos="123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containing (A) any covenant limiting the freedom of Obsidian or any of its Subsidiaries to engage in any line of business or compete with any Person, or limiting the development, manufacture, or distribution of Obsidian’s products or services, (B) any most-favored pricing arrangement, (C) any exclusivity provision or (D) any non-solicitation provision;</w:t>
      </w:r>
    </w:p>
    <w:p>
      <w:pPr>
        <w:spacing w:after="0" w:line="6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(A) pursuant to which any Person granted Obsidian an exclusive license under any Intellectual Property, or</w:t>
      </w:r>
    </w:p>
    <w:p>
      <w:pPr>
        <w:spacing w:after="0" w:line="27" w:lineRule="exact"/>
        <w:rPr>
          <w:sz w:val="20"/>
          <w:szCs w:val="20"/>
          <w:color w:val="auto"/>
        </w:rPr>
      </w:pPr>
    </w:p>
    <w:p>
      <w:pPr>
        <w:ind w:left="840" w:hanging="284"/>
        <w:spacing w:after="0"/>
        <w:tabs>
          <w:tab w:leader="none" w:pos="8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Obsidian granted any Person an exclusive license under any Obsidian IP Rights;</w:t>
      </w:r>
    </w:p>
    <w:p>
      <w:pPr>
        <w:spacing w:after="0" w:line="98"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338"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relating to capital expenditures and requiring payments after the date of this Agreement in excess of $500,000 pursuant to its express terms and not cancelable without penalty;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4" w:right="459" w:bottom="1440" w:gutter="0" w:footer="0" w:header="0"/>
        </w:sectPr>
      </w:pPr>
    </w:p>
    <w:bookmarkStart w:id="505" w:name="page506"/>
    <w:bookmarkEnd w:id="5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firstLine="419"/>
        <w:spacing w:after="0" w:line="282" w:lineRule="auto"/>
        <w:tabs>
          <w:tab w:leader="none" w:pos="138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relating to the disposition or acquisition of material assets or any ownership interest in any Entity, in each case, involving payments in excess of $500,000 after the date of this Agreement;</w:t>
      </w:r>
    </w:p>
    <w:p>
      <w:pPr>
        <w:spacing w:after="0" w:line="53" w:lineRule="exact"/>
        <w:rPr>
          <w:rFonts w:ascii="Times New Roman" w:cs="Times New Roman" w:eastAsia="Times New Roman" w:hAnsi="Times New Roman"/>
          <w:sz w:val="18"/>
          <w:szCs w:val="18"/>
          <w:color w:val="auto"/>
        </w:rPr>
      </w:pPr>
    </w:p>
    <w:p>
      <w:pPr>
        <w:ind w:left="560" w:right="40" w:firstLine="419"/>
        <w:spacing w:after="0" w:line="266" w:lineRule="auto"/>
        <w:tabs>
          <w:tab w:leader="none" w:pos="128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relating to any mortgages, indentures, loans, notes or credit agreements, security agreements or other agreements or instruments relating to the borrowing of money or extension of credit in excess of $500,000 or creating any material Encumbrances with respect to any assets of Obsidian or any loans or debt obligations with officers or directors of Obsidian;</w:t>
      </w:r>
    </w:p>
    <w:p>
      <w:pPr>
        <w:spacing w:after="0" w:line="67" w:lineRule="exact"/>
        <w:rPr>
          <w:rFonts w:ascii="Times New Roman" w:cs="Times New Roman" w:eastAsia="Times New Roman" w:hAnsi="Times New Roman"/>
          <w:sz w:val="18"/>
          <w:szCs w:val="18"/>
          <w:color w:val="auto"/>
        </w:rPr>
      </w:pPr>
    </w:p>
    <w:p>
      <w:pPr>
        <w:ind w:left="560" w:right="40" w:firstLine="419"/>
        <w:spacing w:after="0" w:line="253" w:lineRule="auto"/>
        <w:tabs>
          <w:tab w:leader="none" w:pos="123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requiring payment by or to Obsidian after the date of this Agreement in excess of $500,000 pursuant to its express terms relating to: (A) any distribution agreement (identifying any that contain exclusivity provisions), (B) any agreement involving provision of services or products with respect to any pre-clinical or clinical development activities of Obsidian, (C) any dealer, distributor, joint marketing, alliance, joint venture, cooperation, development or other agreement currently in force under which Obsidian or any of its Subsidiaries has continuing obligations to develop or market any product, technology or service, or any agreement pursuant to which Obsidian or any of its Subsidiaries has continuing obligations to develop any Intellectual Property that will not be owned, in whole or in part, by Obsidian or such Subsidiary or (D) any Contract to license any patent, trademark registration, service mark registration, trade name or copyright registration to or from any third party to manufacture or produce any product, service or technology of Obsidian or any of its Subsidiaries or any Contract to sell, distribute or commercialize any products or service of Obsidian or any of its Subsidiaries, in each case, except for Obsidian Contracts entered into in the Ordinary Course of Business;</w:t>
      </w:r>
    </w:p>
    <w:p>
      <w:pPr>
        <w:spacing w:after="0" w:line="86" w:lineRule="exact"/>
        <w:rPr>
          <w:rFonts w:ascii="Times New Roman" w:cs="Times New Roman" w:eastAsia="Times New Roman" w:hAnsi="Times New Roman"/>
          <w:sz w:val="18"/>
          <w:szCs w:val="18"/>
          <w:color w:val="auto"/>
        </w:rPr>
      </w:pPr>
    </w:p>
    <w:p>
      <w:pPr>
        <w:ind w:left="560" w:right="220" w:firstLine="419"/>
        <w:spacing w:after="0" w:line="282" w:lineRule="auto"/>
        <w:tabs>
          <w:tab w:leader="none" w:pos="128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with any Person, including any financial advisor, broker, finder, investment banker or other Person, providing advisory services to Obsidian in connection with the Contemplated Transactions;</w:t>
      </w:r>
    </w:p>
    <w:p>
      <w:pPr>
        <w:spacing w:after="0" w:line="53" w:lineRule="exact"/>
        <w:rPr>
          <w:rFonts w:ascii="Times New Roman" w:cs="Times New Roman" w:eastAsia="Times New Roman" w:hAnsi="Times New Roman"/>
          <w:sz w:val="18"/>
          <w:szCs w:val="18"/>
          <w:color w:val="auto"/>
        </w:rPr>
      </w:pPr>
    </w:p>
    <w:p>
      <w:pPr>
        <w:ind w:left="560" w:right="20" w:firstLine="419"/>
        <w:spacing w:after="0" w:line="282" w:lineRule="auto"/>
        <w:tabs>
          <w:tab w:leader="none" w:pos="1338"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Contract to which Obsidian or any of its Subsidiaries is a party or by which any of their assets and properties is currently bound, which involves annual obligations of payment by, or annual payments to, Obsidian or such Subsidiary in excess of $500,000;</w:t>
      </w:r>
    </w:p>
    <w:p>
      <w:pPr>
        <w:spacing w:after="0" w:line="53"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Obsidian Real Estate Lease;</w:t>
      </w:r>
    </w:p>
    <w:p>
      <w:pPr>
        <w:spacing w:after="0" w:line="117"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Contract disclosed in or required to be disclosed in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of the Obsidian Disclosure Schedule; or</w:t>
      </w:r>
    </w:p>
    <w:p>
      <w:pPr>
        <w:spacing w:after="0" w:line="117" w:lineRule="exact"/>
        <w:rPr>
          <w:rFonts w:ascii="Times New Roman" w:cs="Times New Roman" w:eastAsia="Times New Roman" w:hAnsi="Times New Roman"/>
          <w:sz w:val="18"/>
          <w:szCs w:val="18"/>
          <w:color w:val="auto"/>
        </w:rPr>
      </w:pPr>
    </w:p>
    <w:p>
      <w:pPr>
        <w:ind w:left="1320" w:hanging="341"/>
        <w:spacing w:after="0"/>
        <w:tabs>
          <w:tab w:leader="none" w:pos="132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Obsidian Contract that is not terminable at will (with no penalty or payment) by Obsidian or any of its Subsidiaries, and</w:t>
      </w:r>
    </w:p>
    <w:p>
      <w:pPr>
        <w:spacing w:after="0" w:line="27" w:lineRule="exact"/>
        <w:rPr>
          <w:rFonts w:ascii="Times New Roman" w:cs="Times New Roman" w:eastAsia="Times New Roman" w:hAnsi="Times New Roman"/>
          <w:sz w:val="18"/>
          <w:szCs w:val="18"/>
          <w:color w:val="auto"/>
        </w:rPr>
      </w:pPr>
    </w:p>
    <w:p>
      <w:pPr>
        <w:jc w:val="both"/>
        <w:ind w:left="560" w:right="360" w:hanging="4"/>
        <w:spacing w:after="0" w:line="265" w:lineRule="auto"/>
        <w:tabs>
          <w:tab w:leader="none" w:pos="855"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involves payment or receipt by Obsidian or such Subsidiary after the date of this Agreement under any such agreement, contract or commitment of more than $500,000 in the aggregate, or obligations after the date of this Agreement in excess of $500,000 in the aggregate or</w:t>
      </w:r>
    </w:p>
    <w:p>
      <w:pPr>
        <w:ind w:left="840" w:hanging="284"/>
        <w:spacing w:after="0"/>
        <w:tabs>
          <w:tab w:leader="none" w:pos="8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material to the business or operations of Obsidian and its Subsidiaries taken as a whole.</w:t>
      </w:r>
    </w:p>
    <w:p>
      <w:pPr>
        <w:spacing w:after="0" w:line="207" w:lineRule="exact"/>
        <w:rPr>
          <w:sz w:val="20"/>
          <w:szCs w:val="20"/>
          <w:color w:val="auto"/>
        </w:rPr>
      </w:pPr>
    </w:p>
    <w:p>
      <w:pPr>
        <w:ind w:left="120" w:firstLine="436"/>
        <w:spacing w:after="0" w:line="254" w:lineRule="auto"/>
        <w:tabs>
          <w:tab w:leader="none" w:pos="815"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has delivered or made available to Galera accurate and complete copies of all Obsidian Material Contracts, including all amendments thereto. There are no Obsidian Material Contracts that are not in written form. Obsidian has not, nor to the Knowledge of Obsidian, as of the date of this Agreement, has any other party to an Obsidian Material Contract, breached, violated or defaulted under, or received notice that it breached, violated or defaulted under, any of the terms or conditions of any Obsidian Material Contract in such manner as would permit any other party to cancel or terminate any such Obsidian Material Contract, or would permit any other party to seek damages which would reasonably be expected to have an Obsidian Material Adverse Effect. As to Obsidian and its Subsidiaries, as of the date of this Agreement, each Obsidian Material Contract is valid, binding, enforceable and in full force and effect, subject to the Enforceability Exceptions. No Person is renegotiating, or has a right pursuant to the terms of any Obsidian Material Contract to change, any material amount paid or payable to Obsidian under any Obsidian Material Contract or any other material term or provision of any Obsidian Material Contract.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4" w:right="459" w:bottom="1440" w:gutter="0" w:footer="0" w:header="0"/>
        </w:sectPr>
      </w:pPr>
    </w:p>
    <w:bookmarkStart w:id="506" w:name="page507"/>
    <w:bookmarkEnd w:id="5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Compliance; Permits;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3" w:lineRule="auto"/>
        <w:tabs>
          <w:tab w:leader="none" w:pos="80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Obsidian and each of its Subsidiaries is, and since January 1, 2023 has been, in material compliance with all applicable Laws, including the Federal Food, Drug, and Cosmetic Act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FDCA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Public Health Service Act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PHSA</w:t>
      </w:r>
      <w:r>
        <w:rPr>
          <w:rFonts w:ascii="Times New Roman" w:cs="Times New Roman" w:eastAsia="Times New Roman" w:hAnsi="Times New Roman"/>
          <w:sz w:val="18"/>
          <w:szCs w:val="18"/>
          <w:color w:val="auto"/>
        </w:rPr>
        <w:t xml:space="preserve">”), Food and Drug Administration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regulations adopted thereunder or any other applicable Law promulgated by the FDA or other Governmental Authority responsible for regulation of the research, development, testing, manufacturing, packaging, processing, storage, labeling, sale, marketing, advertising, distribution and importation or exportation of drug or biologic products (“</w:t>
      </w:r>
      <w:r>
        <w:rPr>
          <w:rFonts w:ascii="Times New Roman" w:cs="Times New Roman" w:eastAsia="Times New Roman" w:hAnsi="Times New Roman"/>
          <w:sz w:val="18"/>
          <w:szCs w:val="18"/>
          <w:b w:val="1"/>
          <w:bCs w:val="1"/>
          <w:color w:val="auto"/>
        </w:rPr>
        <w:t>Drug Regulatory Agency</w:t>
      </w:r>
      <w:r>
        <w:rPr>
          <w:rFonts w:ascii="Times New Roman" w:cs="Times New Roman" w:eastAsia="Times New Roman" w:hAnsi="Times New Roman"/>
          <w:sz w:val="18"/>
          <w:szCs w:val="18"/>
          <w:color w:val="auto"/>
        </w:rPr>
        <w:t>”). No investigation, claim, suit, proceeding, audit, Order, or other action by any Governmental Authority is pending or, to the Knowledge of Obsidian, threatened against Obsidian or any of its Subsidiaries. There is no agreement or Order binding upon Obsidian or any of its Subsidiaries which (i) has or could reasonably be expected to have the effect of prohibiting or materially impairing any business practice of Obsidian or any of its Subsidiaries, any acquisition of material property by Obsidian or any of its Subsidiaries or the conduct of business by Obsidian or any of its Subsidiaries as currently conducted, (ii) is reasonably likely to have an adverse effect on Obsidian’s ability to comply with or perform any covenant or obligation under this Agreement or (iii) is reasonably likely to have the effect of preventing, delaying, making illegal or otherwise interfering with the Contemplated Transactions.</w:t>
      </w:r>
    </w:p>
    <w:p>
      <w:pPr>
        <w:spacing w:after="0" w:line="191" w:lineRule="exact"/>
        <w:rPr>
          <w:rFonts w:ascii="Times New Roman" w:cs="Times New Roman" w:eastAsia="Times New Roman" w:hAnsi="Times New Roman"/>
          <w:sz w:val="18"/>
          <w:szCs w:val="18"/>
          <w:color w:val="auto"/>
        </w:rPr>
      </w:pPr>
    </w:p>
    <w:p>
      <w:pPr>
        <w:ind w:left="120" w:right="160" w:firstLine="436"/>
        <w:spacing w:after="0" w:line="261" w:lineRule="auto"/>
        <w:tabs>
          <w:tab w:leader="none" w:pos="81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Obsidian and its Subsidiaries holds all required Governmental Authorizations that are material to the operation of the business of Obsidian as currently conducted (collectively, the “</w:t>
      </w:r>
      <w:r>
        <w:rPr>
          <w:rFonts w:ascii="Times New Roman" w:cs="Times New Roman" w:eastAsia="Times New Roman" w:hAnsi="Times New Roman"/>
          <w:sz w:val="18"/>
          <w:szCs w:val="18"/>
          <w:b w:val="1"/>
          <w:bCs w:val="1"/>
          <w:color w:val="auto"/>
        </w:rPr>
        <w:t>Obsidian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3.14(b)</w:t>
      </w:r>
      <w:r>
        <w:rPr>
          <w:rFonts w:ascii="Times New Roman" w:cs="Times New Roman" w:eastAsia="Times New Roman" w:hAnsi="Times New Roman"/>
          <w:sz w:val="18"/>
          <w:szCs w:val="18"/>
          <w:color w:val="auto"/>
        </w:rPr>
        <w:t xml:space="preserve"> of the Obsidian Disclosure Schedule identifies each Obsidian Permit. Each of Obsidian and its Subsidiaries is in material compliance with the terms of Obsidian Permits. No Legal Proceeding is pending or, to the Knowledge of Obsidian, threatened, which seeks to revoke, substantially limit, suspend, or materially modify any Obsidian Permit.</w:t>
      </w:r>
    </w:p>
    <w:p>
      <w:pPr>
        <w:spacing w:after="0" w:line="179"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80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pending or, to the Knowledge of Obsidian, threatened in writing with respect to an alleged material violation by Obsidian or any of its Subsidiaries of the FDCA, PHSA and FDA regulations adopted thereunder, the Controlled Substances Act or any other applicable Law promulgated by a Drug Regulatory Agency.</w:t>
      </w:r>
    </w:p>
    <w:p>
      <w:pPr>
        <w:spacing w:after="0" w:line="175" w:lineRule="exact"/>
        <w:rPr>
          <w:rFonts w:ascii="Times New Roman" w:cs="Times New Roman" w:eastAsia="Times New Roman" w:hAnsi="Times New Roman"/>
          <w:sz w:val="18"/>
          <w:szCs w:val="18"/>
          <w:color w:val="auto"/>
        </w:rPr>
      </w:pPr>
    </w:p>
    <w:p>
      <w:pPr>
        <w:ind w:left="120" w:right="40" w:firstLine="436"/>
        <w:spacing w:after="0" w:line="268" w:lineRule="auto"/>
        <w:tabs>
          <w:tab w:leader="none" w:pos="815" w:val="left"/>
        </w:tabs>
        <w:numPr>
          <w:ilvl w:val="1"/>
          <w:numId w:val="2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Obsidian and its Subsidiaries holds all required material Governmental Authorizations issuable by any Drug Regulatory Agency necessary for the conduct of the business of Obsidian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cs="Times New Roman" w:eastAsia="Times New Roman" w:hAnsi="Times New Roman"/>
          <w:sz w:val="17"/>
          <w:szCs w:val="17"/>
          <w:b w:val="1"/>
          <w:bCs w:val="1"/>
          <w:color w:val="auto"/>
        </w:rPr>
        <w:t>Obsidian Product Candidates</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b w:val="1"/>
          <w:bCs w:val="1"/>
          <w:color w:val="auto"/>
        </w:rPr>
        <w:t>Obsidian Regulatory Permits</w:t>
      </w:r>
      <w:r>
        <w:rPr>
          <w:rFonts w:ascii="Times New Roman" w:cs="Times New Roman" w:eastAsia="Times New Roman" w:hAnsi="Times New Roman"/>
          <w:sz w:val="17"/>
          <w:szCs w:val="17"/>
          <w:color w:val="auto"/>
        </w:rPr>
        <w:t>”) and no such Obsidian Regulatory Permit has been (i) revoked, withdrawn, suspended, cancelled or terminated or (ii) modified in any material, adverse manner, in each case (i) and (ii) by a Drug Regulatory Agency. Obsidian has timely maintained and is in compliance in all material respects with the Obsidian Regulatory Permits and neither Obsidian nor any of its Subsidiaries has, since January 1, 2023, received any written notice or other written communication from any Drug Regulatory Agency regarding (A) any material violation of or failure to comply materially with any term or requirement of any Obsidian Regulatory Permit or</w:t>
      </w:r>
    </w:p>
    <w:p>
      <w:pPr>
        <w:ind w:left="400" w:hanging="284"/>
        <w:spacing w:after="0"/>
        <w:tabs>
          <w:tab w:leader="none" w:pos="4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revocation, withdrawal, suspension, cancellation, termination or material modification of any Obsidian Regulatory Permit.</w:t>
      </w:r>
    </w:p>
    <w:p>
      <w:pPr>
        <w:spacing w:after="0" w:line="206" w:lineRule="exact"/>
        <w:rPr>
          <w:rFonts w:ascii="Times New Roman" w:cs="Times New Roman" w:eastAsia="Times New Roman" w:hAnsi="Times New Roman"/>
          <w:sz w:val="18"/>
          <w:szCs w:val="18"/>
          <w:color w:val="auto"/>
        </w:rPr>
      </w:pPr>
    </w:p>
    <w:p>
      <w:pPr>
        <w:ind w:left="120" w:right="40" w:firstLine="436"/>
        <w:spacing w:after="0" w:line="255" w:lineRule="auto"/>
        <w:tabs>
          <w:tab w:leader="none" w:pos="805"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all clinical, pre-clinical and other studies and tests conducted by or, to the Knowledge of Obsidian, on behalf of, or sponsored by, Obsidian or its Subsidiaries, in which Obsidian or its Subsidiaries or their respective product candidates, including the Obsidian Product Candidates, have participated, were and, if still pending, are being conducted in compliance in all material respects with the applicable regulations of the Drug Regulatory Agencies and other applicable Law, including, without limitation, 21 C.F.R. Parts 50, 54, 56, 58 and 312, 45 C.F.R. Part 46, and all other applicable Laws governing informed consent, institutional review boards and the protection of human subjects. Neither Obsidian nor any of its Subsidiaries has received any written notices, correspondence, or other communications from any Drug Regulatory Agency requiring or, to the Knowledge of Obsidian, threatening any action to place a clinical hold order on, or otherwise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00"/>
          </w:cols>
          <w:pgMar w:left="320" w:top="454" w:right="479" w:bottom="1440" w:gutter="0" w:footer="0" w:header="0"/>
        </w:sectPr>
      </w:pPr>
    </w:p>
    <w:bookmarkStart w:id="507" w:name="page508"/>
    <w:bookmarkEnd w:id="5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terminate, delay, or suspend any clinical studies conducted by or on behalf of, or sponsored by, Obsidian or any of its Subsidiaries or in which Obsidian or any of its Subsidiaries or its current product candidates, including the Obsidian Product Candidates, have participated.</w:t>
      </w:r>
    </w:p>
    <w:p>
      <w:pPr>
        <w:spacing w:after="0" w:line="162" w:lineRule="exact"/>
        <w:rPr>
          <w:sz w:val="20"/>
          <w:szCs w:val="20"/>
          <w:color w:val="auto"/>
        </w:rPr>
      </w:pPr>
    </w:p>
    <w:p>
      <w:pPr>
        <w:ind w:left="120" w:firstLine="436"/>
        <w:spacing w:after="0" w:line="252" w:lineRule="auto"/>
        <w:tabs>
          <w:tab w:leader="none" w:pos="78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Obsidian nor any of its Subsidiaries, and, to the Knowledge of Obsidian, any contract manufacturer in relation to its activities with respect to any Obsidian Product Candidate, is the subject of any pending or, to the Knowledge of Obsidian,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Obsidian, neither Obsidian nor any of its Subsidiaries nor any contract manufacturer in relation to its activities with respect to any Obsidian Product Candidate has committed any acts, made any statement, or failed to make any statement, in each case in respect of Obsidian’s business or products that would violate the FDA’s “Fraud, Untrue Statements of Material Facts, Bribery, and Illegal Gratuities” Final Policy, and any amendments thereto, or any other applicable Law. None of Obsidian, any of its Subsidiaries, and to the Knowledge of Obsidian, any contract manufacturer in relation to its activities with respect to any Obsidian Product Candidate, or any of their respective officers, employees or agents has been convicted of any crime or engaged in any conduct that could result in a debarment or exclusion under (i) 21 U.S.C. Section 335a, (ii) 42 U.S.C. § 1320a-7, or (iii) any other applicable Law. To the Knowledge of Obsidian, no debarment or exclusionary claims, actions, proceedings or investigations in respect of Obsidian’s and its Subsidiaries’ business or Obsidian Product Candidates are pending or threatened against Obsidian, any of its Subsidiaries, and to the Knowledge of Obsidian, any contract manufacturer in relation to its activities with respect to any Obsidian Product Candidate, or any of its respective officers, employees or agents. Neither Obsidian nor any of its Subsidiaries is a party to or has any reporting obligations under any corporate integrity agreements, monitoring agreements, deferred or non-prosecution agreements, consent decrees, settlement orders, or similar agreements with or imposed by any Governmental Authority.</w:t>
      </w:r>
    </w:p>
    <w:p>
      <w:pPr>
        <w:spacing w:after="0" w:line="195" w:lineRule="exact"/>
        <w:rPr>
          <w:rFonts w:ascii="Times New Roman" w:cs="Times New Roman" w:eastAsia="Times New Roman" w:hAnsi="Times New Roman"/>
          <w:sz w:val="18"/>
          <w:szCs w:val="18"/>
          <w:color w:val="auto"/>
        </w:rPr>
      </w:pPr>
    </w:p>
    <w:p>
      <w:pPr>
        <w:ind w:left="120" w:right="40" w:firstLine="436"/>
        <w:spacing w:after="0" w:line="281" w:lineRule="auto"/>
        <w:tabs>
          <w:tab w:leader="none" w:pos="815"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manufacturing operations conducted by, or to the Knowledge of Obsidian, for the benefit of, Obsidian or its Subsidiaries in connection with any Obsidian Product Candidate, since January 1, 2023, have been and are being conducted in compliance in all material respects with applicable Laws, including the FDA’s standards for current good manufacturing practices, including applicable requirements contained in 21 C.F.R. Parts 210, 211, 600-680 and 1271 and the applicable respective counterparts thereof promulgated by Governmental Authorities in countries outside the United States.</w:t>
      </w:r>
    </w:p>
    <w:p>
      <w:pPr>
        <w:spacing w:after="0" w:line="164" w:lineRule="exact"/>
        <w:rPr>
          <w:rFonts w:ascii="Times New Roman" w:cs="Times New Roman" w:eastAsia="Times New Roman" w:hAnsi="Times New Roman"/>
          <w:sz w:val="17"/>
          <w:szCs w:val="17"/>
          <w:color w:val="auto"/>
        </w:rPr>
      </w:pPr>
    </w:p>
    <w:p>
      <w:pPr>
        <w:ind w:left="120" w:right="80" w:firstLine="436"/>
        <w:spacing w:after="0" w:line="258" w:lineRule="auto"/>
        <w:tabs>
          <w:tab w:leader="none" w:pos="81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laboratory or manufacturing site owned by Obsidian or its Subsidiaries, and to the Knowledge of Obsidian, no manufacturing site of a contract manufacturer or laboratory, with respect to any Obsidian Product Candidate, (i) is subject to a Drug Regulatory Agency shutdown or import or export prohibition or (ii) has since January 1, 2023 received any unresolved Form FDA 483, notice of violation, warning letter, untitled letter, or similar correspondence or notice from the FDA or other Governmental Authority alleging or asserting material noncompliance with the FDCA, PHSA or any applicable Law, and, to the Knowledge of Obsidian, neither the FDA nor any other Governmental Authority is considering such action.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36"/>
        <w:spacing w:after="0" w:line="261" w:lineRule="auto"/>
        <w:tabs>
          <w:tab w:leader="none" w:pos="80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Legal Proceeding and, to the Knowledge of Obsidian, no Person has threatened in writing to commence any Legal Proceeding: (i) that involves Obsidian or any of its Subsidiaries or any Obsidian Associate (in his or her capacity as such) or any of the material assets owned or used by Obsidian or any of its Subsidiaries or (ii) that challenges, or that may have the effect of preventing, delaying, making illegal or otherwise interfering with, the Contemplated Transactions.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to which Obsidian or any of its Subsidiaries, or any of the material assets owned or used by Obsidian or any of its</w:t>
      </w:r>
    </w:p>
    <w:p>
      <w:pPr>
        <w:spacing w:after="0" w:line="27" w:lineRule="exact"/>
        <w:rPr>
          <w:rFonts w:ascii="Times New Roman" w:cs="Times New Roman" w:eastAsia="Times New Roman" w:hAnsi="Times New Roman"/>
          <w:sz w:val="18"/>
          <w:szCs w:val="18"/>
          <w:color w:val="auto"/>
        </w:rPr>
      </w:pPr>
    </w:p>
    <w:p>
      <w:pPr>
        <w:ind w:left="120"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is subject. To the Knowledge of Obsidian, no officer or other Key Employee of Obsidian or any of its Subsidiaries is subject to any Order that prohibits such officer or employee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4" w:right="459" w:bottom="1440" w:gutter="0" w:footer="0" w:header="0"/>
        </w:sectPr>
      </w:pPr>
    </w:p>
    <w:bookmarkStart w:id="508" w:name="page509"/>
    <w:bookmarkEnd w:id="5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from engaging in or continuing any conduct, activity or practice relating to the business of Obsidian or any of its Subsidiaries or to any material assets owned or used by Obsidian or any of its Subsidiaries.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58" w:lineRule="auto"/>
        <w:tabs>
          <w:tab w:leader="none" w:pos="80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Obsidian and each of its Subsidiaries has timely filed all income Tax Returns and all other material Tax Returns that were required to be filed by or with respect to it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Obsidian or any of its Subsidiaries does not file a particular type of Tax Return that Obsidian or any of its Subsidiaries is subject to taxation by that jurisdiction that would require the filing of such a Tax Return.</w:t>
      </w:r>
    </w:p>
    <w:p>
      <w:pPr>
        <w:spacing w:after="0" w:line="183" w:lineRule="exact"/>
        <w:rPr>
          <w:rFonts w:ascii="Times New Roman" w:cs="Times New Roman" w:eastAsia="Times New Roman" w:hAnsi="Times New Roman"/>
          <w:sz w:val="18"/>
          <w:szCs w:val="18"/>
          <w:color w:val="auto"/>
        </w:rPr>
      </w:pPr>
    </w:p>
    <w:p>
      <w:pPr>
        <w:ind w:left="120" w:right="220" w:firstLine="436"/>
        <w:spacing w:after="0" w:line="258" w:lineRule="auto"/>
        <w:tabs>
          <w:tab w:leader="none" w:pos="81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due and owing by Obsidian and each of its Subsidiaries (whether or not shown on any Tax Return) have been timely paid. The unpaid Taxes of Obsidian and each of its Subsidiaries for periods (or portions thereof) ending on or prior to the date of the Obsidian Balance Sheet do not materially exceed the accruals for current Taxes set forth on the Obsidian Balance Sheet. Since the date of the Obsidian Balance Sheet, neither Obsidian nor any of its Subsidiaries has incurred any material Liability for Taxes outside the Ordinary Course of Business or otherwise inconsistent with past custom and practice.</w:t>
      </w:r>
    </w:p>
    <w:p>
      <w:pPr>
        <w:spacing w:after="0" w:line="183" w:lineRule="exact"/>
        <w:rPr>
          <w:rFonts w:ascii="Times New Roman" w:cs="Times New Roman" w:eastAsia="Times New Roman" w:hAnsi="Times New Roman"/>
          <w:sz w:val="18"/>
          <w:szCs w:val="18"/>
          <w:color w:val="auto"/>
        </w:rPr>
      </w:pPr>
    </w:p>
    <w:p>
      <w:pPr>
        <w:ind w:left="120" w:right="160" w:firstLine="436"/>
        <w:spacing w:after="0" w:line="266" w:lineRule="auto"/>
        <w:tabs>
          <w:tab w:leader="none" w:pos="80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Obsidian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(other Encumbrances described in clause (i) of the definition of “Permitted Encumbrances”) upon any of the assets of Obsidian or any of its Subsidiaries.</w:t>
      </w:r>
    </w:p>
    <w:p>
      <w:pPr>
        <w:spacing w:after="0" w:line="161" w:lineRule="exact"/>
        <w:rPr>
          <w:rFonts w:ascii="Times New Roman" w:cs="Times New Roman" w:eastAsia="Times New Roman" w:hAnsi="Times New Roman"/>
          <w:sz w:val="18"/>
          <w:szCs w:val="18"/>
          <w:color w:val="auto"/>
        </w:rPr>
      </w:pPr>
    </w:p>
    <w:p>
      <w:pPr>
        <w:ind w:left="120" w:firstLine="436"/>
        <w:spacing w:after="0" w:line="258" w:lineRule="auto"/>
        <w:tabs>
          <w:tab w:leader="none" w:pos="80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a material amount of Taxes with respect to Obsidian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Obsidian or any of its Subsidiaries. Neither Obsidian nor any of its Subsidiaries has waived any statute of limitations in respect of material Taxes or agreed to any extension of time with respect to a material Tax assessment or deficiency.</w:t>
      </w:r>
    </w:p>
    <w:p>
      <w:pPr>
        <w:spacing w:after="0" w:line="183"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78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Obsidian nor any of its Subsidiaries is a party to any Tax allocation, Tax sharing or similar agreement (including indemnity arrangements), other than customary indemnification provisions in commercial Contracts entered into in the Ordinary Course of Business with vendors, customers, lenders, or landlords (an “</w:t>
      </w:r>
      <w:r>
        <w:rPr>
          <w:rFonts w:ascii="Times New Roman" w:cs="Times New Roman" w:eastAsia="Times New Roman" w:hAnsi="Times New Roman"/>
          <w:sz w:val="18"/>
          <w:szCs w:val="18"/>
          <w:b w:val="1"/>
          <w:bCs w:val="1"/>
          <w:color w:val="auto"/>
        </w:rPr>
        <w:t>Ordinary Course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20" w:firstLine="436"/>
        <w:spacing w:after="0" w:line="261" w:lineRule="auto"/>
        <w:tabs>
          <w:tab w:leader="none" w:pos="81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Obsidian nor any of its Subsidiaries has been a member of an affiliated group filing a consolidated U.S. federal income Tax Return (other than a group the common parent of which is Obsidian). Neither Obsidian nor any of its Subsidiaries has any material Liability for the Taxes of any Person (other than Obsidian) under Treasury Regulations Section 1.1502-6 (or any similar provision of state, local, or foreign law), as a transferee or successor, or by Contract (other than an Ordinary Course Agreement).</w:t>
      </w:r>
    </w:p>
    <w:p>
      <w:pPr>
        <w:spacing w:after="0" w:line="179" w:lineRule="exact"/>
        <w:rPr>
          <w:rFonts w:ascii="Times New Roman" w:cs="Times New Roman" w:eastAsia="Times New Roman" w:hAnsi="Times New Roman"/>
          <w:sz w:val="18"/>
          <w:szCs w:val="18"/>
          <w:color w:val="auto"/>
        </w:rPr>
      </w:pPr>
    </w:p>
    <w:p>
      <w:pPr>
        <w:ind w:left="120" w:right="320" w:firstLine="436"/>
        <w:spacing w:after="0" w:line="282" w:lineRule="auto"/>
        <w:tabs>
          <w:tab w:leader="none" w:pos="81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Obsidian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61"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77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Obsidian nor any of its Subsidiaries has entered into any transaction identified as a “reportable transaction” for purposes of Treasury Regulations Section 1.6011-4(b)(2).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4" w:right="459" w:bottom="1440" w:gutter="0" w:footer="0" w:header="0"/>
        </w:sectPr>
      </w:pPr>
    </w:p>
    <w:bookmarkStart w:id="509" w:name="page510"/>
    <w:bookmarkEnd w:id="5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36"/>
        <w:spacing w:after="0" w:line="255" w:lineRule="auto"/>
        <w:tabs>
          <w:tab w:leader="none" w:pos="77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Obsidian nor any of its Subsidiaries will be required to include any item of income or gain in, or exclude any item of deduction or loss from, taxable income for any taxable period (or portion thereof) ending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amount, advance payments or deferred revenue received or accrued on or prior to the Closing Date; or (v) intercompany transaction or excess loss amount described in Treasury Regulations under Section 1502 of the Code (or any corresponding or similar provision of state, local or foreign income Tax Law).</w:t>
      </w:r>
    </w:p>
    <w:p>
      <w:pPr>
        <w:spacing w:after="0" w:line="188"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81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3.16(k)</w:t>
      </w:r>
      <w:r>
        <w:rPr>
          <w:rFonts w:ascii="Times New Roman" w:cs="Times New Roman" w:eastAsia="Times New Roman" w:hAnsi="Times New Roman"/>
          <w:sz w:val="18"/>
          <w:szCs w:val="18"/>
          <w:color w:val="auto"/>
        </w:rPr>
        <w:t xml:space="preserve"> of the Obsidian Disclosure Schedule sets forth the entity classification of Obsidian and each of its Subsidiaries for U.S. federal income tax purposes. Neither Obsidian nor any of its Subsidiaries has made an election or taken any other action to change its federal and state income tax classification from such classification.</w:t>
      </w:r>
    </w:p>
    <w:p>
      <w:pPr>
        <w:spacing w:after="0" w:line="175" w:lineRule="exact"/>
        <w:rPr>
          <w:rFonts w:ascii="Times New Roman" w:cs="Times New Roman" w:eastAsia="Times New Roman" w:hAnsi="Times New Roman"/>
          <w:sz w:val="18"/>
          <w:szCs w:val="18"/>
          <w:color w:val="auto"/>
        </w:rPr>
      </w:pPr>
    </w:p>
    <w:p>
      <w:pPr>
        <w:ind w:left="120" w:right="100" w:firstLine="436"/>
        <w:spacing w:after="0" w:line="266" w:lineRule="auto"/>
        <w:tabs>
          <w:tab w:leader="none" w:pos="775"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Obsidian nor any of its Subsidiaries has taken or knowingly failed to take any action, nor to the Knowledge of Obsidian, are there any facts or circumstances, in each case, that would reasonably be expected to prevent or impede the Mergers from qualifying for the Intended Tax Treatment.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Employee and Labor Matters;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36"/>
        <w:spacing w:after="0" w:line="261" w:lineRule="auto"/>
        <w:tabs>
          <w:tab w:leader="none" w:pos="805"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3.17(a)</w:t>
      </w:r>
      <w:r>
        <w:rPr>
          <w:rFonts w:ascii="Times New Roman" w:cs="Times New Roman" w:eastAsia="Times New Roman" w:hAnsi="Times New Roman"/>
          <w:sz w:val="18"/>
          <w:szCs w:val="18"/>
          <w:color w:val="auto"/>
        </w:rPr>
        <w:t xml:space="preserve"> of the Obsidian Disclosure Schedule contains a complete and accurate list of all Obsidian employees as of the date of this Agreement, setting forth for each employee: job title; classification as exempt or non-exempt for wage and hour purposes; annual base salary, hourly rate or other rates of compensation; target bonus opportunity; full-time or part-time status; date of hire; business location; status (i.e., active or inactive and if inactive, the type of leave and estimated duration); and any visa or work permit status and the date of expiration, if applicable.</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81" w:lineRule="auto"/>
        <w:tabs>
          <w:tab w:leader="none" w:pos="815" w:val="left"/>
        </w:tabs>
        <w:numPr>
          <w:ilvl w:val="1"/>
          <w:numId w:val="3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3.17(b)</w:t>
      </w:r>
      <w:r>
        <w:rPr>
          <w:rFonts w:ascii="Times New Roman" w:cs="Times New Roman" w:eastAsia="Times New Roman" w:hAnsi="Times New Roman"/>
          <w:sz w:val="17"/>
          <w:szCs w:val="17"/>
          <w:color w:val="auto"/>
        </w:rPr>
        <w:t xml:space="preserve"> of the Obsidian Disclosure Schedule contains a complete and accurate list of all of the individual independent contractors, consultants, temporary employees, leased employees or other agents employed or used by Obsidian and classified by Obsidian as other than employees, or compensated other than through wages paid by Obsidian through Obsidian’s payroll department (“</w:t>
      </w:r>
      <w:r>
        <w:rPr>
          <w:rFonts w:ascii="Times New Roman" w:cs="Times New Roman" w:eastAsia="Times New Roman" w:hAnsi="Times New Roman"/>
          <w:sz w:val="17"/>
          <w:szCs w:val="17"/>
          <w:b w:val="1"/>
          <w:bCs w:val="1"/>
          <w:color w:val="auto"/>
        </w:rPr>
        <w:t>Obsidian Contingent Workers</w:t>
      </w:r>
      <w:r>
        <w:rPr>
          <w:rFonts w:ascii="Times New Roman" w:cs="Times New Roman" w:eastAsia="Times New Roman" w:hAnsi="Times New Roman"/>
          <w:sz w:val="17"/>
          <w:szCs w:val="17"/>
          <w:color w:val="auto"/>
        </w:rPr>
        <w:t>”), showing for each Obsidian Contingent Worker such individual’s engagement date, role in the business, work location, and fee or compensation arrangements.</w:t>
      </w:r>
    </w:p>
    <w:p>
      <w:pPr>
        <w:spacing w:after="0" w:line="164" w:lineRule="exact"/>
        <w:rPr>
          <w:rFonts w:ascii="Times New Roman" w:cs="Times New Roman" w:eastAsia="Times New Roman" w:hAnsi="Times New Roman"/>
          <w:sz w:val="17"/>
          <w:szCs w:val="17"/>
          <w:color w:val="auto"/>
        </w:rPr>
      </w:pPr>
    </w:p>
    <w:p>
      <w:pPr>
        <w:ind w:left="120" w:right="40" w:firstLine="436"/>
        <w:spacing w:after="0" w:line="261" w:lineRule="auto"/>
        <w:tabs>
          <w:tab w:leader="none" w:pos="805"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Obsidian nor any of its Subsidiaries is a party to, bound by the terms of, or has a duty to bargain under, any collective bargaining agreement or other Contract with a labor union, works council or labor organization representing any Obsidian Associate, and there are no labor unions, works council or labor organizations representing or, to the Knowledge of Obsidian, purporting to represent or seeking to represent any Obsidian Associates, including through the filing of a petition for representation election.</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3.17(d)</w:t>
      </w:r>
      <w:r>
        <w:rPr>
          <w:rFonts w:ascii="Times New Roman" w:cs="Times New Roman" w:eastAsia="Times New Roman" w:hAnsi="Times New Roman"/>
          <w:sz w:val="18"/>
          <w:szCs w:val="18"/>
          <w:color w:val="auto"/>
        </w:rPr>
        <w:t xml:space="preserve"> of the Obsidian Disclosure Schedule lists all material Obsidian Employee Plans.</w:t>
      </w:r>
    </w:p>
    <w:p>
      <w:pPr>
        <w:spacing w:after="0" w:line="22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with respect to each material Obsidian Employee Plan, Obsidian has made available to Galera, true and complete copies of</w:t>
      </w:r>
    </w:p>
    <w:p>
      <w:pPr>
        <w:spacing w:after="0" w:line="27" w:lineRule="exact"/>
        <w:rPr>
          <w:rFonts w:ascii="Times New Roman" w:cs="Times New Roman" w:eastAsia="Times New Roman" w:hAnsi="Times New Roman"/>
          <w:sz w:val="18"/>
          <w:szCs w:val="18"/>
          <w:color w:val="auto"/>
        </w:rPr>
      </w:pPr>
    </w:p>
    <w:p>
      <w:pPr>
        <w:ind w:left="120" w:hanging="4"/>
        <w:spacing w:after="0" w:line="252" w:lineRule="auto"/>
        <w:tabs>
          <w:tab w:leader="none" w:pos="33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document, including all amendments thereto, and in the case of an unwritten Employee Plan, a written description of all material terms thereof, (ii) 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 reports required to be filed with any Governmental Authority (e.g.,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00"/>
          </w:cols>
          <w:pgMar w:left="320" w:top="454" w:right="479" w:bottom="1440" w:gutter="0" w:footer="0" w:header="0"/>
        </w:sectPr>
      </w:pPr>
    </w:p>
    <w:bookmarkStart w:id="510" w:name="page511"/>
    <w:bookmarkEnd w:id="5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61" w:lineRule="auto"/>
        <w:tabs>
          <w:tab w:leader="none" w:pos="78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Obsidian, nothing has occurred that would reasonably be expected to cause the loss of the qualified status of any such Obsidian Employee Plan or the Tax exempt status of any related trust.</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81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Employee Plan has been established, maintained and operated in compliance, in all material respects, with its terms and all applicable Laws, including, without limitation, the Code and ERISA. No Legal Proceeding (other than those relating to routine claims for benefits) is pending or, to the Knowledge of Obsidian, threatened with respect to any Obsidian Employee Plan. All material payments and/or contributions required to have been made with respect to all Obsidian Employee Plans have been made or accrued on the financial statements of Obsidian in accordance with the terms of the applicable Obsidian Employee Plan and applicable Law and neither Obsidian nor any Obsidian ERISA Affiliate has any material Liability for any such unpaid contributions with respect to any Obsidian Employee Plan.</w:t>
      </w:r>
    </w:p>
    <w:p>
      <w:pPr>
        <w:spacing w:after="0" w:line="187" w:lineRule="exact"/>
        <w:rPr>
          <w:rFonts w:ascii="Times New Roman" w:cs="Times New Roman" w:eastAsia="Times New Roman" w:hAnsi="Times New Roman"/>
          <w:sz w:val="18"/>
          <w:szCs w:val="18"/>
          <w:color w:val="auto"/>
        </w:rPr>
      </w:pPr>
    </w:p>
    <w:p>
      <w:pPr>
        <w:ind w:left="120" w:right="100" w:firstLine="436"/>
        <w:spacing w:after="0" w:line="261" w:lineRule="auto"/>
        <w:tabs>
          <w:tab w:leader="none" w:pos="81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Obsidian,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w:t>
      </w:r>
    </w:p>
    <w:p>
      <w:pPr>
        <w:spacing w:after="0" w:line="179"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77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Obsidian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Obsidian Employee Plan is subject to any law of a foreign jurisdiction outside of the United States.</w:t>
      </w:r>
    </w:p>
    <w:p>
      <w:pPr>
        <w:spacing w:after="0" w:line="225" w:lineRule="exact"/>
        <w:rPr>
          <w:rFonts w:ascii="Times New Roman" w:cs="Times New Roman" w:eastAsia="Times New Roman" w:hAnsi="Times New Roman"/>
          <w:sz w:val="18"/>
          <w:szCs w:val="18"/>
          <w:color w:val="auto"/>
        </w:rPr>
      </w:pPr>
    </w:p>
    <w:p>
      <w:pPr>
        <w:ind w:left="120" w:right="160" w:firstLine="436"/>
        <w:spacing w:after="0" w:line="261" w:lineRule="auto"/>
        <w:tabs>
          <w:tab w:leader="none" w:pos="81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Obsidian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Obsidian Associate as a result of the operation of Section 409A of the Code.</w:t>
      </w:r>
    </w:p>
    <w:p>
      <w:pPr>
        <w:spacing w:after="0" w:line="179" w:lineRule="exact"/>
        <w:rPr>
          <w:rFonts w:ascii="Times New Roman" w:cs="Times New Roman" w:eastAsia="Times New Roman" w:hAnsi="Times New Roman"/>
          <w:sz w:val="18"/>
          <w:szCs w:val="18"/>
          <w:color w:val="auto"/>
        </w:rPr>
      </w:pPr>
    </w:p>
    <w:p>
      <w:pPr>
        <w:ind w:left="120" w:right="60" w:firstLine="436"/>
        <w:spacing w:after="0" w:line="254" w:lineRule="auto"/>
        <w:tabs>
          <w:tab w:leader="none" w:pos="77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and its Subsidiaries are, and since January 1, 2023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an Obsidian Material Adverse Effect, there are no, and since January 1, 2023 there have been no, Legal Proceedings pending or, to the Knowledge of Obsidian, threatened against Obsidian or any of its Subsidiaries relating to any labor or employment matters or any Obsidian Associate. Obsidian is not a party to a conciliation agreement, consent decree or other agreement or Order with any federal, state, or local agency or Governmental Authority with respect to employment practices.</w:t>
      </w:r>
    </w:p>
    <w:p>
      <w:pPr>
        <w:spacing w:after="0" w:line="188" w:lineRule="exact"/>
        <w:rPr>
          <w:rFonts w:ascii="Times New Roman" w:cs="Times New Roman" w:eastAsia="Times New Roman" w:hAnsi="Times New Roman"/>
          <w:sz w:val="18"/>
          <w:szCs w:val="18"/>
          <w:color w:val="auto"/>
        </w:rPr>
      </w:pPr>
    </w:p>
    <w:p>
      <w:pPr>
        <w:ind w:left="120" w:right="280" w:firstLine="436"/>
        <w:spacing w:after="0" w:line="261" w:lineRule="auto"/>
        <w:tabs>
          <w:tab w:leader="none" w:pos="865"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(i) Obsidian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Obsidian or any of its Subsidiaries has been under any requirement or obligation to issue any such notification), or (iii) incurred any Liability or obligation under the WARN Act that remains unsatisfied.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080"/>
          </w:cols>
          <w:pgMar w:left="320" w:top="454" w:right="499" w:bottom="1440" w:gutter="0" w:footer="0" w:header="0"/>
        </w:sectPr>
      </w:pPr>
    </w:p>
    <w:bookmarkStart w:id="511" w:name="page512"/>
    <w:bookmarkEnd w:id="5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36"/>
        <w:spacing w:after="0" w:line="266" w:lineRule="auto"/>
        <w:tabs>
          <w:tab w:leader="none" w:pos="815"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there has not been, nor to the Knowledge of Obsidian has there been any threat of, any strike, slowdown, work stoppage, lockout, job action, union, organizing activity, question concerning representation or any similar activity or dispute, affecting Obsidian or its Subsidiaries.</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66" w:lineRule="auto"/>
        <w:tabs>
          <w:tab w:leader="none" w:pos="815"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 agreement, plan or arrangement to which Obsidian or any of its Subsidiaries is a party or by which it is bound to make any payment or compensate any Obsidian Associate for Taxes incurred pursuant to the Code, including, but not limited to, Section 4999 or Section 409A of the Code.</w:t>
      </w:r>
    </w:p>
    <w:p>
      <w:pPr>
        <w:spacing w:after="0" w:line="175" w:lineRule="exact"/>
        <w:rPr>
          <w:rFonts w:ascii="Times New Roman" w:cs="Times New Roman" w:eastAsia="Times New Roman" w:hAnsi="Times New Roman"/>
          <w:sz w:val="18"/>
          <w:szCs w:val="18"/>
          <w:color w:val="auto"/>
        </w:rPr>
      </w:pPr>
    </w:p>
    <w:p>
      <w:pPr>
        <w:ind w:left="120" w:right="100" w:firstLine="436"/>
        <w:spacing w:after="0" w:line="276" w:lineRule="auto"/>
        <w:tabs>
          <w:tab w:leader="none" w:pos="815" w:val="left"/>
        </w:tabs>
        <w:numPr>
          <w:ilvl w:val="1"/>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execution and delivery of this Agreement, the shareholder approval of this Agreement, or the consummation of the Contemplated Transactions (either alone or in conjunction with any other event, including without limitation, a termination of employment) could result in any</w:t>
      </w:r>
    </w:p>
    <w:p>
      <w:pPr>
        <w:ind w:left="120" w:right="60" w:hanging="4"/>
        <w:spacing w:after="0" w:line="253" w:lineRule="auto"/>
        <w:tabs>
          <w:tab w:leader="none" w:pos="33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benefit (including severance, forgiveness of indebtedness or otherwise) becoming due to Obsidian Associate, (ii) increase in any benefits or the compensation payable under any Obsidian Employee Plan, (iii) acceleration of the time of payment, funding or vesting of any such compensation or benefits or any loan forgiveness, (iv) restriction on the right of Obsidian or any of its Subsidiaries or, after the consummation of Contemplated Transactions, the Surviving Corporation, to merge, amend, terminate or transfer any Obsidian Employee Plan, or (v) “parachute payment” (within the meaning of Section 280G of the Code).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Since January 1, 2023, Obsidian and each of its Subsidiaries has complied with all applicable Environmental Laws, which compliance includes the possession by Obsidian of all permits and other Governmental Authorizations required under applicable Environmental Laws and compliance with the terms and conditions thereof, except for any failure to be in compliance that, individually or in the aggregate, would not result in an Obsidian Material Adverse Effect. Neither Obsidian nor any of its Subsidiaries has received since January 1, 2023, any written notice or other communication (in writing or otherwise), whether from a Governmental Authority, citizens group, employee or otherwise, that alleges that Obsidian or any of its Subsidiaries is not in compliance with any Environmental Law, and, to the Knowledge of Obsidian, there are no circumstances that may prevent or interfere with Obsidian’s or any of its Subsidiaries’ compliance with any Environmental Law in the future, except where such failure to comply would not reasonably be expected to have an Obsidian Material Adverse Effect. To the Knowledge of Obsidian: (a) no current or prior owner of any property leased or controlled by Obsidian or any of its Subsidiaries has received since January 1, 2023, any written notice or other communication relating to property owned or leased at any time by Obsidian or any of its Subsidiaries, whether from a Governmental Authority, citizens group, employee or otherwise, that alleges that such current or prior owner or Obsidian or any of its Subsidiaries is not in compliance with or violated any Environmental Law relating to such property and (b) neither Obsidian nor any of its Subsidiaries has any material Liability under any Environmental Law.</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Obsidian has made available to Galera accurate and complete copies of all material insurance policies and all material self-insurance programs and arrangements relating to the business, assets, liabilities and operations of Obsidian and its Subsidiaries. Each of such insurance policies is in full force and effect and Obsidian and its Subsidiaries are in compliance in all material respects with the terms thereof. Other than customary end of policy notifications from insurance carriers, since January 1, 2023, neither Obsidian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Obsidian and its Subsidiaries has provided timely written notice to the appropriate insurance carrier(s) of each Legal Proceeding pending against Obsidian or such Subsidiary for which Obsidian or such Subsidiary has insurance coverage, and no such carrier has issued a denial of coverage or a reservation of rights with respect to any such Legal Proceeding, or informed Obsidian of its intent to do so.</w:t>
      </w:r>
    </w:p>
    <w:p>
      <w:pPr>
        <w:spacing w:after="0" w:line="188"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Obsidian Disclosure Schedule describes any material transactions or relationships, since January 1, 2023, between, on one hand, Obsidian and, on the other hand, any (a) executive officer or director of Obsidian or any of such executive officer’s or director’s immediate family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20"/>
          </w:cols>
          <w:pgMar w:left="320" w:top="454" w:right="459" w:bottom="1440" w:gutter="0" w:footer="0" w:header="0"/>
        </w:sectPr>
      </w:pPr>
    </w:p>
    <w:bookmarkStart w:id="512" w:name="page513"/>
    <w:bookmarkEnd w:id="5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members, (b) owner of more than five percent of the voting power of the outstanding shares of Obsidian Common Stock or (c) to the Knowledge of Obsidian, any “related person” (within the meaning of Item 404 of Regulation S-K under the Securities Act) of any such officer, director or owner (other than Obsidian) in the case of each of (a), (b) or (c) that is of the type that would be required to be disclosed under Item 404 of Regulation S-K under the Securities Act.</w:t>
      </w:r>
    </w:p>
    <w:p>
      <w:pPr>
        <w:spacing w:after="0" w:line="180"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No Financial Advisors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of the Obsidian Disclosure Schedule, no broker, finder or investment banker is entitled to any brokerage fee, finder’s fee, opinion fee, success fee, transaction fee or other fee or commission in connection with the Contemplated Transactions based upon arrangements made by or on behalf of Obsidian.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Privacy and Data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52" w:lineRule="auto"/>
        <w:tabs>
          <w:tab w:leader="none" w:pos="80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and its Subsidiaries have complied with all applicable Privacy Laws and the applicable terms of any Obsidian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Obsidian or any of its Subsidiaries in connection with the operation of Obsidian’s and its Subsidiaries’ business, except for such noncompliance as has not had, and would not reasonably be expected to have, individually or in the aggregate, an Obsidian Material Adverse Effect. To the Knowledge of Obsidian, Obsidian has implemented and maintains reasonable written policies and procedures, satisfying the requirements of applicable Privacy Laws and Obsidian Contracts, concerning the privacy, security, collection and use of Personal Information (the “</w:t>
      </w:r>
      <w:r>
        <w:rPr>
          <w:rFonts w:ascii="Times New Roman" w:cs="Times New Roman" w:eastAsia="Times New Roman" w:hAnsi="Times New Roman"/>
          <w:sz w:val="18"/>
          <w:szCs w:val="18"/>
          <w:b w:val="1"/>
          <w:bCs w:val="1"/>
          <w:color w:val="auto"/>
        </w:rPr>
        <w:t>Obsidian Privacy Policies</w:t>
      </w:r>
      <w:r>
        <w:rPr>
          <w:rFonts w:ascii="Times New Roman" w:cs="Times New Roman" w:eastAsia="Times New Roman" w:hAnsi="Times New Roman"/>
          <w:sz w:val="18"/>
          <w:szCs w:val="18"/>
          <w:color w:val="auto"/>
        </w:rPr>
        <w:t>”) and has complied with the same, except for such noncompliance as has not to the Knowledge of Obsidian had, and would not reasonably be expected to have, individually or in the aggregate, an Obsidian Material Adverse Effect. To the Knowledge of Obsidian, as of the date hereof, no claims have been asserted or threatened against Obsidian by any Person alleging a violation of Privacy Laws, Obsidian Privacy Policies and/or the applicable terms of any Obsidian Contracts relating to privacy, security, collection or use of Personal Information of any individuals and Obsidian has not received written notice of any of the same. To the Knowledge of Obsidian, there have been no data security incidents, personal data breaches or other adverse events or incidents related to Personal Information or Obsidian data in the custody or control of Obsidian or any service provider acting on behalf of Obsidian, in each case where such incident, breach or event would result in a notification obligation to any Person under applicable law or pursuant to the terms of any Obsidian Contract.</w:t>
      </w:r>
    </w:p>
    <w:p>
      <w:pPr>
        <w:spacing w:after="0" w:line="191"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technology assets and equipment of Obsidian and its Subsidiaries (collectively, “</w:t>
      </w:r>
      <w:r>
        <w:rPr>
          <w:rFonts w:ascii="Times New Roman" w:cs="Times New Roman" w:eastAsia="Times New Roman" w:hAnsi="Times New Roman"/>
          <w:sz w:val="18"/>
          <w:szCs w:val="18"/>
          <w:b w:val="1"/>
          <w:bCs w:val="1"/>
          <w:color w:val="auto"/>
        </w:rPr>
        <w:t>Obsidian 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Obsidian and its Subsidiaries as currently conducted, and to the Knowledge of Obsidian, free and clear of all material bugs, errors, defects, Trojan horses, time bombs, malware and other corruptants. Obsidian and its Subsidiaries have implemented and maintain commercially reasonable physical, technical and administrative safeguards to protect Personal Information processed by or on behalf of Obsidian and its Subsidiaries, any other material confidential information and the integrity and security of Obsidian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Obsidian hereby acknowledges and agrees that, except for the representations and warranties contained in this Agreement, neither Galera nor any other person on behalf of Galera makes any express or implied representation or warranty with respect to Galera or with respect to any other information provided to Obsidian, any of its stockholders or any of their respective Affiliates in connection with the Contemplated Transactions, and (subject to the express representations and warranties of Galera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each case as qualified and limited by the Galera Disclosure Schedule)) none of Obsidian, or any of its Representatives or stockholders, has relied on any such information (including the accuracy or completeness thereof).</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4" w:right="459" w:bottom="1440" w:gutter="0" w:footer="0" w:header="0"/>
        </w:sectPr>
      </w:pPr>
    </w:p>
    <w:bookmarkStart w:id="513" w:name="page514"/>
    <w:bookmarkEnd w:id="5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GALERA</w:t>
      </w:r>
    </w:p>
    <w:p>
      <w:pPr>
        <w:spacing w:after="0" w:line="203"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Except (i) as set forth in the written disclosure schedule delivered by Galera to Obsidian (the “</w:t>
      </w:r>
      <w:r>
        <w:rPr>
          <w:rFonts w:ascii="Times New Roman" w:cs="Times New Roman" w:eastAsia="Times New Roman" w:hAnsi="Times New Roman"/>
          <w:sz w:val="18"/>
          <w:szCs w:val="18"/>
          <w:b w:val="1"/>
          <w:bCs w:val="1"/>
          <w:color w:val="auto"/>
        </w:rPr>
        <w:t>Galera Disclosure Schedule</w:t>
      </w:r>
      <w:r>
        <w:rPr>
          <w:rFonts w:ascii="Times New Roman" w:cs="Times New Roman" w:eastAsia="Times New Roman" w:hAnsi="Times New Roman"/>
          <w:sz w:val="18"/>
          <w:szCs w:val="18"/>
          <w:color w:val="auto"/>
        </w:rPr>
        <w:t xml:space="preserve">”) or (ii) as disclosed in the Galera SEC Documents filed with the SEC on or before the day that is one (1) Business Day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Galera SEC Documents shall not be deemed disclosed for purposes of </w:t>
      </w:r>
      <w:r>
        <w:rPr>
          <w:rFonts w:ascii="Times New Roman" w:cs="Times New Roman" w:eastAsia="Times New Roman" w:hAnsi="Times New Roman"/>
          <w:sz w:val="18"/>
          <w:szCs w:val="18"/>
          <w:u w:val="single" w:color="auto"/>
          <w:color w:val="auto"/>
        </w:rPr>
        <w:t>Sections 4.1(a)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Galera represents and warrants to Obsidian as follows: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Due Organization;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8" w:lineRule="auto"/>
        <w:tabs>
          <w:tab w:leader="none" w:pos="80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Galera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All of Galera’s Subsidiaries are directly or indirectly wholly owned by Galera.</w:t>
      </w:r>
    </w:p>
    <w:p>
      <w:pPr>
        <w:spacing w:after="0" w:line="183" w:lineRule="exact"/>
        <w:rPr>
          <w:rFonts w:ascii="Times New Roman" w:cs="Times New Roman" w:eastAsia="Times New Roman" w:hAnsi="Times New Roman"/>
          <w:sz w:val="18"/>
          <w:szCs w:val="18"/>
          <w:color w:val="auto"/>
        </w:rPr>
      </w:pPr>
    </w:p>
    <w:p>
      <w:pPr>
        <w:ind w:left="120" w:right="460" w:firstLine="436"/>
        <w:spacing w:after="0" w:line="261" w:lineRule="auto"/>
        <w:tabs>
          <w:tab w:leader="none" w:pos="815"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Galera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Galera Material Adverse Effect.</w:t>
      </w:r>
    </w:p>
    <w:p>
      <w:pPr>
        <w:spacing w:after="0" w:line="179" w:lineRule="exact"/>
        <w:rPr>
          <w:rFonts w:ascii="Times New Roman" w:cs="Times New Roman" w:eastAsia="Times New Roman" w:hAnsi="Times New Roman"/>
          <w:sz w:val="18"/>
          <w:szCs w:val="18"/>
          <w:color w:val="auto"/>
        </w:rPr>
      </w:pPr>
    </w:p>
    <w:p>
      <w:pPr>
        <w:jc w:val="both"/>
        <w:ind w:left="120" w:right="140" w:firstLine="436"/>
        <w:spacing w:after="0" w:line="272" w:lineRule="auto"/>
        <w:tabs>
          <w:tab w:leader="none" w:pos="805" w:val="left"/>
        </w:tabs>
        <w:numPr>
          <w:ilvl w:val="0"/>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 xml:space="preserve"> of the Galera Disclosure Schedule, Galera has no Subsidiaries and Galera does not directly or indirectly own any capital stock of, or any equity ownership or profit sharing interest of any nature in, or control directly or indirectly, any other Entity. Galera is not and has not otherwise been, directly or indirectly, a party to, member of or participant in any partnership, joint venture or similar business entity.</w:t>
      </w:r>
    </w:p>
    <w:p>
      <w:pPr>
        <w:spacing w:after="0" w:line="1" w:lineRule="exact"/>
        <w:rPr>
          <w:rFonts w:ascii="Times New Roman" w:cs="Times New Roman" w:eastAsia="Times New Roman" w:hAnsi="Times New Roman"/>
          <w:sz w:val="17"/>
          <w:szCs w:val="17"/>
          <w:color w:val="auto"/>
        </w:rPr>
      </w:pPr>
    </w:p>
    <w:p>
      <w:pPr>
        <w:ind w:left="120" w:right="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Galera has not agreed and is not obligated to make, nor is Galera bound by any Contract under which it may become obligated to make, any future investment in or capital contribution to any other Entity. Galera has not, at any time, been a general partner of, and has not otherwise been liable for any of the debts or other obligations of, any general partnership, limited partnership or other Entity.</w:t>
      </w:r>
    </w:p>
    <w:p>
      <w:pPr>
        <w:spacing w:after="0" w:line="186"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Galera has delivered to Obsidian accurate and complete copies of the Organizational Documents of Galera and its Subsidiaries. Neither Galera nor any of its Subsidiaries is in breach or violation of its Organizational Documents in any material respect.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6" w:lineRule="auto"/>
        <w:tabs>
          <w:tab w:leader="none" w:pos="80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Galera and its Subsidiaries has all necessary corporate power and authority to enter into and to perform its obligations under this Agreement and to consummate the Contemplated Transactions. The Galera Board (at meetings duly called and held or by written consent in lieu thereof in accordance with the Organizational Documents of Galera) has: (i) determined that the Contemplated Transactions are fair to, advisable and in the best interests of Galera and its stockholders, (ii) approved and declared advisable this Agreement and the Contemplated Transactions, and (iii) determined to recommend, upon the terms and subject to the conditions set forth in this Agreement, that the stockholders of Galera vote to approve the Galera Merger. This Agreement has been duly executed and delivered by Galera, and assuming the due authorization, execution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00"/>
          </w:cols>
          <w:pgMar w:left="320" w:top="454" w:right="479" w:bottom="1440" w:gutter="0" w:footer="0" w:header="0"/>
        </w:sectPr>
      </w:pPr>
    </w:p>
    <w:bookmarkStart w:id="514" w:name="page515"/>
    <w:bookmarkEnd w:id="5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and delivery by Obsidian, constitutes the legal, valid and binding obligation of Galera, enforceable against Galera, in accordance with its terms, subject to the Enforceability Exceptions.</w:t>
      </w:r>
    </w:p>
    <w:p>
      <w:pPr>
        <w:spacing w:after="0" w:line="162" w:lineRule="exact"/>
        <w:rPr>
          <w:sz w:val="20"/>
          <w:szCs w:val="20"/>
          <w:color w:val="auto"/>
        </w:rPr>
      </w:pPr>
    </w:p>
    <w:p>
      <w:pPr>
        <w:ind w:left="120" w:right="640" w:firstLine="436"/>
        <w:spacing w:after="0" w:line="261" w:lineRule="auto"/>
        <w:tabs>
          <w:tab w:leader="none" w:pos="815"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Board has (i) determined that the Contemplated Transactions are fair to, advisable and in the best interests of Parent and its stockholders, (ii) approved and declared advisable this Agreement and the Contemplated Transactions, including the Stock Issuance, and</w:t>
      </w:r>
    </w:p>
    <w:p>
      <w:pPr>
        <w:ind w:left="440" w:hanging="324"/>
        <w:spacing w:after="0"/>
        <w:tabs>
          <w:tab w:leader="none" w:pos="4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to recommend, upon the terms and subject to the conditions set forth in this Agreement, that the sole stockholder of Parent vote to</w:t>
      </w:r>
    </w:p>
    <w:p>
      <w:pPr>
        <w:spacing w:after="0" w:line="9" w:lineRule="exact"/>
        <w:rPr>
          <w:rFonts w:ascii="Times New Roman" w:cs="Times New Roman" w:eastAsia="Times New Roman" w:hAnsi="Times New Roman"/>
          <w:sz w:val="18"/>
          <w:szCs w:val="18"/>
          <w:color w:val="auto"/>
        </w:rPr>
      </w:pPr>
    </w:p>
    <w:p>
      <w:pPr>
        <w:ind w:left="120" w:right="240" w:hanging="4"/>
        <w:spacing w:after="0" w:line="255" w:lineRule="auto"/>
        <w:tabs>
          <w:tab w:leader="none" w:pos="36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Stock Issuance and (b) adopt this Agreement and thereby approve the Contemplated Transactions. This Agreement has been duly executed and delivered by Parent, and assuming the due authorization, execution and delivery by Galera and Obsidian, constitutes the legal, valid and binding obligation of Parent, enforceable against Parent, in accordance with its terms, subject to the Enforceability Exceptions.</w:t>
      </w:r>
    </w:p>
    <w:p>
      <w:pPr>
        <w:spacing w:after="0" w:line="185" w:lineRule="exact"/>
        <w:rPr>
          <w:rFonts w:ascii="Times New Roman" w:cs="Times New Roman" w:eastAsia="Times New Roman" w:hAnsi="Times New Roman"/>
          <w:sz w:val="18"/>
          <w:szCs w:val="18"/>
          <w:color w:val="auto"/>
        </w:rPr>
      </w:pPr>
    </w:p>
    <w:p>
      <w:pPr>
        <w:ind w:left="120" w:firstLine="436"/>
        <w:spacing w:after="0" w:line="255" w:lineRule="auto"/>
        <w:tabs>
          <w:tab w:leader="none" w:pos="805"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Obsidian Merger Sub Board and the Galera Merger Sub Board has each (i) determined that the Contemplated Transactions are fair to, advisable and in the best interests of its sole stockholder and Obsidian Merger Sub and Galera Merger Sub, respectively, (ii) approved and declared advisable this Agreement and the Contemplated Transactions, and (iii) determined to recommend, upon the terms and subject to the conditions set forth in this Agreement, that the sole stockholder of Obsidian Merger Sub and Galera Merger Sub, respectively, adopt this Agreement and thereby approve the Contemplated Transactions. This Agreement has been duly executed and delivered by Obsidian Merger Sub and Galera Merger Sub, and assuming the due authorization, execution and delivery by Parent, Galera and Obsidian, constitutes the legal, valid and binding obligation of Obsidian Merger Sub and Galera Merger Sub, respectively, enforceable against Parent, in accordance with its terms, subject to the Enforceability Exceptions.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Vote Required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36"/>
        <w:spacing w:after="0" w:line="258" w:lineRule="auto"/>
        <w:tabs>
          <w:tab w:leader="none" w:pos="80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effectiveness of the Annual Meeting Galera Stockholder Vote, the affirmative vote (or written consent) of the holders of a majority of the shares of Galera Common Stock outstanding on the record date for the Galera Stockholder Written Consents (including, for the avoidance of doubt, any issued and outstanding Galera Common Stock after giving effect to the Galera Preferred Stock Conversion) and entitled to vote thereon, voting as a single class, is the only vote (or written consent) of the holders of any class or series of Galera capital stock necessary to adopt and approve this Agreement and approve the Contemplated Transactions (the “</w:t>
      </w:r>
      <w:r>
        <w:rPr>
          <w:rFonts w:ascii="Times New Roman" w:cs="Times New Roman" w:eastAsia="Times New Roman" w:hAnsi="Times New Roman"/>
          <w:sz w:val="18"/>
          <w:szCs w:val="18"/>
          <w:b w:val="1"/>
          <w:bCs w:val="1"/>
          <w:color w:val="auto"/>
        </w:rPr>
        <w:t>Required Galera Stockholder Approval</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right="580" w:firstLine="436"/>
        <w:spacing w:after="0" w:line="266" w:lineRule="auto"/>
        <w:tabs>
          <w:tab w:leader="none" w:pos="81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 or Consent of Parent as the sole stockholder of Obsidian Merger Sub and Galera Merger Sub is the only vote or consent of the holders of any class or series of capital stock of Obsidian Merger Sub and Galera Merger Sub necessary to approve the Mergers and adopt this Agreement, which Consent shall be given immediately following the execution of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Non-Contravention;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36"/>
        <w:spacing w:after="0" w:line="266" w:lineRule="auto"/>
        <w:tabs>
          <w:tab w:leader="none" w:pos="805"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obtaining the Required Galera Stockholder Approval and the filing of the Galera Certificate of Merger required by Delaware Law, neither (x) the execution, delivery or performance of this Agreement by Galera, nor (y) the consummation of the Contemplated Transactions, will directly or indirectly (with or without notice or lapse of time):</w:t>
      </w:r>
    </w:p>
    <w:p>
      <w:pPr>
        <w:spacing w:after="0" w:line="6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of any of the provisions of the Organizational Documents of Galera or its Subsidiaries;</w:t>
      </w:r>
    </w:p>
    <w:p>
      <w:pPr>
        <w:spacing w:after="0" w:line="117" w:lineRule="exact"/>
        <w:rPr>
          <w:rFonts w:ascii="Times New Roman" w:cs="Times New Roman" w:eastAsia="Times New Roman" w:hAnsi="Times New Roman"/>
          <w:sz w:val="18"/>
          <w:szCs w:val="18"/>
          <w:color w:val="auto"/>
        </w:rPr>
      </w:pPr>
    </w:p>
    <w:p>
      <w:pPr>
        <w:ind w:left="560" w:right="140" w:firstLine="419"/>
        <w:spacing w:after="0" w:line="266" w:lineRule="auto"/>
        <w:tabs>
          <w:tab w:leader="none" w:pos="1248"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Galera or its Subsidiaries, or any of the assets owned or used by Galera or its Subsidiaries, is subject;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40"/>
          </w:cols>
          <w:pgMar w:left="320" w:top="454" w:right="439" w:bottom="1440" w:gutter="0" w:footer="0" w:header="0"/>
        </w:sectPr>
      </w:pPr>
    </w:p>
    <w:bookmarkStart w:id="515" w:name="page516"/>
    <w:bookmarkEnd w:id="5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firstLine="419"/>
        <w:spacing w:after="0" w:line="266" w:lineRule="auto"/>
        <w:tabs>
          <w:tab w:leader="none" w:pos="1298"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Galera or its Subsidiaries or that otherwise relates to the business of Galera, or any of the assets owned, leased or used by Galera;</w:t>
      </w:r>
    </w:p>
    <w:p>
      <w:pPr>
        <w:spacing w:after="0" w:line="67" w:lineRule="exact"/>
        <w:rPr>
          <w:rFonts w:ascii="Times New Roman" w:cs="Times New Roman" w:eastAsia="Times New Roman" w:hAnsi="Times New Roman"/>
          <w:sz w:val="18"/>
          <w:szCs w:val="18"/>
          <w:color w:val="auto"/>
        </w:rPr>
      </w:pPr>
    </w:p>
    <w:p>
      <w:pPr>
        <w:ind w:left="560" w:right="20" w:firstLine="419"/>
        <w:spacing w:after="0" w:line="258" w:lineRule="auto"/>
        <w:tabs>
          <w:tab w:leader="none" w:pos="1288"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conflict with or result in a violation or breach of, or result in a default under, any provision of any Galera Material Contract, or give any Person the right to: (A) declare a default or exercise any remedy under any Galera Material Contract, (B) any material payment, rebate, chargeback, penalty or change in delivery schedule under any such Galera Material Contract, (C) accelerate the maturity or performance of any Galera Material Contract or (D) cancel, terminate or modify any term of any Galera Material Contract, except in the case of any nonmaterial breach, default, penalty or modification; or</w:t>
      </w:r>
    </w:p>
    <w:p>
      <w:pPr>
        <w:spacing w:after="0" w:line="75" w:lineRule="exact"/>
        <w:rPr>
          <w:rFonts w:ascii="Times New Roman" w:cs="Times New Roman" w:eastAsia="Times New Roman" w:hAnsi="Times New Roman"/>
          <w:sz w:val="18"/>
          <w:szCs w:val="18"/>
          <w:color w:val="auto"/>
        </w:rPr>
      </w:pPr>
    </w:p>
    <w:p>
      <w:pPr>
        <w:ind w:left="560" w:right="280" w:firstLine="419"/>
        <w:spacing w:after="0" w:line="282" w:lineRule="auto"/>
        <w:tabs>
          <w:tab w:leader="none" w:pos="1238"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imposition or creation of any Encumbrance upon or with respect to any asset owned or used by Galera or its Subsidiaries (except for Permitted Encumbrances).</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56" w:lineRule="auto"/>
        <w:tabs>
          <w:tab w:leader="none" w:pos="81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(i) any Consent set forth on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of the Galera Disclosure Schedule under any Galera Contract, (ii) the Required Galera Stockholder Approval, (iii) the filing of the Galera Certificate of Merger with the Secretary of State of the State of Delaware pursuant to Delaware Law and (iv) such Consents, waivers, approvals, orders, authorizations, registrations, declarations and filings as may be required under applicable federal and state securities laws, neither Galera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87" w:lineRule="exact"/>
        <w:rPr>
          <w:rFonts w:ascii="Times New Roman" w:cs="Times New Roman" w:eastAsia="Times New Roman" w:hAnsi="Times New Roman"/>
          <w:sz w:val="18"/>
          <w:szCs w:val="18"/>
          <w:color w:val="auto"/>
        </w:rPr>
      </w:pPr>
    </w:p>
    <w:p>
      <w:pPr>
        <w:ind w:left="120" w:right="120" w:firstLine="436"/>
        <w:spacing w:after="0" w:line="261" w:lineRule="auto"/>
        <w:tabs>
          <w:tab w:leader="none" w:pos="80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Galera Board has taken and will take all actions necessary to ensure that the restrictions applicable to business combinations contained in Section 203 of Delaware Law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80" w:firstLine="436"/>
        <w:spacing w:after="0" w:line="276" w:lineRule="auto"/>
        <w:tabs>
          <w:tab w:leader="none" w:pos="805" w:val="left"/>
        </w:tabs>
        <w:numPr>
          <w:ilvl w:val="1"/>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the authorized capital stock of Galera consists of (i) 200,000,000 shares of common stock, par value $0.001 per share (“</w:t>
      </w:r>
      <w:r>
        <w:rPr>
          <w:rFonts w:ascii="Times New Roman" w:cs="Times New Roman" w:eastAsia="Times New Roman" w:hAnsi="Times New Roman"/>
          <w:sz w:val="17"/>
          <w:szCs w:val="17"/>
          <w:b w:val="1"/>
          <w:bCs w:val="1"/>
          <w:color w:val="auto"/>
        </w:rPr>
        <w:t>Galera Common Stock</w:t>
      </w:r>
      <w:r>
        <w:rPr>
          <w:rFonts w:ascii="Times New Roman" w:cs="Times New Roman" w:eastAsia="Times New Roman" w:hAnsi="Times New Roman"/>
          <w:sz w:val="17"/>
          <w:szCs w:val="17"/>
          <w:color w:val="auto"/>
        </w:rPr>
        <w:t>”), of which 160,429,783 shares have been issued and are outstanding as of April 9, 2026 (the “</w:t>
      </w:r>
      <w:r>
        <w:rPr>
          <w:rFonts w:ascii="Times New Roman" w:cs="Times New Roman" w:eastAsia="Times New Roman" w:hAnsi="Times New Roman"/>
          <w:sz w:val="17"/>
          <w:szCs w:val="17"/>
          <w:b w:val="1"/>
          <w:bCs w:val="1"/>
          <w:color w:val="auto"/>
        </w:rPr>
        <w:t>Capitalization Date</w:t>
      </w:r>
      <w:r>
        <w:rPr>
          <w:rFonts w:ascii="Times New Roman" w:cs="Times New Roman" w:eastAsia="Times New Roman" w:hAnsi="Times New Roman"/>
          <w:sz w:val="17"/>
          <w:szCs w:val="17"/>
          <w:color w:val="auto"/>
        </w:rPr>
        <w:t>”),</w:t>
      </w:r>
    </w:p>
    <w:p>
      <w:pPr>
        <w:ind w:left="120" w:hanging="4"/>
        <w:spacing w:after="0" w:line="252" w:lineRule="auto"/>
        <w:tabs>
          <w:tab w:leader="none" w:pos="38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Galera Preferred Stock, par value $0.001 per share, of which (A) 200,000 shares have been designated Galera Series A Preferred Stock, of which no shares are issued and are outstanding as of the Capitalization Date, and (B) 119,318.285 shares have been designated Galera Series B Preferred Stock, of which 42,839.11 shares are issued and are outstanding as of the Capitalization Date. Galera does not hold any shares of its capital stock in its treasury. Upon receipt of, and subject in all respects to, approval of the Galera stockholders and filing of the necessary amendment to the Certificate of Incorporation with the Secretary of State of the State of Delaware, the authorized capital stock of Galera shall be increased to 400,000,000 shares of Galera Common Stock, with no change to the amount of authorized Galera Preferred Stock (the “</w:t>
      </w:r>
      <w:r>
        <w:rPr>
          <w:rFonts w:ascii="Times New Roman" w:cs="Times New Roman" w:eastAsia="Times New Roman" w:hAnsi="Times New Roman"/>
          <w:sz w:val="18"/>
          <w:szCs w:val="18"/>
          <w:b w:val="1"/>
          <w:bCs w:val="1"/>
          <w:color w:val="auto"/>
        </w:rPr>
        <w:t>Galera 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 Increase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firstLine="436"/>
        <w:spacing w:after="0" w:line="255" w:lineRule="auto"/>
        <w:tabs>
          <w:tab w:leader="none" w:pos="815"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shares of Galera Common Stock have been duly authorized and validly issued, and are fully paid and nonassessable and are free of any Encumbrances other than under applicable securities Laws. None of the outstanding shares of Galera Common Stock is entitled or subject to any preemptive right, right of participation, right of maintenance or any similar right. None of the outstanding shares of Galera Common Stock is subject to any right of first refusal in favor of Galera. Except as contemplated herein, there is no Galera Contract relating to the voting or registration of, or restricting any Person from purchasing, selling, pledging or otherwise disposing of (or granting any option or similar right with respect to), any shares of Galera Common Stock. Galera is not under any obligation, nor is it bound by any Contract pursuant to which it may become obligated, to repurchase, redeem or otherwise acquire any outstanding shares of Galera Common Stock or other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4" w:right="459" w:bottom="1440" w:gutter="0" w:footer="0" w:header="0"/>
        </w:sectPr>
      </w:pPr>
    </w:p>
    <w:bookmarkStart w:id="516" w:name="page517"/>
    <w:bookmarkEnd w:id="5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36"/>
        <w:spacing w:after="0" w:line="253" w:lineRule="auto"/>
        <w:tabs>
          <w:tab w:leader="none" w:pos="80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Galera Equity Plans and the Galera Options granted thereunder and the Galera ESPP, Galera does not have any stock incentive plan or any other plan, program, agreement or arrangement providing for any equity or equity-based compensation for any Person and there were no other equity or equity-based awards outstanding as of the date of this Agreement. As of the Capitalization Date, Galera has reserved 16,487,209 shares of Galera Common Stock for issuance under the Galera Equity Plans, of which 10,599,059 shares are subject to outstanding Galera Options and 5,888,150 shares remain available for future grant pursuant to the Galera Equity Plans.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of the Galera Disclosure Schedule sets forth a true and complete list, as of April 9, 2026, of each outstanding Galera Option, including: (i) the name of the holder, (ii) the number of shares of Galera Common Stock subject to such Galera Option, (iii) the exercise price per share, as applicable, (iv) the date of grant, (v) the applicable vesting schedule, including any acceleration provisions and the number of vested and unvested shares, (vi) the expiration date, as applicable, and (vii) for Galera Options, whether the Galera Option is intended to be an “incentive stock option” (as defined in the Code) or a non-qualified stock option. Galera has made available to Obsidian accurate and complete copies of the following: (A) the standard form of agreement evidencing Galera Options; and (B) each agreement evidencing a Galera Option that does not conform in all material respects to the standard form agreement.</w:t>
      </w:r>
    </w:p>
    <w:p>
      <w:pPr>
        <w:spacing w:after="0" w:line="191" w:lineRule="exact"/>
        <w:rPr>
          <w:rFonts w:ascii="Times New Roman" w:cs="Times New Roman" w:eastAsia="Times New Roman" w:hAnsi="Times New Roman"/>
          <w:sz w:val="18"/>
          <w:szCs w:val="18"/>
          <w:color w:val="auto"/>
        </w:rPr>
      </w:pPr>
    </w:p>
    <w:p>
      <w:pPr>
        <w:ind w:left="120" w:right="20" w:firstLine="436"/>
        <w:spacing w:after="0" w:line="256" w:lineRule="auto"/>
        <w:tabs>
          <w:tab w:leader="none" w:pos="81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of the Galera Disclosure Schedule, there is no: (i) outstanding subscription, option, call, warrant or right (whether or not currently exercisable) to acquire any shares of the capital stock or other securities of Galera, (ii) outstanding security, instrument or obligation that is or may become convertible into or exchangeable for any shares of the capital stock or other securities of Galera, (iii) stockholder rights plan (or similar plan commonly referred to as a “poison pill”) or Contract under which Galera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Galera.</w:t>
      </w:r>
    </w:p>
    <w:p>
      <w:pPr>
        <w:spacing w:after="0" w:line="187" w:lineRule="exact"/>
        <w:rPr>
          <w:rFonts w:ascii="Times New Roman" w:cs="Times New Roman" w:eastAsia="Times New Roman" w:hAnsi="Times New Roman"/>
          <w:sz w:val="18"/>
          <w:szCs w:val="18"/>
          <w:color w:val="auto"/>
        </w:rPr>
      </w:pPr>
    </w:p>
    <w:p>
      <w:pPr>
        <w:ind w:left="120" w:firstLine="436"/>
        <w:spacing w:after="0" w:line="282" w:lineRule="auto"/>
        <w:tabs>
          <w:tab w:leader="none" w:pos="80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shares of Galera Common Stock and other securities of Galera have been issued and granted in material compliance with (i) all applicable securities laws and other applicable Law and (ii) all requirements set forth in applicable Contracts.</w:t>
      </w:r>
    </w:p>
    <w:p>
      <w:pPr>
        <w:spacing w:after="0" w:line="161" w:lineRule="exact"/>
        <w:rPr>
          <w:rFonts w:ascii="Times New Roman" w:cs="Times New Roman" w:eastAsia="Times New Roman" w:hAnsi="Times New Roman"/>
          <w:sz w:val="18"/>
          <w:szCs w:val="18"/>
          <w:color w:val="auto"/>
        </w:rPr>
      </w:pPr>
    </w:p>
    <w:p>
      <w:pPr>
        <w:ind w:left="120" w:right="40" w:firstLine="436"/>
        <w:spacing w:after="0" w:line="312" w:lineRule="auto"/>
        <w:tabs>
          <w:tab w:leader="none" w:pos="785"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Parent, Obsidian Merger Sub or Galera Merger Sub owns any shares of Obsidian Capital Stock. None of Parent, Obsidian Merger Sub or Galera Merger Sub nor any of their respective Affiliates is an “interested stockholder” of Obsidian as defined in Section 203(c) of Delaware Law.</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53" w:lineRule="auto"/>
        <w:tabs>
          <w:tab w:leader="none" w:pos="80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has filed or furnished, as applicable, on a timely basis all forms, statements, certifications, reports and documents required to be filed or furnished by it with the SEC under the Exchange Act or the Securities Act, or, in the case of any such filing not made on a timely basis, has otherwise complied with the applicable requirements of Rule 12b-25 under the Exchange Act and subsequently made such filing, since January 1, 2023 (the “</w:t>
      </w:r>
      <w:r>
        <w:rPr>
          <w:rFonts w:ascii="Times New Roman" w:cs="Times New Roman" w:eastAsia="Times New Roman" w:hAnsi="Times New Roman"/>
          <w:sz w:val="18"/>
          <w:szCs w:val="18"/>
          <w:b w:val="1"/>
          <w:bCs w:val="1"/>
          <w:color w:val="auto"/>
        </w:rPr>
        <w:t>Galera SEC Documents</w:t>
      </w:r>
      <w:r>
        <w:rPr>
          <w:rFonts w:ascii="Times New Roman" w:cs="Times New Roman" w:eastAsia="Times New Roman" w:hAnsi="Times New Roman"/>
          <w:sz w:val="18"/>
          <w:szCs w:val="18"/>
          <w:color w:val="auto"/>
        </w:rPr>
        <w:t>”). As of the time it was filed with the SEC (or, if amended or superseded by a filing prior to the date of this Agreement, then on the date of such filing), each of the Galera SEC Documents complied in all material respects with the applicable requirements of the Securities Act or the Exchange Act (as the case may be) and as of the time they were filed, none of the Galera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w:t>
      </w:r>
    </w:p>
    <w:p>
      <w:pPr>
        <w:jc w:val="both"/>
        <w:ind w:left="120" w:right="300" w:hanging="4"/>
        <w:spacing w:after="0" w:line="277" w:lineRule="auto"/>
        <w:tabs>
          <w:tab w:leader="none" w:pos="385" w:val="left"/>
        </w:tabs>
        <w:numPr>
          <w:ilvl w:val="0"/>
          <w:numId w:val="3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18 U.S.C. §1350 (Section 906 of the Sarbanes-Oxley Act) relating to the Galera SEC Documents (collectively, the “</w:t>
      </w:r>
      <w:r>
        <w:rPr>
          <w:rFonts w:ascii="Times New Roman" w:cs="Times New Roman" w:eastAsia="Times New Roman" w:hAnsi="Times New Roman"/>
          <w:sz w:val="17"/>
          <w:szCs w:val="17"/>
          <w:b w:val="1"/>
          <w:bCs w:val="1"/>
          <w:color w:val="auto"/>
        </w:rPr>
        <w:t>Galera Certifications</w:t>
      </w:r>
      <w:r>
        <w:rPr>
          <w:rFonts w:ascii="Times New Roman" w:cs="Times New Roman" w:eastAsia="Times New Roman" w:hAnsi="Times New Roman"/>
          <w:sz w:val="17"/>
          <w:szCs w:val="17"/>
          <w:color w:val="auto"/>
        </w:rPr>
        <w:t xml:space="preserve">”) are accurate and complete and comply as to form and content with all applicable Laws. As used in this </w:t>
      </w:r>
      <w:r>
        <w:rPr>
          <w:rFonts w:ascii="Times New Roman" w:cs="Times New Roman" w:eastAsia="Times New Roman" w:hAnsi="Times New Roman"/>
          <w:sz w:val="17"/>
          <w:szCs w:val="17"/>
          <w:u w:val="single" w:color="auto"/>
          <w:color w:val="auto"/>
        </w:rPr>
        <w:t>Section 4.7</w:t>
      </w:r>
      <w:r>
        <w:rPr>
          <w:rFonts w:ascii="Times New Roman" w:cs="Times New Roman" w:eastAsia="Times New Roman" w:hAnsi="Times New Roman"/>
          <w:sz w:val="17"/>
          <w:szCs w:val="17"/>
          <w:color w:val="auto"/>
        </w:rPr>
        <w:t>, the term “file” and variations thereof shall be broadly construed to include any manner in which a document or information is furnished, supplied or otherwise made available to the SEC.</w:t>
      </w:r>
    </w:p>
    <w:p>
      <w:pPr>
        <w:spacing w:after="0" w:line="1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120"/>
          </w:cols>
          <w:pgMar w:left="320" w:top="454" w:right="459" w:bottom="1440" w:gutter="0" w:footer="0" w:header="0"/>
        </w:sectPr>
      </w:pPr>
    </w:p>
    <w:bookmarkStart w:id="517" w:name="page518"/>
    <w:bookmarkEnd w:id="5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36"/>
        <w:spacing w:after="0" w:line="253" w:lineRule="auto"/>
        <w:tabs>
          <w:tab w:leader="none" w:pos="81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(including any related notes) contained or incorporated by reference in the Galera SEC Documents: (i) complied as to form in all material respects with the Securities Act and the Exchange Act, as applicable, and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Galera as of the respective dates thereof and the results of operations and cash flows of Galera for the periods covered thereby. Other than as expressly disclosed in the Galera SEC Documents filed prior to the date hereof, there has been no material change in Galera’s accounting methods or principles that would be required to be disclosed in Galera’s financial statements in accordance with GAAP. The books of account and other financial records of Galera and each of its Subsidiaries are true and complete in all material respects.</w:t>
      </w:r>
    </w:p>
    <w:p>
      <w:pPr>
        <w:spacing w:after="0" w:line="194"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0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Galera’s auditor has at all times since the date of enactment of the Sarbanes-Oxley Act been: (i) a registered public accounting firm (as defined in Section 2(a)(12) of the Sarbanes-Oxley Act), (ii) to the Knowledge of Galera, “independent” with respect to Galera within the meaning of Regulation S-X under the Exchange Act and (iii) to the Knowledge of Galera, in compliance with subsections (g) through (l) of Section 10A of the Exchange Act and the rules and regulations promulgated by the SEC and the PCAOB thereunder.</w:t>
      </w:r>
    </w:p>
    <w:p>
      <w:pPr>
        <w:spacing w:after="0" w:line="179" w:lineRule="exact"/>
        <w:rPr>
          <w:rFonts w:ascii="Times New Roman" w:cs="Times New Roman" w:eastAsia="Times New Roman" w:hAnsi="Times New Roman"/>
          <w:sz w:val="18"/>
          <w:szCs w:val="18"/>
          <w:color w:val="auto"/>
        </w:rPr>
      </w:pPr>
    </w:p>
    <w:p>
      <w:pPr>
        <w:jc w:val="both"/>
        <w:ind w:left="120" w:right="100" w:firstLine="436"/>
        <w:spacing w:after="0" w:line="266" w:lineRule="auto"/>
        <w:tabs>
          <w:tab w:leader="none" w:pos="81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4.7(d)</w:t>
      </w:r>
      <w:r>
        <w:rPr>
          <w:rFonts w:ascii="Times New Roman" w:cs="Times New Roman" w:eastAsia="Times New Roman" w:hAnsi="Times New Roman"/>
          <w:sz w:val="18"/>
          <w:szCs w:val="18"/>
          <w:color w:val="auto"/>
        </w:rPr>
        <w:t xml:space="preserve"> of the Galera Disclosure Schedule, Galera has not received any comment letter from the SEC or the staff thereof or any correspondence from OTCQB Market or the staff thereof relating to the delisting or maintenance of listing of Galera Common Stock on the OTCQB Market. Galera has not disclosed any unresolved comments in the Galera SEC Documents.</w:t>
      </w:r>
    </w:p>
    <w:p>
      <w:pPr>
        <w:spacing w:after="0" w:line="175" w:lineRule="exact"/>
        <w:rPr>
          <w:rFonts w:ascii="Times New Roman" w:cs="Times New Roman" w:eastAsia="Times New Roman" w:hAnsi="Times New Roman"/>
          <w:sz w:val="18"/>
          <w:szCs w:val="18"/>
          <w:color w:val="auto"/>
        </w:rPr>
      </w:pPr>
    </w:p>
    <w:p>
      <w:pPr>
        <w:ind w:left="120" w:right="160" w:firstLine="436"/>
        <w:spacing w:after="0" w:line="289" w:lineRule="auto"/>
        <w:tabs>
          <w:tab w:leader="none" w:pos="805"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have been no formal internal investigations regarding financial reporting or accounting policies and practices discussed with, reviewed by or initiated at the direction of the chief executive officer, chief financial officer, or general counsel of Galera, the Galera Board or any committee thereof, other than ordinary course audits or reviews of accounting policies and practices or internal controls required by the Sarbanes-Oxley Act.</w:t>
      </w:r>
    </w:p>
    <w:p>
      <w:pPr>
        <w:spacing w:after="0" w:line="157" w:lineRule="exact"/>
        <w:rPr>
          <w:rFonts w:ascii="Times New Roman" w:cs="Times New Roman" w:eastAsia="Times New Roman" w:hAnsi="Times New Roman"/>
          <w:sz w:val="17"/>
          <w:szCs w:val="17"/>
          <w:color w:val="auto"/>
        </w:rPr>
      </w:pPr>
    </w:p>
    <w:p>
      <w:pPr>
        <w:ind w:left="120" w:right="360" w:firstLine="436"/>
        <w:spacing w:after="0" w:line="312" w:lineRule="auto"/>
        <w:tabs>
          <w:tab w:leader="none" w:pos="785" w:val="left"/>
        </w:tabs>
        <w:numPr>
          <w:ilvl w:val="0"/>
          <w:numId w:val="3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on </w:t>
      </w:r>
      <w:r>
        <w:rPr>
          <w:rFonts w:ascii="Times New Roman" w:cs="Times New Roman" w:eastAsia="Times New Roman" w:hAnsi="Times New Roman"/>
          <w:sz w:val="17"/>
          <w:szCs w:val="17"/>
          <w:u w:val="single" w:color="auto"/>
          <w:color w:val="auto"/>
        </w:rPr>
        <w:t>Section 4.7(f)</w:t>
      </w:r>
      <w:r>
        <w:rPr>
          <w:rFonts w:ascii="Times New Roman" w:cs="Times New Roman" w:eastAsia="Times New Roman" w:hAnsi="Times New Roman"/>
          <w:sz w:val="17"/>
          <w:szCs w:val="17"/>
          <w:color w:val="auto"/>
        </w:rPr>
        <w:t xml:space="preserve"> of the Galera Disclosure Schedule, Galera is in compliance in all material respects with the applicable provisions of the Sarbanes-Oxley Act, the Exchange Act and the applicable listing and governance rules and regulations of the OTCQB Market.</w:t>
      </w:r>
    </w:p>
    <w:p>
      <w:pPr>
        <w:spacing w:after="0" w:line="139" w:lineRule="exact"/>
        <w:rPr>
          <w:rFonts w:ascii="Times New Roman" w:cs="Times New Roman" w:eastAsia="Times New Roman" w:hAnsi="Times New Roman"/>
          <w:sz w:val="17"/>
          <w:szCs w:val="17"/>
          <w:color w:val="auto"/>
        </w:rPr>
      </w:pPr>
    </w:p>
    <w:p>
      <w:pPr>
        <w:ind w:left="120" w:firstLine="436"/>
        <w:spacing w:after="0" w:line="253" w:lineRule="auto"/>
        <w:tabs>
          <w:tab w:leader="none" w:pos="815"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maintains a system of internal control over financial reporting (as defined in Rules 13a-15(f) and 15d-l5(f)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Galera maintains records that in reasonable detail accurately and fairly reflect Galera’s transactions and dispositions of assets, (ii) that transactions are recorded as necessary to permit preparation of financial statements in accordance with GAAP, (iii) that receipts and expenditures are made only in accordance with authorizations of management and the Galera Board and (iv) regarding prevention or timely detection of the unauthorized acquisition, use or disposition of Galera’s assets that could have a material effect on Galera’s financial statements. Galera has evaluated the effectiveness of Galera’s internal control over financial reporting and, to the extent required by applicable Law, presented in any applicable Galera SEC Document that is a report on Form 10-K or Form 10-Q (or any amendment thereto) its conclusions about the effectiveness of the internal control over financial reporting as of the end of the period covered by such report or amendment based on such evaluation. Galera has disclosed to Galera’s auditors and the Audit Committee of the Galera Board (and made available to Galera a summary of the significant aspects of such disclosure) (A) all significant deficiencies and material weaknesses in the design or operation of internal control over financial reporting that are reasonably likely to adversely affect Galera’s ability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20"/>
          </w:cols>
          <w:pgMar w:left="320" w:top="454" w:right="459" w:bottom="1440" w:gutter="0" w:footer="0" w:header="0"/>
        </w:sectPr>
      </w:pPr>
    </w:p>
    <w:bookmarkStart w:id="518" w:name="page519"/>
    <w:bookmarkEnd w:id="5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to record, process, summarize and report financial information and (B) any known fraud, whether or not material, that involves management or other employees who have a significant role in Galera or its Subsidiaries’ internal control over financial reporting. Except as disclosed in the Galera SEC Documents filed prior to the date hereof, Galera’s internal control over financial reporting is effective and Galera has not identified any material weaknesses in the design or operation of Galera’s internal control over financial reporting.</w:t>
      </w:r>
    </w:p>
    <w:p>
      <w:pPr>
        <w:spacing w:after="0" w:line="180" w:lineRule="exact"/>
        <w:rPr>
          <w:sz w:val="20"/>
          <w:szCs w:val="20"/>
          <w:color w:val="auto"/>
        </w:rPr>
      </w:pPr>
    </w:p>
    <w:p>
      <w:pPr>
        <w:ind w:left="120" w:right="60" w:firstLine="436"/>
        <w:spacing w:after="0" w:line="256" w:lineRule="auto"/>
        <w:tabs>
          <w:tab w:leader="none" w:pos="81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Galera’s “disclosure controls and procedures” (as defined in Rules 13a-15(e) and 15d-15(e) of the Exchange Act) are designed to ensure that all information (both financial and nonfinancial) required to be disclosed by Galera in the reports that it files or submits under the Exchange Act is recorded, processed, summarized and reported within the time periods specified in the rules and forms of the SEC, and that all such information is accumulated and communicated to Galera’s principal executive officer and principal financial officer as appropriate to allow timely decisions regarding required disclosure and to make the Galera Certifications and such disclosure controls and procedures are effective. Galera has carried out evaluation of the effectiveness of its disclosure controls and procedures as required by Rule 13a-l5 of the Exchange Act.</w:t>
      </w:r>
    </w:p>
    <w:p>
      <w:pPr>
        <w:spacing w:after="0" w:line="187"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has not been and is not currently a “shell company” as defined under Section 12b-2 of the Exchange Act.</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of the Galera Disclosure Schedule, since January 1, 2026, Galera and its Subsidiaries have conducted its business only in the Ordinary Course of Business (except for the execution and performance of this Agreement and the discussions, negotiations and transactions related thereto) and there has not been any (a) Galera Material Adverse Effect or (b) action, event or occurrence that would have required Consent of Obsidian pursuant to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this Agreement had such action, event or occurrence taken place after the execution and delivery of this Agreement.</w:t>
      </w:r>
    </w:p>
    <w:p>
      <w:pPr>
        <w:spacing w:after="0" w:line="183" w:lineRule="exact"/>
        <w:rPr>
          <w:sz w:val="20"/>
          <w:szCs w:val="20"/>
          <w:color w:val="auto"/>
        </w:rPr>
      </w:pPr>
    </w:p>
    <w:p>
      <w:pPr>
        <w:ind w:left="120" w:right="20" w:firstLine="440"/>
        <w:spacing w:after="0" w:line="276"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Absence of Undisclosed Liabilities</w:t>
      </w:r>
      <w:r>
        <w:rPr>
          <w:rFonts w:ascii="Times New Roman" w:cs="Times New Roman" w:eastAsia="Times New Roman" w:hAnsi="Times New Roman"/>
          <w:sz w:val="17"/>
          <w:szCs w:val="17"/>
          <w:color w:val="auto"/>
        </w:rPr>
        <w:t>. Neither Galera nor any of its Subsidiaries has any Liability of a type required to be reflected or reserved for on a balance sheet prepared in accordance with GAAP, except for: (a) Liabilities disclosed, reflected or reserved against in the Galera Balance Sheet,</w:t>
      </w:r>
    </w:p>
    <w:p>
      <w:pPr>
        <w:spacing w:after="0" w:line="1" w:lineRule="exact"/>
        <w:rPr>
          <w:sz w:val="20"/>
          <w:szCs w:val="20"/>
          <w:color w:val="auto"/>
        </w:rPr>
      </w:pPr>
    </w:p>
    <w:p>
      <w:pPr>
        <w:ind w:left="120" w:right="20" w:hanging="4"/>
        <w:spacing w:after="0" w:line="253" w:lineRule="auto"/>
        <w:tabs>
          <w:tab w:leader="none" w:pos="37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normal and recurring current Liabilities that have been incurred by Galera or its Subsidiaries since the date of the Galera Balance Sheet in the Ordinary Course of Business (none of which relates to any breach of contract, breach of warranty, tort, infringement, or violation of Law), (c) Liabilities for performance of obligations of Galera or any of its Subsidiaries under Galera Contracts, (d) Liabilities incurred in connection with the Contemplated Transactions and the Securities Purchase Agreement and (e) Liabilities listed in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of the Galera Disclosure Schedule.</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Each of Galera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 all tangible assets reflected on the Galera Balance Sheet and (b) all other tangible assets reflected in the books and records of Galera as being owned by Galera. All of such assets are owned or, in the case of leased assets, leased by Galera or any of its Subsidiaries free and clear of any Encumbrances, other than Permitted Encumbrances.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Real Property; Leasehold</w:t>
      </w:r>
      <w:r>
        <w:rPr>
          <w:rFonts w:ascii="Times New Roman" w:cs="Times New Roman" w:eastAsia="Times New Roman" w:hAnsi="Times New Roman"/>
          <w:sz w:val="18"/>
          <w:szCs w:val="18"/>
          <w:color w:val="auto"/>
        </w:rPr>
        <w:t>. Neither Galera nor any of its Subsidiaries owns or has ever owned any real property. Galera has made available to Obsidian (a) an accurate and complete list of all real properties with respect to which Galera directly or indirectly holds a valid leasehold interest as well as any other real estate that is in the possession of or leased by Galera or any of its Subsidiaries and (b) copies of all leases under which any such real property is possessed (the “</w:t>
      </w:r>
      <w:r>
        <w:rPr>
          <w:rFonts w:ascii="Times New Roman" w:cs="Times New Roman" w:eastAsia="Times New Roman" w:hAnsi="Times New Roman"/>
          <w:sz w:val="18"/>
          <w:szCs w:val="18"/>
          <w:b w:val="1"/>
          <w:bCs w:val="1"/>
          <w:color w:val="auto"/>
        </w:rPr>
        <w:t>Galera Real Estate Leases</w:t>
      </w:r>
      <w:r>
        <w:rPr>
          <w:rFonts w:ascii="Times New Roman" w:cs="Times New Roman" w:eastAsia="Times New Roman" w:hAnsi="Times New Roman"/>
          <w:sz w:val="18"/>
          <w:szCs w:val="18"/>
          <w:color w:val="auto"/>
        </w:rPr>
        <w:t>”), each of which is in full force and effect, with no existing material default thereunder.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0" w:hanging="244"/>
        <w:spacing w:after="0"/>
        <w:tabs>
          <w:tab w:leader="none" w:pos="80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Galera Disclosure Schedule is an accurate, true and complete listing of all Galera Registered IP, including for each item</w:t>
      </w:r>
    </w:p>
    <w:p>
      <w:pPr>
        <w:spacing w:after="0" w:line="27" w:lineRule="exact"/>
        <w:rPr>
          <w:rFonts w:ascii="Times New Roman" w:cs="Times New Roman" w:eastAsia="Times New Roman" w:hAnsi="Times New Roman"/>
          <w:sz w:val="18"/>
          <w:szCs w:val="18"/>
          <w:color w:val="auto"/>
        </w:rPr>
      </w:pPr>
    </w:p>
    <w:p>
      <w:pPr>
        <w:ind w:left="340" w:hanging="224"/>
        <w:spacing w:after="0"/>
        <w:tabs>
          <w:tab w:leader="none" w:pos="3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owner(s) (and name of any other Person with an ownership</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00"/>
          </w:cols>
          <w:pgMar w:left="320" w:top="454" w:right="479" w:bottom="1440" w:gutter="0" w:footer="0" w:header="0"/>
        </w:sectPr>
      </w:pPr>
    </w:p>
    <w:bookmarkStart w:id="519" w:name="page520"/>
    <w:bookmarkEnd w:id="5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interest in such item of Galera Registered IP and the nature of such ownership interest, if any), jurisdiction, status, and registration or application number of each item, as applicable, (ii) all filing, registration, issuance and grant dates and (iii) any actions that are required to be taken within 180 days of the date hereof for any Galera Registered IP, including the payment of any registration, maintenance or renewal fees or the filing of or response to any documents, applications or certificates, for the purposes of prosecuting, obtaining, perfecting, maintaining or renewing any Galera Registered IP.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of the Galera Disclosure Schedule also sets forth, as of the date of this Agreement, a list of all internet domain names with respect to which Galera or any of its Subsidiaries are the registrant and, with respect to each domain name, the record owner of such domain name and if different, the legal and beneficial owner(s) of such domain name and the applicable domain name registrar. All Galera Registered IP is subsisting and in full force and effect and, to the Knowledge of Galera, all Galera Registered IP (other than pending applications) is valid and enforceable. All fees due to, and all documents, powers and other filings required to be filed with, a Governmental Authority with respect to any such Galera Registered IP have been fully and timely paid and filed as necessary for the filing, prosecuting, obtaining grant of and maintaining such item of Galera Registered IP.</w:t>
      </w:r>
    </w:p>
    <w:p>
      <w:pPr>
        <w:spacing w:after="0" w:line="194" w:lineRule="exact"/>
        <w:rPr>
          <w:sz w:val="20"/>
          <w:szCs w:val="20"/>
          <w:color w:val="auto"/>
        </w:rPr>
      </w:pPr>
    </w:p>
    <w:p>
      <w:pPr>
        <w:ind w:left="120" w:firstLine="436"/>
        <w:spacing w:after="0" w:line="253" w:lineRule="auto"/>
        <w:tabs>
          <w:tab w:leader="none" w:pos="81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of the Galera Disclosure Schedule is a true, correct and complete listing of all Galera Contracts pursuant to which any Galera IP Rights are licensed to Galera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Galera’s or its Subsidiaries’ products or services, (B) any Intellectual Property licensed on a nonexclusive basis ancillary to the purchase or use of equipment, reagents or other materials, (C) any confidential information provided under confidentiality agreements and (D) agreements between Galera or its Subsidiaries and their respective employees in Galera’s standard form thereof). To the Knowledge of Galera, each Galera Contract listed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of the Galera Disclosure Schedule is in full force and effect and constitutes a legal, valid, and binding obligation of Galera, its Subsidiaries and each other party thereto, and is enforceable against Galera, its Subsidiaries and each other party thereto in accordance with its terms. To the Knowledge of Galera, neither Galera, its Subsidiaries, nor, to the Knowledge of Galera, any other party to any Galera Contract listed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of the Galera Disclosure Schedule has been or is, or has been or is alleged to be, in material default under, or has provided or received any notice of breach under, or intention to terminate (including by non-renewal), any Galera Contract listed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of the Galera Disclosure Schedule, except as would not reasonably be expected to have, individually or in the aggregate, a Galera Material Adverse Effect.</w:t>
      </w:r>
    </w:p>
    <w:p>
      <w:pPr>
        <w:spacing w:after="0" w:line="187" w:lineRule="exact"/>
        <w:rPr>
          <w:rFonts w:ascii="Times New Roman" w:cs="Times New Roman" w:eastAsia="Times New Roman" w:hAnsi="Times New Roman"/>
          <w:sz w:val="18"/>
          <w:szCs w:val="18"/>
          <w:color w:val="auto"/>
        </w:rPr>
      </w:pPr>
    </w:p>
    <w:p>
      <w:pPr>
        <w:ind w:left="120" w:right="80" w:firstLine="436"/>
        <w:spacing w:after="0" w:line="253" w:lineRule="auto"/>
        <w:tabs>
          <w:tab w:leader="none" w:pos="80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Galera Disclosure Schedule is a true, correct and complete listing of each Galera Contract pursuant to which any Person has been granted any license, sublicense, option or covenant not to sue under, or otherwise has received or acquired any right (whether or not currently exercisable) or interest in, any Galera IP Rights (other than (i) any confidential information provided under confidentiality agreements and (ii) any Galera IP Rights nonexclusively licensed to academic collaborators, suppliers or service providers for the sole purpose of enabling such academic collaborator, supplier or service providers to provide services for Galera’s or its Subsidiaries’ benefit). To the Knowledge of Galera, each Galera Contract listed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Galera Disclosure Schedule is in full force and effect and constitutes a legal, valid, and binding obligation of Galera, its Subsidiaries and each other party thereto, and is enforceable against Galera, its Subsidiaries and each other party thereto in accordance with its terms. Neither Galera, its Subsidiaries nor, to the Knowledge of Galera, any other party to any Galera Contract listed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Galera Disclosure Schedule has provided or received any written notice of breach under, or intention to terminate (including by non-renewal), any Galera Contract listed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Galera Disclosure Schedule.</w:t>
      </w:r>
    </w:p>
    <w:p>
      <w:pPr>
        <w:spacing w:after="0" w:line="194" w:lineRule="exact"/>
        <w:rPr>
          <w:rFonts w:ascii="Times New Roman" w:cs="Times New Roman" w:eastAsia="Times New Roman" w:hAnsi="Times New Roman"/>
          <w:sz w:val="18"/>
          <w:szCs w:val="18"/>
          <w:color w:val="auto"/>
        </w:rPr>
      </w:pPr>
    </w:p>
    <w:p>
      <w:pPr>
        <w:jc w:val="both"/>
        <w:ind w:left="120" w:right="80" w:firstLine="436"/>
        <w:spacing w:after="0" w:line="261" w:lineRule="auto"/>
        <w:tabs>
          <w:tab w:leader="none" w:pos="815"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identified on </w:t>
      </w:r>
      <w:r>
        <w:rPr>
          <w:rFonts w:ascii="Times New Roman" w:cs="Times New Roman" w:eastAsia="Times New Roman" w:hAnsi="Times New Roman"/>
          <w:sz w:val="18"/>
          <w:szCs w:val="18"/>
          <w:u w:val="single" w:color="auto"/>
          <w:color w:val="auto"/>
        </w:rPr>
        <w:t>Section 4.12(d)</w:t>
      </w:r>
      <w:r>
        <w:rPr>
          <w:rFonts w:ascii="Times New Roman" w:cs="Times New Roman" w:eastAsia="Times New Roman" w:hAnsi="Times New Roman"/>
          <w:sz w:val="18"/>
          <w:szCs w:val="18"/>
          <w:color w:val="auto"/>
        </w:rPr>
        <w:t xml:space="preserve"> of the Galera Disclosure Schedule, neither Galera nor any of its Subsidiaries is bound by, and no Galera Owned IP Rights are subject to, and to the Knowledge of Galera, no Galera Licensed IP Rights are subject to, any Contract containing any covenant or other provision that in any way limits or restricts the ability of Galera or any of its Subsidiaries to use, exploit, assert, or enforce any Galera IP Rights anywhere in the world.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4" w:right="459" w:bottom="1440" w:gutter="0" w:footer="0" w:header="0"/>
        </w:sectPr>
      </w:pPr>
    </w:p>
    <w:bookmarkStart w:id="520" w:name="page521"/>
    <w:bookmarkEnd w:id="5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36"/>
        <w:spacing w:after="0" w:line="254" w:lineRule="auto"/>
        <w:tabs>
          <w:tab w:leader="none" w:pos="80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Galera or one of its Subsidiaries exclusively owns all right, title, and interest to and in the Galera IP Rights (other than (A) Galera Licensed IP Rights, or co-owned rights each as identified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Galera Disclosure Schedule, and (B) any non-customized software that (1) is licensed to Galera or its Subsidiaries solely in executable or object code form pursuant to a nonexclusive, internal use software license and other Intellectual Property associated with such software and (2) is not incorporated into, or material to the development, manufacturing, or distribution of, any of Galera’s or its Subsidiaries’ products or services), (ii) all Galera Owned IP Rights and, to the Knowledge of Galera, other Galera IP Rights that are exclusively licensed to Galera are free and clear of any Encumbrances (other than Permitted Encumbrances) and (iii) Galera owns, or has a valid and enforceable right pursuant to a binding written Contract to use, all material Galera IP Rights currently used or practiced by Galera. Without limiting the generality of the foregoing:</w:t>
      </w:r>
    </w:p>
    <w:p>
      <w:pPr>
        <w:spacing w:after="0" w:line="83" w:lineRule="exact"/>
        <w:rPr>
          <w:rFonts w:ascii="Times New Roman" w:cs="Times New Roman" w:eastAsia="Times New Roman" w:hAnsi="Times New Roman"/>
          <w:sz w:val="18"/>
          <w:szCs w:val="18"/>
          <w:color w:val="auto"/>
        </w:rPr>
      </w:pPr>
    </w:p>
    <w:p>
      <w:pPr>
        <w:ind w:left="560" w:right="100" w:firstLine="419"/>
        <w:spacing w:after="0" w:line="274" w:lineRule="auto"/>
        <w:tabs>
          <w:tab w:leader="none" w:pos="1198" w:val="left"/>
        </w:tabs>
        <w:numPr>
          <w:ilvl w:val="1"/>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Knowledge of Galera, all documents and instruments necessary to register or apply for or renew registration of Galera Registered IP owned by Galera, and all documents and instruments necessary to register or apply for or renew registration of Galera Registered IP exclusively licensed to Galera, have been validly executed, delivered, and filed in a timely manner with the appropriate Governmental Authority. To the Knowledge of Galera, Galera has filed all statements of use and paid all renewal and maintenance fees, annuities and other fees with respect to the Galera Registered IP that are due or payable as of the date of this Agreement owned by Galera, and to the Knowledge of Galera, all documents and instruments necessary to register or apply for or renew registration of Galera Registered IP exclusively licensed to Galera.</w:t>
      </w:r>
    </w:p>
    <w:p>
      <w:pPr>
        <w:spacing w:after="0" w:line="64" w:lineRule="exact"/>
        <w:rPr>
          <w:rFonts w:ascii="Times New Roman" w:cs="Times New Roman" w:eastAsia="Times New Roman" w:hAnsi="Times New Roman"/>
          <w:sz w:val="17"/>
          <w:szCs w:val="17"/>
          <w:color w:val="auto"/>
        </w:rPr>
      </w:pPr>
    </w:p>
    <w:p>
      <w:pPr>
        <w:ind w:left="560" w:firstLine="419"/>
        <w:spacing w:after="0" w:line="258" w:lineRule="auto"/>
        <w:tabs>
          <w:tab w:leader="none" w:pos="1248"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instances that would not reasonably be expected to have, individually or in the aggregate, a Galera Material Adverse Effect, to the Knowledge of Galera each Person who is or was an employee, contractor or consultant of Galera or any of its Subsidiaries and who is or was involved in the creation, discovery, reduction to practice or development of any Intellectual Property for Galera or any of its Subsidiaries has signed a valid, enforceable written agreement containing a present assignment of all right, title and interest in and to such Intellectual Property to Galera or such Subsidiary and confidentiality provisions protecting trade secrets and confidential information of Galera and its Subsidiaries.</w:t>
      </w:r>
    </w:p>
    <w:p>
      <w:pPr>
        <w:spacing w:after="0" w:line="75" w:lineRule="exact"/>
        <w:rPr>
          <w:rFonts w:ascii="Times New Roman" w:cs="Times New Roman" w:eastAsia="Times New Roman" w:hAnsi="Times New Roman"/>
          <w:sz w:val="18"/>
          <w:szCs w:val="18"/>
          <w:color w:val="auto"/>
        </w:rPr>
      </w:pPr>
    </w:p>
    <w:p>
      <w:pPr>
        <w:ind w:left="560" w:right="20" w:firstLine="419"/>
        <w:spacing w:after="0" w:line="256" w:lineRule="auto"/>
        <w:tabs>
          <w:tab w:leader="none" w:pos="1298"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Galera, no current or former member, officer, director, or employee of Galera or any of its Subsidiaries has any claim, right (whether or not currently exercisable), or interest to or in any Galera IP Rights purported to be owned by Galera. To the Knowledge of Galera, no employee of Galera or any of its Subsidiaries is (A) bound by or otherwise subject to any Contract restricting him or her from performing his or her duties for Galera or such Subsidiary or (B) in breach of any Contract with any former employer or other Person concerning Galera IP Rights purported to be owned by Galera or such Subsidiary or confidentiality provisions protecting trade secrets and confidential information comprising Galera IP Rights purported to be owned by Galera or such Subsidiary.</w:t>
      </w:r>
    </w:p>
    <w:p>
      <w:pPr>
        <w:spacing w:after="0" w:line="79" w:lineRule="exact"/>
        <w:rPr>
          <w:rFonts w:ascii="Times New Roman" w:cs="Times New Roman" w:eastAsia="Times New Roman" w:hAnsi="Times New Roman"/>
          <w:sz w:val="18"/>
          <w:szCs w:val="18"/>
          <w:color w:val="auto"/>
        </w:rPr>
      </w:pPr>
    </w:p>
    <w:p>
      <w:pPr>
        <w:jc w:val="both"/>
        <w:ind w:left="560" w:right="40" w:firstLine="419"/>
        <w:spacing w:after="0" w:line="261" w:lineRule="auto"/>
        <w:tabs>
          <w:tab w:leader="none" w:pos="1288"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Authority were used, directly or indirectly, to develop or create, in whole or in part, any Galera Owned IP Rights, or, to the Knowledge of Galera, any Galera Licensed IP Rights. To the Knowledge of Galera, no Governmental Authority has any right to (including any “step-in” or “march-in” rights with respect to), ownership of, commercialization of, or right to royalties or other payments for any Galera Owned IP Rights, or, to the Knowledge of Galera, any Galera Licensed IP Rights.</w:t>
      </w:r>
    </w:p>
    <w:p>
      <w:pPr>
        <w:spacing w:after="0" w:line="71" w:lineRule="exact"/>
        <w:rPr>
          <w:rFonts w:ascii="Times New Roman" w:cs="Times New Roman" w:eastAsia="Times New Roman" w:hAnsi="Times New Roman"/>
          <w:sz w:val="18"/>
          <w:szCs w:val="18"/>
          <w:color w:val="auto"/>
        </w:rPr>
      </w:pPr>
    </w:p>
    <w:p>
      <w:pPr>
        <w:ind w:left="560" w:right="420" w:firstLine="419"/>
        <w:spacing w:after="0" w:line="282" w:lineRule="auto"/>
        <w:tabs>
          <w:tab w:leader="none" w:pos="1238"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and each of its Subsidiaries has taken reasonable steps to maintain the confidentiality of and otherwise protect, maintain and enforce its rights in all proprietary information that Galera or such Subsidiary holds, or purports to hold, as confidential or a trade secret.</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88"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Galera nor any of its Subsidiaries has assigned or otherwise transferred ownership of, or agreed to assign or otherwise transfer ownership of, any Galera IP Rights to any other Person.</w:t>
      </w:r>
    </w:p>
    <w:p>
      <w:pPr>
        <w:spacing w:after="0" w:line="53" w:lineRule="exact"/>
        <w:rPr>
          <w:rFonts w:ascii="Times New Roman" w:cs="Times New Roman" w:eastAsia="Times New Roman" w:hAnsi="Times New Roman"/>
          <w:sz w:val="18"/>
          <w:szCs w:val="18"/>
          <w:color w:val="auto"/>
        </w:rPr>
      </w:pPr>
    </w:p>
    <w:p>
      <w:pPr>
        <w:ind w:left="560" w:right="40" w:firstLine="419"/>
        <w:spacing w:after="0" w:line="266" w:lineRule="auto"/>
        <w:tabs>
          <w:tab w:leader="none" w:pos="1338"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Galera, each item of Galera IP Right has been duly maintained and is not expired, abandoned or cancelled. To the Knowledge of Galera, each of the Patents included in the Galera IP Rights identifies each and every inventor of the claims thereof as determined in accordance with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4" w:right="459" w:bottom="1440" w:gutter="0" w:footer="0" w:header="0"/>
        </w:sectPr>
      </w:pPr>
    </w:p>
    <w:bookmarkStart w:id="521" w:name="page522"/>
    <w:bookmarkEnd w:id="5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61" w:lineRule="auto"/>
        <w:rPr>
          <w:sz w:val="20"/>
          <w:szCs w:val="20"/>
          <w:color w:val="auto"/>
        </w:rPr>
      </w:pPr>
      <w:r>
        <w:rPr>
          <w:rFonts w:ascii="Times New Roman" w:cs="Times New Roman" w:eastAsia="Times New Roman" w:hAnsi="Times New Roman"/>
          <w:sz w:val="18"/>
          <w:szCs w:val="18"/>
          <w:color w:val="auto"/>
        </w:rPr>
        <w:t>applicable laws of the jurisdiction in which such Patent is issued or pending. To the Knowledge of Galera, each of Galera and its Subsidiaries and their respective patent counsel have complied with its duty of candor and disclosure and have made no material misrepresentations in the filings submitted to the applicable Governmental Authorities with respect to all Patents included in the Galera IP Rights for which Galera or any of its Subsidiaries is responsible for prosecuting.</w:t>
      </w:r>
    </w:p>
    <w:p>
      <w:pPr>
        <w:spacing w:after="0" w:line="72" w:lineRule="exact"/>
        <w:rPr>
          <w:sz w:val="20"/>
          <w:szCs w:val="20"/>
          <w:color w:val="auto"/>
        </w:rPr>
      </w:pPr>
    </w:p>
    <w:p>
      <w:pPr>
        <w:jc w:val="both"/>
        <w:ind w:left="560" w:right="100" w:firstLine="419"/>
        <w:spacing w:after="0" w:line="266" w:lineRule="auto"/>
        <w:tabs>
          <w:tab w:leader="none" w:pos="1388"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Galera, the Galera IP Rights constitute all Intellectual Property material to or necessary for Galera to conduct its business as currently conducted or currently proposed to be conducted as of the date hereof; provided, however, that the foregoing representation is not a representation with respect to non-infringement of Intellectual Property.</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has delivered, or made available to Obsidian, a complete and accurate copy of all material Galera IP Rights Agreements.</w:t>
      </w:r>
    </w:p>
    <w:p>
      <w:pPr>
        <w:spacing w:after="0" w:line="225"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Galera, the conduct of the business of Galera as has been conducted since January 1, 2023 and as is currently being conducted, including the manufacture, marketing, offering for sale, sale, importation, use or intended use or other disposal of any product as currently sold or under development by Galera, (i) has not violated and does not presently violate, any license or agreement between Galera or its Subsidiaries and any Person in any material respect, and (ii) to the Knowledge of Galera, has not infringed, misappropriated, or otherwise violated, and does not infringe, misappropriate or otherwise violate any valid and issued Patents or other Intellectual Property of any other Person, which infringement would reasonably be expected to have a Galera Material Adverse Effect. To the Knowledge of Galera, since January 1, 2023, no Person has engaged in the unauthorized use of, or has infringed, misappropriated, or otherwise violated any Patents within the Galera IP Rights, or otherwise violating any Galera IP Rights Agreement.</w:t>
      </w:r>
    </w:p>
    <w:p>
      <w:pPr>
        <w:spacing w:after="0" w:line="191" w:lineRule="exact"/>
        <w:rPr>
          <w:rFonts w:ascii="Times New Roman" w:cs="Times New Roman" w:eastAsia="Times New Roman" w:hAnsi="Times New Roman"/>
          <w:sz w:val="18"/>
          <w:szCs w:val="18"/>
          <w:color w:val="auto"/>
        </w:rPr>
      </w:pPr>
    </w:p>
    <w:p>
      <w:pPr>
        <w:ind w:left="120" w:right="40" w:firstLine="436"/>
        <w:spacing w:after="0" w:line="254" w:lineRule="auto"/>
        <w:tabs>
          <w:tab w:leader="none" w:pos="81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and since January 1, 2023, neither Galera nor any of its Subsidiaries is or has been a party to any, or is the subject of any pending or, to the Knowledge of Galera, threatened in writing, Legal Proceeding (including, but not limited to, opposition, interference or other proceeding in any patent or other government office) contesting the validity, enforceability, ownership or right to use, sell, offer for sale, license or dispose of any Galera IP Rights. None of the Galera Owned IP Rights, and to the Knowledge of Galera, any Galera Licensed IP Rights, have been adjudged invalid or unenforceable in whole or part, and all Galera Owned IP Rights, and to the Knowledge of Galera, all Galera Licensed IP Rights, are in full force and effect. Neither Galera nor any of its Subsidiaries have received any written notice asserting that any Galera IP Rights or the proposed use, sale, offer for sale, license or disposition of products, methods, or processes claimed or covered thereunder infringes or misappropriates or violates the rights of any other Person or that Galera or any of its Subsidiaries have otherwise infringed, misappropriated or otherwise violated any Intellectual Property of any Person.</w:t>
      </w:r>
    </w:p>
    <w:p>
      <w:pPr>
        <w:spacing w:after="0" w:line="188"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77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Galera, no trademark (whether registered or unregistered) or trade name owned, used, or applied for by Galera conflicts or interferes with any trademark (whether registered or unregistered) or trade name owned, used, or applied for by any other Person except as would not have a Galera Material Adverse Effect. To the Knowledge of Galera, none of the goodwill associated with or inherent in any trademark (whether registered or unregistered) in which Galera or its Subsidiaries has or purports to have an ownership interest has been impaired as determined by Galera in accordance with GAAP. </w:t>
      </w:r>
      <w:r>
        <w:rPr>
          <w:rFonts w:ascii="Times New Roman" w:cs="Times New Roman" w:eastAsia="Times New Roman" w:hAnsi="Times New Roman"/>
          <w:sz w:val="18"/>
          <w:szCs w:val="18"/>
          <w:u w:val="single" w:color="auto"/>
          <w:color w:val="auto"/>
        </w:rPr>
        <w:t>Section 4.12(i)</w:t>
      </w:r>
      <w:r>
        <w:rPr>
          <w:rFonts w:ascii="Times New Roman" w:cs="Times New Roman" w:eastAsia="Times New Roman" w:hAnsi="Times New Roman"/>
          <w:sz w:val="18"/>
          <w:szCs w:val="18"/>
          <w:color w:val="auto"/>
        </w:rPr>
        <w:t xml:space="preserve"> of the Galera Disclosure Schedule sets forth all material unregistered trademarks included in the Galera IP Rights.</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775"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would not reasonably be expected to have a Galera Material Adverse Effect, (ii) as may be set forth in </w:t>
      </w:r>
      <w:r>
        <w:rPr>
          <w:rFonts w:ascii="Times New Roman" w:cs="Times New Roman" w:eastAsia="Times New Roman" w:hAnsi="Times New Roman"/>
          <w:sz w:val="18"/>
          <w:szCs w:val="18"/>
          <w:u w:val="single" w:color="auto"/>
          <w:color w:val="auto"/>
        </w:rPr>
        <w:t>Section 4.12(j)</w:t>
      </w:r>
      <w:r>
        <w:rPr>
          <w:rFonts w:ascii="Times New Roman" w:cs="Times New Roman" w:eastAsia="Times New Roman" w:hAnsi="Times New Roman"/>
          <w:sz w:val="18"/>
          <w:szCs w:val="18"/>
          <w:color w:val="auto"/>
        </w:rPr>
        <w:t xml:space="preserve"> of the Galera Disclosure Schedule or (iii) as contained in license, distribution or service agreements entered into in the Ordinary Course of Business by Galera, to the Knowledge of Galera, (A) neither Galera nor any of its Subsidiaries is bound by any Contract to indemnify, defend, hold harmless, or reimburse any other Person with respect to any Intellectual Property infringement, misappropriation, or similar claim which is material to Galera or any of its Subsidiaries, taken as a whole and (B) neither Galera nor any of its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4" w:right="459" w:bottom="1440" w:gutter="0" w:footer="0" w:header="0"/>
        </w:sectPr>
      </w:pPr>
    </w:p>
    <w:bookmarkStart w:id="522" w:name="page523"/>
    <w:bookmarkEnd w:id="5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76" w:lineRule="exact"/>
        <w:rPr>
          <w:sz w:val="20"/>
          <w:szCs w:val="20"/>
          <w:color w:val="auto"/>
        </w:rPr>
      </w:pPr>
    </w:p>
    <w:p>
      <w:pPr>
        <w:ind w:left="120" w:right="160" w:firstLine="436"/>
        <w:spacing w:after="0" w:line="270" w:lineRule="auto"/>
        <w:tabs>
          <w:tab w:leader="none" w:pos="815" w:val="left"/>
        </w:tabs>
        <w:numPr>
          <w:ilvl w:val="1"/>
          <w:numId w:val="3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execution and delivery of this Agreement, the consummation of the transactions contemplated hereby or the performance by Galera of its obligations hereunder conflict or will conflict with, alter or impair any of Galera’s rights in, to and under any material Galera IP Rights or the validity, enforceability, priority, scope or duration of any material Galera IP Rights. Without limiting the foregoing, to the Knowledge of Galera, neither Galera nor any of its Subsidiaries is party to any Contract that, as a result of such execution, delivery and performance of this Agreement, will</w:t>
      </w:r>
    </w:p>
    <w:p>
      <w:pPr>
        <w:spacing w:after="0" w:line="2" w:lineRule="exact"/>
        <w:rPr>
          <w:rFonts w:ascii="Times New Roman" w:cs="Times New Roman" w:eastAsia="Times New Roman" w:hAnsi="Times New Roman"/>
          <w:sz w:val="17"/>
          <w:szCs w:val="17"/>
          <w:color w:val="auto"/>
        </w:rPr>
      </w:pPr>
    </w:p>
    <w:p>
      <w:pPr>
        <w:ind w:left="120" w:hanging="4"/>
        <w:spacing w:after="0" w:line="252" w:lineRule="auto"/>
        <w:tabs>
          <w:tab w:leader="none" w:pos="335"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grant, assignment or transfer to any other Person of any license or other right to or in any Galera IP Rights, (ii) result in breach of, default under or termination of such Contract with respect to any Galera IP Rights, (iii) alter, encumber impair or extinguish, or result in any Encumbrance with respect to the right of Galera or the Surviving Corporation and its Subsidiaries to use, sell or license or enforce any Galera IP Rights or portion thereof or (iv) result in Galera or any of its Subsidiaries being bound by or subject to any exclusivity obligations, non-compete or other restrictions on the operation or scope of their respective businesses, or to any obligation to grant any rights in or to any Galera IP Rights, except, in each of (i), (ii), (iii) and (iv), for the occurrence of any such grant or impairment that would not individually or in the aggregate, reasonably be expected to result in a Galera Material Adverse Effect.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Agreements, Contracts and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00" w:firstLine="436"/>
        <w:spacing w:after="0" w:line="282" w:lineRule="auto"/>
        <w:tabs>
          <w:tab w:leader="none" w:pos="80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Galera Disclosure Schedule lists the following Galera Contracts in effect as of the date of this Agreement other than the Securities Purchase Agreement (each, a “</w:t>
      </w:r>
      <w:r>
        <w:rPr>
          <w:rFonts w:ascii="Times New Roman" w:cs="Times New Roman" w:eastAsia="Times New Roman" w:hAnsi="Times New Roman"/>
          <w:sz w:val="18"/>
          <w:szCs w:val="18"/>
          <w:b w:val="1"/>
          <w:bCs w:val="1"/>
          <w:color w:val="auto"/>
        </w:rPr>
        <w:t>Galera Material Contract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Galera Material Contracts</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60" w:right="80" w:firstLine="419"/>
        <w:spacing w:after="0" w:line="282" w:lineRule="auto"/>
        <w:tabs>
          <w:tab w:leader="none" w:pos="119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that is a collective bargaining agreement or other agreement or arrangement with any labor union, works council or labor organization;</w:t>
      </w:r>
    </w:p>
    <w:p>
      <w:pPr>
        <w:spacing w:after="0" w:line="53" w:lineRule="exact"/>
        <w:rPr>
          <w:rFonts w:ascii="Times New Roman" w:cs="Times New Roman" w:eastAsia="Times New Roman" w:hAnsi="Times New Roman"/>
          <w:sz w:val="18"/>
          <w:szCs w:val="18"/>
          <w:color w:val="auto"/>
        </w:rPr>
      </w:pPr>
    </w:p>
    <w:p>
      <w:pPr>
        <w:ind w:left="560" w:right="240" w:firstLine="419"/>
        <w:spacing w:after="0" w:line="282" w:lineRule="auto"/>
        <w:tabs>
          <w:tab w:leader="none" w:pos="124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for the employment or engagement of any individual on an employee, consulting or other basis that provides for annual base compensation in excess of $250,000;</w:t>
      </w:r>
    </w:p>
    <w:p>
      <w:pPr>
        <w:spacing w:after="0" w:line="53"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9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with any Galera Associate that provides for retention, change in control, transaction or other similar payments or benefits, whether or not payable as a result of the Contemplated Transactions;</w:t>
      </w:r>
    </w:p>
    <w:p>
      <w:pPr>
        <w:spacing w:after="0" w:line="5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relating to any agreement of indemnification or guaranty not entered into in the Ordinary Course of Business;</w:t>
      </w:r>
    </w:p>
    <w:p>
      <w:pPr>
        <w:spacing w:after="0" w:line="117" w:lineRule="exact"/>
        <w:rPr>
          <w:rFonts w:ascii="Times New Roman" w:cs="Times New Roman" w:eastAsia="Times New Roman" w:hAnsi="Times New Roman"/>
          <w:sz w:val="18"/>
          <w:szCs w:val="18"/>
          <w:color w:val="auto"/>
        </w:rPr>
      </w:pPr>
    </w:p>
    <w:p>
      <w:pPr>
        <w:ind w:left="560" w:right="280" w:firstLine="419"/>
        <w:spacing w:after="0" w:line="266" w:lineRule="auto"/>
        <w:tabs>
          <w:tab w:leader="none" w:pos="123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containing (A) any covenant limiting the freedom of Galera or any of its Subsidiaries to engage in any line of business or compete with any Person, or limiting the development, manufacture, or distribution of Galera’s products or services, (B) any most-favored pricing arrangement, (C) any exclusivity provision or (D) any non-solicitation provision;</w:t>
      </w:r>
    </w:p>
    <w:p>
      <w:pPr>
        <w:spacing w:after="0" w:line="6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(A) pursuant to which any Person granted Galera an exclusive license under any Intellectual Property, or</w:t>
      </w:r>
    </w:p>
    <w:p>
      <w:pPr>
        <w:spacing w:after="0" w:line="27" w:lineRule="exact"/>
        <w:rPr>
          <w:sz w:val="20"/>
          <w:szCs w:val="20"/>
          <w:color w:val="auto"/>
        </w:rPr>
      </w:pPr>
    </w:p>
    <w:p>
      <w:pPr>
        <w:ind w:left="840" w:hanging="284"/>
        <w:spacing w:after="0"/>
        <w:tabs>
          <w:tab w:leader="none" w:pos="84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which Galera granted any Person an exclusive license under any Galera IP Rights;</w:t>
      </w:r>
    </w:p>
    <w:p>
      <w:pPr>
        <w:spacing w:after="0" w:line="98" w:lineRule="exact"/>
        <w:rPr>
          <w:rFonts w:ascii="Times New Roman" w:cs="Times New Roman" w:eastAsia="Times New Roman" w:hAnsi="Times New Roman"/>
          <w:sz w:val="18"/>
          <w:szCs w:val="18"/>
          <w:color w:val="auto"/>
        </w:rPr>
      </w:pPr>
    </w:p>
    <w:p>
      <w:pPr>
        <w:ind w:left="560" w:right="320" w:firstLine="419"/>
        <w:spacing w:after="0" w:line="282" w:lineRule="auto"/>
        <w:tabs>
          <w:tab w:leader="none" w:pos="133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relating to capital expenditures and requiring payments after the date of this Agreement in excess of $250,000 pursuant to its express terms and not cancelable without penalty;</w:t>
      </w:r>
    </w:p>
    <w:p>
      <w:pPr>
        <w:spacing w:after="0" w:line="53" w:lineRule="exact"/>
        <w:rPr>
          <w:rFonts w:ascii="Times New Roman" w:cs="Times New Roman" w:eastAsia="Times New Roman" w:hAnsi="Times New Roman"/>
          <w:sz w:val="18"/>
          <w:szCs w:val="18"/>
          <w:color w:val="auto"/>
        </w:rPr>
      </w:pPr>
    </w:p>
    <w:p>
      <w:pPr>
        <w:ind w:left="560" w:right="180" w:firstLine="419"/>
        <w:spacing w:after="0" w:line="282" w:lineRule="auto"/>
        <w:tabs>
          <w:tab w:leader="none" w:pos="138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relating to the disposition or acquisition of material assets or any ownership interest in any Entity, in each case, involving payments in excess of $250,000 after the date of this Agreement;</w:t>
      </w:r>
    </w:p>
    <w:p>
      <w:pPr>
        <w:spacing w:after="0" w:line="53" w:lineRule="exact"/>
        <w:rPr>
          <w:rFonts w:ascii="Times New Roman" w:cs="Times New Roman" w:eastAsia="Times New Roman" w:hAnsi="Times New Roman"/>
          <w:sz w:val="18"/>
          <w:szCs w:val="18"/>
          <w:color w:val="auto"/>
        </w:rPr>
      </w:pPr>
    </w:p>
    <w:p>
      <w:pPr>
        <w:ind w:left="560" w:right="140" w:firstLine="419"/>
        <w:spacing w:after="0" w:line="266" w:lineRule="auto"/>
        <w:tabs>
          <w:tab w:leader="none" w:pos="128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Galera or any loans or debt obligations with officers or directors of Galera;</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4" w:right="459" w:bottom="1440" w:gutter="0" w:footer="0" w:header="0"/>
        </w:sectPr>
      </w:pPr>
    </w:p>
    <w:bookmarkStart w:id="523" w:name="page524"/>
    <w:bookmarkEnd w:id="5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200" w:firstLine="419"/>
        <w:spacing w:after="0" w:line="253" w:lineRule="auto"/>
        <w:tabs>
          <w:tab w:leader="none" w:pos="1238"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requiring payment by or to Galera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Galera, (C) any dealer, distributor, joint marketing, alliance, joint venture, cooperation, development or other agreement currently in force under which Galera or any of its Subsidiaries has continuing obligations to develop or market any product, technology or service, or any agreement pursuant to which Galera or any of its Subsidiaries has continuing obligations to develop any Intellectual Property that will not be owned, in whole or in part, by Galera or such Subsidiary or (D) any Contract to license any patent, trademark registration, service mark registration, trade name or copyright registration to or from any third party to manufacture or produce any product, service or technology of Galera or any of its Subsidiaries or any Contract to sell, distribute or commercialize any products or service of Galera or any of its Subsidiaries, in each case, except for Galera Contracts entered into in the Ordinary Course of Business;</w:t>
      </w:r>
    </w:p>
    <w:p>
      <w:pPr>
        <w:spacing w:after="0" w:line="86" w:lineRule="exact"/>
        <w:rPr>
          <w:rFonts w:ascii="Times New Roman" w:cs="Times New Roman" w:eastAsia="Times New Roman" w:hAnsi="Times New Roman"/>
          <w:sz w:val="18"/>
          <w:szCs w:val="18"/>
          <w:color w:val="auto"/>
        </w:rPr>
      </w:pPr>
    </w:p>
    <w:p>
      <w:pPr>
        <w:ind w:left="560" w:right="380" w:firstLine="419"/>
        <w:spacing w:after="0" w:line="282" w:lineRule="auto"/>
        <w:tabs>
          <w:tab w:leader="none" w:pos="1288"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with any Person, including any financial advisor, broker, finder, investment banker or other Person, providing advisory services to Galera in connection with the Contemplated Transactions;</w:t>
      </w:r>
    </w:p>
    <w:p>
      <w:pPr>
        <w:spacing w:after="0" w:line="53" w:lineRule="exact"/>
        <w:rPr>
          <w:rFonts w:ascii="Times New Roman" w:cs="Times New Roman" w:eastAsia="Times New Roman" w:hAnsi="Times New Roman"/>
          <w:sz w:val="18"/>
          <w:szCs w:val="18"/>
          <w:color w:val="auto"/>
        </w:rPr>
      </w:pPr>
    </w:p>
    <w:p>
      <w:pPr>
        <w:ind w:left="560" w:right="360" w:firstLine="419"/>
        <w:spacing w:after="0" w:line="282" w:lineRule="auto"/>
        <w:tabs>
          <w:tab w:leader="none" w:pos="1338"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Contract to which Galera or any of its Subsidiaries is a party or by which any of their assets and properties is currently bound, which involves annual obligations of payment by, or annual payments to, Galera or such Subsidiary in excess of $250,000;</w:t>
      </w:r>
    </w:p>
    <w:p>
      <w:pPr>
        <w:spacing w:after="0" w:line="53"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Galera Real Estate Lease;</w:t>
      </w:r>
    </w:p>
    <w:p>
      <w:pPr>
        <w:spacing w:after="0" w:line="117"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Contract disclosed in or required to be disclosed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 xml:space="preserve"> of the Galera Disclosure Schedule; or</w:t>
      </w:r>
    </w:p>
    <w:p>
      <w:pPr>
        <w:spacing w:after="0" w:line="117" w:lineRule="exact"/>
        <w:rPr>
          <w:rFonts w:ascii="Times New Roman" w:cs="Times New Roman" w:eastAsia="Times New Roman" w:hAnsi="Times New Roman"/>
          <w:sz w:val="18"/>
          <w:szCs w:val="18"/>
          <w:color w:val="auto"/>
        </w:rPr>
      </w:pPr>
    </w:p>
    <w:p>
      <w:pPr>
        <w:ind w:left="560" w:firstLine="419"/>
        <w:spacing w:after="0" w:line="261" w:lineRule="auto"/>
        <w:tabs>
          <w:tab w:leader="none" w:pos="1328"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Galera Contract that is not terminable at will (with no penalty or payment) by Galera or any of its Subsidiaries, and (A) which involves payment or receipt by Galera or such Subsidiary after the date of this Agreement under any such agreement, contract or commitment of more than $250,000 in the aggregate, or obligations after the date of this Agreement in excess of $250,000 in the aggregate or (B) that is material to the business or operations of Galera and its Subsidiaries taken as a whole.</w:t>
      </w:r>
    </w:p>
    <w:p>
      <w:pPr>
        <w:spacing w:after="0" w:line="179" w:lineRule="exact"/>
        <w:rPr>
          <w:rFonts w:ascii="Times New Roman" w:cs="Times New Roman" w:eastAsia="Times New Roman" w:hAnsi="Times New Roman"/>
          <w:sz w:val="18"/>
          <w:szCs w:val="18"/>
          <w:color w:val="auto"/>
        </w:rPr>
      </w:pPr>
    </w:p>
    <w:p>
      <w:pPr>
        <w:ind w:left="120" w:right="20" w:firstLine="436"/>
        <w:spacing w:after="0" w:line="272" w:lineRule="auto"/>
        <w:tabs>
          <w:tab w:leader="none" w:pos="815" w:val="left"/>
        </w:tabs>
        <w:numPr>
          <w:ilvl w:val="0"/>
          <w:numId w:val="3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Galera has delivered or made available to Obsidian accurate and complete copies of all Galera Material Contracts, including all amendments thereto. There are no Galera Material Contracts that are not in written form. Galera has not, nor, to Galera’s Knowledge as of the date of this Agreement, has any other party to a Galera Material Contract, breached, violated or defaulted under, or received notice that it breached, violated or defaulted under, any of the terms or conditions of any Galera Material Contract in such manner as would permit any other party to cancel or terminate any such Galera Material Contract, or would permit any other party to seek damages which would reasonably be expected to have a Galera Material Adverse Effect. As to Galera and its Subsidiaries, as of the date of this Agreement, each Galera Material Contract is valid, binding, enforceable and in full force and effect, subject to the Enforceability Exceptions. No Person is renegotiating, or has a right pursuant to the terms of any Galera Material Contract to change, any material amount paid or payable to Galera under any Galera Material Contract or any other material term or provision of any Galera Material Contract.</w:t>
      </w:r>
    </w:p>
    <w:p>
      <w:pPr>
        <w:spacing w:after="0" w:line="172"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Absence of Certain Agreements</w:t>
      </w:r>
      <w:r>
        <w:rPr>
          <w:rFonts w:ascii="Times New Roman" w:cs="Times New Roman" w:eastAsia="Times New Roman" w:hAnsi="Times New Roman"/>
          <w:sz w:val="18"/>
          <w:szCs w:val="18"/>
          <w:color w:val="auto"/>
        </w:rPr>
        <w:t>. As of the date hereof, neither Parent, Obsidian Merger Sub and Galera Merger Sub nor any of their respective Affiliates has entered into any agreement, arrangement or understanding (in each case, whether oral or written), or authorized, committed or agreed to enter into any agreement, arrangement or understanding (in each case, whether oral or written), (i) pursuant to which any stockholder of Galera would be entitled to receive, in respect of any share of Parent Common Stock, consideration of a different amount or nature than the Galera Merger Shares or pursuant to which any stockholder of Galera has agreed to vote to adopt this Agreement or has agreed to vote against any Superior Offer or (ii) pursuant to which any stockholder of Galera or any of its Subsidiaries has agreed to make an investment in, or contribution to, Parent, Obsidian Merger Sub and Galera Merger Sub in connection with the transactions contemplated by this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4" w:right="459" w:bottom="1440" w:gutter="0" w:footer="0" w:header="0"/>
        </w:sectPr>
      </w:pPr>
    </w:p>
    <w:bookmarkStart w:id="524" w:name="page525"/>
    <w:bookmarkEnd w:id="5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Agreement. As of the date hereof, other than the Galera Stockholder Support Agreements and the Obsidian Stockholder Support Agreements, there are no agreements, arrangements or understandings (in each case, whether oral or written) between Galera, Parent, Obsidian Merger Sub and Galera Merger Sub or any of their respective Affiliates, on the one hand, and any member of the Galera’s management or directors, on the other hand, that relate in any way to, or are in connection with, the transactions contemplated by this Agreement or the operations of Parent, Galera or any of their Subsidiaries or, following the Galera Effective Time, the Galera Surviving Corporation or any of its Subsidiaries. None of Parent, Obsidian Merger Sub and Galera Merger Sub (or any of their respective Affiliates) has entered into any Contract with any Person prohibiting or seeking to prohibit such Person from providing or seeking to provide debt financing to any Person in connection with a transaction involving the Galera or any of its Subsidiaries in connection with the Mergers.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Compliance; Permits;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4" w:lineRule="auto"/>
        <w:tabs>
          <w:tab w:leader="none" w:pos="80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and each of its Subsidiaries is, and since January 1, 2023, has been in material compliance with all applicable Laws, including the FDCA, the PHSA, FDA regulations adopted thereunder or any other applicable Law promulgated by the FDA or other Drug Regulatory Agency. No investigation, claim, suit, proceeding, audit, Order, or other action by any Governmental Authority is pending or, to the Knowledge of Galera, threatened against Galera or any of its Subsidiaries. There is no agreement or Order binding upon Galera or any of its Subsidiaries which (i) has or could reasonably be expected to have the effect of prohibiting or materially impairing any business practice of Galera or any of its Subsidiaries, any acquisition of material property by Galera or any of its Subsidiaries or the conduct of business by Galera or any of its Subsidiaries as currently conducted, (ii) is reasonably likely to have an adverse effect on Galera’s ability to comply with or perform any covenant or obligation under this Agreement or (iii) is reasonably likely to have the effect of preventing, delaying, making illegal or otherwise interfering with the Contemplated Transactions.</w:t>
      </w:r>
    </w:p>
    <w:p>
      <w:pPr>
        <w:spacing w:after="0" w:line="188" w:lineRule="exact"/>
        <w:rPr>
          <w:rFonts w:ascii="Times New Roman" w:cs="Times New Roman" w:eastAsia="Times New Roman" w:hAnsi="Times New Roman"/>
          <w:sz w:val="18"/>
          <w:szCs w:val="18"/>
          <w:color w:val="auto"/>
        </w:rPr>
      </w:pPr>
    </w:p>
    <w:p>
      <w:pPr>
        <w:ind w:left="120" w:right="60" w:firstLine="436"/>
        <w:spacing w:after="0" w:line="261" w:lineRule="auto"/>
        <w:tabs>
          <w:tab w:leader="none" w:pos="81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Galera and its Subsidiaries holds all required Governmental Authorizations that are material to the operation of the business of Galera as currently conducted (collectively, the “</w:t>
      </w:r>
      <w:r>
        <w:rPr>
          <w:rFonts w:ascii="Times New Roman" w:cs="Times New Roman" w:eastAsia="Times New Roman" w:hAnsi="Times New Roman"/>
          <w:sz w:val="18"/>
          <w:szCs w:val="18"/>
          <w:b w:val="1"/>
          <w:bCs w:val="1"/>
          <w:color w:val="auto"/>
        </w:rPr>
        <w:t>Galera Permits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4.15(b)</w:t>
      </w:r>
      <w:r>
        <w:rPr>
          <w:rFonts w:ascii="Times New Roman" w:cs="Times New Roman" w:eastAsia="Times New Roman" w:hAnsi="Times New Roman"/>
          <w:sz w:val="18"/>
          <w:szCs w:val="18"/>
          <w:color w:val="auto"/>
        </w:rPr>
        <w:t xml:space="preserve"> of the Galera Disclosure Schedule identifies each Galera Permit. Each of Galera and its Subsidiaries is in material compliance with the terms of the Galera Permits. No Legal Proceeding is pending or, to the Knowledge of Galera, threatened, which seeks to revoke, substantially limit, suspend, or materially modify any Galera Permit.</w:t>
      </w:r>
    </w:p>
    <w:p>
      <w:pPr>
        <w:spacing w:after="0" w:line="179" w:lineRule="exact"/>
        <w:rPr>
          <w:rFonts w:ascii="Times New Roman" w:cs="Times New Roman" w:eastAsia="Times New Roman" w:hAnsi="Times New Roman"/>
          <w:sz w:val="18"/>
          <w:szCs w:val="18"/>
          <w:color w:val="auto"/>
        </w:rPr>
      </w:pPr>
    </w:p>
    <w:p>
      <w:pPr>
        <w:jc w:val="both"/>
        <w:ind w:left="120" w:right="80" w:firstLine="436"/>
        <w:spacing w:after="0" w:line="266" w:lineRule="auto"/>
        <w:tabs>
          <w:tab w:leader="none" w:pos="80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Proceedings pending or, to the Knowledge of Galera, threatened in writing with respect to an alleged material violation by Galera or any of its Subsidiaries of the FDCA, PHSA, FDA regulations adopted thereunder, the Controlled Substances Act or any other applicable Law promulgated by a Drug Regulatory Agency.</w:t>
      </w:r>
    </w:p>
    <w:p>
      <w:pPr>
        <w:spacing w:after="0" w:line="175"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Galera and its Subsidiaries holds all required material Governmental Authorizations issuable by any Drug Regulatory Agency necessary for the conduct of the business of Galera as currently conducted, and, as applicable, the research, development, testing, manufacturing, packaging, processing, storage, labeling, sale, marketing, advertising, distribution and importation or exportation, as currently conducted, of any of its product candidates (the “</w:t>
      </w:r>
      <w:r>
        <w:rPr>
          <w:rFonts w:ascii="Times New Roman" w:cs="Times New Roman" w:eastAsia="Times New Roman" w:hAnsi="Times New Roman"/>
          <w:sz w:val="18"/>
          <w:szCs w:val="18"/>
          <w:b w:val="1"/>
          <w:bCs w:val="1"/>
          <w:color w:val="auto"/>
        </w:rPr>
        <w:t>Galera Product Candidates</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Galera Regulatory Permits</w:t>
      </w:r>
      <w:r>
        <w:rPr>
          <w:rFonts w:ascii="Times New Roman" w:cs="Times New Roman" w:eastAsia="Times New Roman" w:hAnsi="Times New Roman"/>
          <w:sz w:val="18"/>
          <w:szCs w:val="18"/>
          <w:color w:val="auto"/>
        </w:rPr>
        <w:t>”) and no such Galera Regulatory Permit has been (i) revoked, withdrawn, suspended, cancelled or terminated or (ii) modified in any material, adverse manner, in the case of each of (i) and (ii) by a Drug Regulatory Agency. Galera has timely maintained and is in compliance in all material respects with the Galera Regulatory Permits and neither Galera nor any of its Subsidiaries has, since January 1, 2023, received any written notice or other written communication from any Drug Regulatory Agency regarding (A) any material violation of or failure to comply materially with any term or requirement of any Galera Regulatory Permit or (B) any revocation, withdrawal, suspension, cancellation, termination or material modification of any Galera Regulatory Permit.</w:t>
      </w:r>
    </w:p>
    <w:p>
      <w:pPr>
        <w:spacing w:after="0" w:line="188"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80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all clinical, pre-clinical and other studies and tests conducted by or on behalf of, or sponsored by, Galera or its Subsidiaries, in which Galera or its Subsidiaries or their respective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00"/>
          </w:cols>
          <w:pgMar w:left="320" w:top="454" w:right="479" w:bottom="1440" w:gutter="0" w:footer="0" w:header="0"/>
        </w:sectPr>
      </w:pPr>
    </w:p>
    <w:bookmarkStart w:id="525" w:name="page526"/>
    <w:bookmarkEnd w:id="5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product candidates, including the Galera Product Candidates, have participated, were and, if still pending, are being conducted in compliance in all material respects with the applicable regulations of the Drug Regulatory Agencies and other applicable Law, including, without limitation, 21 C.F.R. Parts 50, 54, 56, 58 and 312, 45 C.F.R. Part 46, and all other applicable Laws governing informed consent, institutional review boards, and the protection of human subjects. Other than as set forth on </w:t>
      </w:r>
      <w:r>
        <w:rPr>
          <w:rFonts w:ascii="Times New Roman" w:cs="Times New Roman" w:eastAsia="Times New Roman" w:hAnsi="Times New Roman"/>
          <w:sz w:val="18"/>
          <w:szCs w:val="18"/>
          <w:u w:val="single" w:color="auto"/>
          <w:color w:val="auto"/>
        </w:rPr>
        <w:t>Section 4.15(e)</w:t>
      </w:r>
      <w:r>
        <w:rPr>
          <w:rFonts w:ascii="Times New Roman" w:cs="Times New Roman" w:eastAsia="Times New Roman" w:hAnsi="Times New Roman"/>
          <w:sz w:val="18"/>
          <w:szCs w:val="18"/>
          <w:color w:val="auto"/>
        </w:rPr>
        <w:t xml:space="preserve"> of the Galera Disclosure Schedule, neither Galera nor any of its Subsidiaries has received any written notices, correspondence, or other communications from any Drug Regulatory Agency requiring, or, to the Knowledge of Galera, threatening any action to place a clinical hold order on, or otherwise terminate, delay, or suspend any clinical studies conducted by or on behalf of, or sponsored by, Galera or any of its Subsidiaries or in which Galera or any of its Subsidiaries or its current product candidates, including the Galera Product Candidates, have participated.</w:t>
      </w:r>
    </w:p>
    <w:p>
      <w:pPr>
        <w:spacing w:after="0" w:line="192" w:lineRule="exact"/>
        <w:rPr>
          <w:sz w:val="20"/>
          <w:szCs w:val="20"/>
          <w:color w:val="auto"/>
        </w:rPr>
      </w:pPr>
    </w:p>
    <w:p>
      <w:pPr>
        <w:ind w:left="120" w:firstLine="436"/>
        <w:spacing w:after="0" w:line="252" w:lineRule="auto"/>
        <w:tabs>
          <w:tab w:leader="none" w:pos="7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Galera nor any of its Subsidiaries, and, to the Knowledge of Galera, any contract manufacturer in relation to its activities with respect to any Galera Product Candidate, is the subject of any pending or, to the Knowledge of Galera, threatened investigation in respect of its business or products by the FDA pursuant to its “Fraud, Untrue Statements of Material Facts, Bribery, and Illegal Gratuities” Final Policy set forth in 56 Fed. Reg. 46191 (September 10, 1991) and any amendments thereto, or any other applicable Law. To the Knowledge of Galera, neither Galera nor any of its Subsidiaries nor any contract manufacturer in relation to its activities with respect to any Galera Product Candidate has committed any acts, made any statement, or failed to make any statement, in each case in respect of Galera’s business or products that would violate the FDA’s “Fraud, Untrue Statements of Material Facts, Bribery, and Illegal Gratuities” Final Policy, and any amendments thereto, or any other applicable Law. None of Galera, any of its Subsidiaries, and to the Knowledge of Galera, any contract manufacturer in relation to its activities with respect to any Galera Product Candidate, or any of their respective officers, employees or agents has been convicted of any crime or engaged in any conduct that could result in a debarment or exclusion under (i) 21 U.S.C. Section 335a (ii) 42 U.S.C. § 1320a-7, or (iii) any other applicable Law. To the Knowledge of Galera, no debarment or exclusionary claims, actions, proceedings or investigations in respect of Galera’s or its Subsidiaries’ business or Galera Product Candidates are pending or threatened against Galera, any of its Subsidiaries, and to the Knowledge of Galera, any contract manufacturer in relation to its activities with respect to any Galera Product Candidate, or any of its respective officers, employees or agents. Neither Galera nor any of its Subsidiaries is a party to or has any reporting obligations under any corporate integrity agreements, monitoring agreements, deferred or non-prosecution agreements, consent decrees, settlement orders, or similar agreements with or imposed by any Governmental Authority.</w:t>
      </w:r>
    </w:p>
    <w:p>
      <w:pPr>
        <w:spacing w:after="0" w:line="195" w:lineRule="exact"/>
        <w:rPr>
          <w:rFonts w:ascii="Times New Roman" w:cs="Times New Roman" w:eastAsia="Times New Roman" w:hAnsi="Times New Roman"/>
          <w:sz w:val="18"/>
          <w:szCs w:val="18"/>
          <w:color w:val="auto"/>
        </w:rPr>
      </w:pPr>
    </w:p>
    <w:p>
      <w:pPr>
        <w:ind w:left="120" w:firstLine="436"/>
        <w:spacing w:after="0" w:line="257" w:lineRule="auto"/>
        <w:tabs>
          <w:tab w:leader="none" w:pos="81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manufacturing operations conducted by, or to the Knowledge of Galera, for the benefit of, Galera or its Subsidiaries in connection with any Galera Product Candidate, since January 1, 2023, have been and are being conducted in compliance in all material respects with applicable Laws, including the FDA’s standards for current good manufacturing practices, including applicable requirements contained in 21 C.F.R. Parts 210, 211,</w:t>
      </w:r>
    </w:p>
    <w:p>
      <w:pPr>
        <w:spacing w:after="0" w:line="1"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600-680 and 1271, and the applicable respective counterparts thereof promulgated by Governmental Authorities in countries outside the United States.</w:t>
      </w:r>
    </w:p>
    <w:p>
      <w:pPr>
        <w:spacing w:after="0" w:line="206" w:lineRule="exact"/>
        <w:rPr>
          <w:rFonts w:ascii="Times New Roman" w:cs="Times New Roman" w:eastAsia="Times New Roman" w:hAnsi="Times New Roman"/>
          <w:sz w:val="18"/>
          <w:szCs w:val="18"/>
          <w:color w:val="auto"/>
        </w:rPr>
      </w:pPr>
    </w:p>
    <w:p>
      <w:pPr>
        <w:ind w:left="120" w:right="100" w:firstLine="436"/>
        <w:spacing w:after="0" w:line="258" w:lineRule="auto"/>
        <w:tabs>
          <w:tab w:leader="none" w:pos="81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laboratory or manufacturing site owned by Galera or its Subsidiaries, and to the Knowledge of Galera, no manufacturing site of a contract manufacturer or laboratory, with respect to any Galera Product Candidate, (i) is subject to a Drug Regulatory Agency shutdown or import or export prohibition or (ii) has since January 1, 2023, received any unresolved Form FDA 483, notice of violation, warning letter, untitled letter, or similar correspondence or notice from the FDA or other Governmental Authority alleging or asserting material noncompliance with the FDCA, PHSA or any applicable Law, and, to the Knowledge of Galera, neither the FDA nor any other Governmental Authority is considering such action.</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Legal Proceedings; Orders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436"/>
        <w:spacing w:after="0" w:line="266" w:lineRule="auto"/>
        <w:tabs>
          <w:tab w:leader="none" w:pos="80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of the Galera Disclosure Schedule, there is no pending Legal Proceeding and, to the Knowledge of Galera, no Person has threatened in writing to commence any Legal Proceeding: (i) that involves Galera or any of its Subsidiaries or any Galera Associate (in his or her capacity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100"/>
          </w:cols>
          <w:pgMar w:left="320" w:top="454" w:right="479" w:bottom="1440" w:gutter="0" w:footer="0" w:header="0"/>
        </w:sectPr>
      </w:pPr>
    </w:p>
    <w:bookmarkStart w:id="526" w:name="page527"/>
    <w:bookmarkEnd w:id="5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such) or any of the material assets owned or used by Galera or any of its Subsidiaries or (ii) that challenges, or that may have the effect of preventing, delaying, making illegal or otherwise interfering with, the Contemplated Transactions.</w:t>
      </w:r>
    </w:p>
    <w:p>
      <w:pPr>
        <w:spacing w:after="0" w:line="162" w:lineRule="exact"/>
        <w:rPr>
          <w:sz w:val="20"/>
          <w:szCs w:val="20"/>
          <w:color w:val="auto"/>
        </w:rPr>
      </w:pPr>
    </w:p>
    <w:p>
      <w:pPr>
        <w:ind w:left="120" w:firstLine="436"/>
        <w:spacing w:after="0" w:line="261" w:lineRule="auto"/>
        <w:tabs>
          <w:tab w:leader="none" w:pos="81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to which Galera or any of its Subsidiaries, or any of the material assets owned or used by Galera or any of its Subsidiaries is subject. To the Knowledge of Galera, no officer or other Key Employee of Galera or any of its Subsidiaries is subject to any Order that prohibits such officer or employee from engaging in or continuing any conduct, activity or practice relating to the business of Galera or any of its Subsidiaries or to any material assets owned or used by Galera or any of its Subsidiaries.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58" w:lineRule="auto"/>
        <w:tabs>
          <w:tab w:leader="none" w:pos="80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Galera and each of its Subsidiaries has timely filed all income Tax Returns and all other material Tax Returns that were required to be filed by or with respect to it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Galera or any of its Subsidiaries does not file a particular type of Tax Return that Galera or any of its Subsidiaries is subject to taxation by that jurisdiction that would require the filing of such a Tax Return.</w:t>
      </w:r>
    </w:p>
    <w:p>
      <w:pPr>
        <w:spacing w:after="0" w:line="183"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amounts of Taxes due and owing by Galera and each of its Subsidiaries (whether or not shown on any Tax Return) have been timely paid. The unpaid Taxes of Galera and each of its Subsidiaries for periods (or portions thereof) ending on or prior to the date of the Galera Balance Sheet do not materially exceed the accruals for current Taxes set forth on the Galera Balance Sheet. Since the date of the Galera Balance Sheet, neither Galera nor any of its Subsidiaries has incurred any material Liability for Taxes outside the Ordinary Course of Business or otherwise inconsistent with past custom and practice.</w:t>
      </w:r>
    </w:p>
    <w:p>
      <w:pPr>
        <w:spacing w:after="0" w:line="183" w:lineRule="exact"/>
        <w:rPr>
          <w:rFonts w:ascii="Times New Roman" w:cs="Times New Roman" w:eastAsia="Times New Roman" w:hAnsi="Times New Roman"/>
          <w:sz w:val="18"/>
          <w:szCs w:val="18"/>
          <w:color w:val="auto"/>
        </w:rPr>
      </w:pPr>
    </w:p>
    <w:p>
      <w:pPr>
        <w:jc w:val="both"/>
        <w:ind w:left="120" w:right="320" w:firstLine="436"/>
        <w:spacing w:after="0" w:line="266" w:lineRule="auto"/>
        <w:tabs>
          <w:tab w:leader="none" w:pos="80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Galera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Encumbrances for material Taxes (other Encumbrances described in clause (i) of the definition of “Permitted Encumbrances”) upon any of the assets of Galera or any of its Subsidiaries.</w:t>
      </w:r>
    </w:p>
    <w:p>
      <w:pPr>
        <w:spacing w:after="0" w:line="161" w:lineRule="exact"/>
        <w:rPr>
          <w:rFonts w:ascii="Times New Roman" w:cs="Times New Roman" w:eastAsia="Times New Roman" w:hAnsi="Times New Roman"/>
          <w:sz w:val="18"/>
          <w:szCs w:val="18"/>
          <w:color w:val="auto"/>
        </w:rPr>
      </w:pPr>
    </w:p>
    <w:p>
      <w:pPr>
        <w:jc w:val="both"/>
        <w:ind w:left="120" w:right="40" w:firstLine="436"/>
        <w:spacing w:after="0" w:line="258" w:lineRule="auto"/>
        <w:tabs>
          <w:tab w:leader="none" w:pos="80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deficiencies for a material amount of Taxes with respect to Galera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Galera or any of its Subsidiaries. Neither Galera nor any of its Subsidiaries has waived any statute of limitations in respect of material Taxes or agreed to any extension of time with respect to a material Tax assessment or deficiency.</w:t>
      </w:r>
    </w:p>
    <w:p>
      <w:pPr>
        <w:spacing w:after="0" w:line="183" w:lineRule="exact"/>
        <w:rPr>
          <w:rFonts w:ascii="Times New Roman" w:cs="Times New Roman" w:eastAsia="Times New Roman" w:hAnsi="Times New Roman"/>
          <w:sz w:val="18"/>
          <w:szCs w:val="18"/>
          <w:color w:val="auto"/>
        </w:rPr>
      </w:pPr>
    </w:p>
    <w:p>
      <w:pPr>
        <w:ind w:left="120" w:right="1060" w:firstLine="436"/>
        <w:spacing w:after="0" w:line="282" w:lineRule="auto"/>
        <w:tabs>
          <w:tab w:leader="none" w:pos="78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Galera nor any of its Subsidiaries is a party to any Tax allocation, Tax sharing or similar agreement (including indemnity arrangements), other than Ordinary Course Agreements.</w:t>
      </w:r>
    </w:p>
    <w:p>
      <w:pPr>
        <w:spacing w:after="0" w:line="161" w:lineRule="exact"/>
        <w:rPr>
          <w:rFonts w:ascii="Times New Roman" w:cs="Times New Roman" w:eastAsia="Times New Roman" w:hAnsi="Times New Roman"/>
          <w:sz w:val="18"/>
          <w:szCs w:val="18"/>
          <w:color w:val="auto"/>
        </w:rPr>
      </w:pPr>
    </w:p>
    <w:p>
      <w:pPr>
        <w:ind w:left="120" w:firstLine="436"/>
        <w:spacing w:after="0" w:line="261" w:lineRule="auto"/>
        <w:tabs>
          <w:tab w:leader="none" w:pos="81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Galera nor any of its Subsidiaries has been a member of an affiliated group filing a consolidated U.S. federal income Tax Return (other than a group the common parent of which is Galera). Neither Galera nor any of its Subsidiaries has any material Liability for the Taxes of any Person (other than Galera) under Treasury Regulations Section 1.1502-6 (or any similar provision of state, local, or foreign law), as a transferee or successor, or by Contract (other than an Ordinary Course Agreement).</w:t>
      </w:r>
    </w:p>
    <w:p>
      <w:pPr>
        <w:spacing w:after="0" w:line="179" w:lineRule="exact"/>
        <w:rPr>
          <w:rFonts w:ascii="Times New Roman" w:cs="Times New Roman" w:eastAsia="Times New Roman" w:hAnsi="Times New Roman"/>
          <w:sz w:val="18"/>
          <w:szCs w:val="18"/>
          <w:color w:val="auto"/>
        </w:rPr>
      </w:pPr>
    </w:p>
    <w:p>
      <w:pPr>
        <w:ind w:left="120" w:right="500" w:firstLine="436"/>
        <w:spacing w:after="0" w:line="282" w:lineRule="auto"/>
        <w:tabs>
          <w:tab w:leader="none" w:pos="81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Galera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20"/>
          </w:cols>
          <w:pgMar w:left="320" w:top="454" w:right="459" w:bottom="1440" w:gutter="0" w:footer="0" w:header="0"/>
        </w:sectPr>
      </w:pPr>
    </w:p>
    <w:bookmarkStart w:id="527" w:name="page528"/>
    <w:bookmarkEnd w:id="5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36"/>
        <w:spacing w:after="0" w:line="282" w:lineRule="auto"/>
        <w:tabs>
          <w:tab w:leader="none" w:pos="77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Galera nor any of its Subsidiaries has entered into any transaction identified as a “reportable transaction” for purposes of Treasury Regulations Section 1.6011-4(b)(2).</w:t>
      </w:r>
    </w:p>
    <w:p>
      <w:pPr>
        <w:spacing w:after="0" w:line="161" w:lineRule="exact"/>
        <w:rPr>
          <w:rFonts w:ascii="Times New Roman" w:cs="Times New Roman" w:eastAsia="Times New Roman" w:hAnsi="Times New Roman"/>
          <w:sz w:val="18"/>
          <w:szCs w:val="18"/>
          <w:color w:val="auto"/>
        </w:rPr>
      </w:pPr>
    </w:p>
    <w:p>
      <w:pPr>
        <w:ind w:left="120" w:right="20" w:firstLine="436"/>
        <w:spacing w:after="0" w:line="255" w:lineRule="auto"/>
        <w:tabs>
          <w:tab w:leader="none" w:pos="77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Galera nor any of its Subsidiaries will be required to include any item of income or gain in, or exclude any item of deduction or loss from, taxable income for any taxable period (or portion thereof) ending after the Closing Date as a result of any: (i) change in, or use of improper, method of accounting for a taxable period ending on or prior to the Closing Date; (ii) “closing agreement” as described in Section 7121 of the Code (or any corresponding or similar provision of state, local or foreign income Tax law) executed on or prior to the Closing Date; (iii) installment sale or open transaction disposition made on or prior to the Closing Date; (iv) prepaid amount, advance payments or deferred revenue received or accrued on or prior to the Closing Date; or (v) intercompany transaction or excess loss amount described in Treasury Regulations under Section 1502 of the Code (or any corresponding or similar provision of state, local or foreign income Tax Law).</w:t>
      </w:r>
    </w:p>
    <w:p>
      <w:pPr>
        <w:spacing w:after="0" w:line="188" w:lineRule="exact"/>
        <w:rPr>
          <w:rFonts w:ascii="Times New Roman" w:cs="Times New Roman" w:eastAsia="Times New Roman" w:hAnsi="Times New Roman"/>
          <w:sz w:val="18"/>
          <w:szCs w:val="18"/>
          <w:color w:val="auto"/>
        </w:rPr>
      </w:pPr>
    </w:p>
    <w:p>
      <w:pPr>
        <w:ind w:left="120" w:right="20" w:firstLine="436"/>
        <w:spacing w:after="0" w:line="266" w:lineRule="auto"/>
        <w:tabs>
          <w:tab w:leader="none" w:pos="81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4.17(k)</w:t>
      </w:r>
      <w:r>
        <w:rPr>
          <w:rFonts w:ascii="Times New Roman" w:cs="Times New Roman" w:eastAsia="Times New Roman" w:hAnsi="Times New Roman"/>
          <w:sz w:val="18"/>
          <w:szCs w:val="18"/>
          <w:color w:val="auto"/>
        </w:rPr>
        <w:t xml:space="preserve"> of the Galera Disclosure Schedule sets forth the entity classification of Galera and each of its Subsidiaries for U.S. federal income tax purposes. Neither Galera nor any of its Subsidiaries has made an election or taken any other action to change its federal and state income tax classification from such classification.</w:t>
      </w:r>
    </w:p>
    <w:p>
      <w:pPr>
        <w:spacing w:after="0" w:line="175" w:lineRule="exact"/>
        <w:rPr>
          <w:rFonts w:ascii="Times New Roman" w:cs="Times New Roman" w:eastAsia="Times New Roman" w:hAnsi="Times New Roman"/>
          <w:sz w:val="18"/>
          <w:szCs w:val="18"/>
          <w:color w:val="auto"/>
        </w:rPr>
      </w:pPr>
    </w:p>
    <w:p>
      <w:pPr>
        <w:ind w:left="120" w:right="60" w:firstLine="436"/>
        <w:spacing w:after="0" w:line="312" w:lineRule="auto"/>
        <w:tabs>
          <w:tab w:leader="none" w:pos="775" w:val="left"/>
        </w:tabs>
        <w:numPr>
          <w:ilvl w:val="0"/>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Galera nor any of its Subsidiaries has taken or knowingly failed to take any action, nor to the Knowledge of Galera, are there any facts or circumstances, in each case, that would reasonably be expected to prevent or impede the Mergers from qualifying for the Intended Tax Treatment.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Employee and Labor Matters;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36"/>
        <w:spacing w:after="0" w:line="261" w:lineRule="auto"/>
        <w:tabs>
          <w:tab w:leader="none" w:pos="805"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Galera Disclosure Schedule contains a complete and accurate list of all Galera employees as of the date of this Agreement, setting forth for each employee: job title; classification as exempt or non-exempt for wage and hour purposes; annual base salary, hourly rate or other rates of compensation; target bonus opportunity; full-time or part-time status; date of hire; business location; status (i.e., active or inactive and if inactive, the type of leave and estimated duration); and any visa or work permit status and the date of expiration, if applicable.</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15"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4.18(b)</w:t>
      </w:r>
      <w:r>
        <w:rPr>
          <w:rFonts w:ascii="Times New Roman" w:cs="Times New Roman" w:eastAsia="Times New Roman" w:hAnsi="Times New Roman"/>
          <w:sz w:val="18"/>
          <w:szCs w:val="18"/>
          <w:color w:val="auto"/>
        </w:rPr>
        <w:t xml:space="preserve"> of the Galera Disclosure Schedule contains a complete and accurate list of all of the individual independent contractors, consultants, temporary employees, leased employees or other agents employed or used by Galera and classified by Galera as other than employees, or compensated other than through wages paid by Galera through Galera’s payroll department (“</w:t>
      </w:r>
      <w:r>
        <w:rPr>
          <w:rFonts w:ascii="Times New Roman" w:cs="Times New Roman" w:eastAsia="Times New Roman" w:hAnsi="Times New Roman"/>
          <w:sz w:val="18"/>
          <w:szCs w:val="18"/>
          <w:b w:val="1"/>
          <w:bCs w:val="1"/>
          <w:color w:val="auto"/>
        </w:rPr>
        <w:t>Galera Contingent Workers</w:t>
      </w:r>
      <w:r>
        <w:rPr>
          <w:rFonts w:ascii="Times New Roman" w:cs="Times New Roman" w:eastAsia="Times New Roman" w:hAnsi="Times New Roman"/>
          <w:sz w:val="18"/>
          <w:szCs w:val="18"/>
          <w:color w:val="auto"/>
        </w:rPr>
        <w:t>”), showing for each Galera Contingent Worker such individual’s engagement date, role in the business, work location, and fee or compensation arrangements.</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61" w:lineRule="auto"/>
        <w:tabs>
          <w:tab w:leader="none" w:pos="805"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Galera nor any of its Subsidiaries is a party to, bound by the terms of, or has a duty to bargain under, any collective bargaining agreement or other Contract with a labor union, works council or labor organization representing any Galera Associate, and there are no labor unions, works council or labor organizations representing or, to the Knowledge of Galera, purporting to represent or seeking to represent any Galera Associates, including through the filing of a petition for representation election.</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4.18(d)</w:t>
      </w:r>
      <w:r>
        <w:rPr>
          <w:rFonts w:ascii="Times New Roman" w:cs="Times New Roman" w:eastAsia="Times New Roman" w:hAnsi="Times New Roman"/>
          <w:sz w:val="18"/>
          <w:szCs w:val="18"/>
          <w:color w:val="auto"/>
        </w:rPr>
        <w:t xml:space="preserve"> of the Galera Disclosure Schedule lists all material Galera Employee Plans.</w:t>
      </w:r>
    </w:p>
    <w:p>
      <w:pPr>
        <w:spacing w:after="0" w:line="225" w:lineRule="exact"/>
        <w:rPr>
          <w:rFonts w:ascii="Times New Roman" w:cs="Times New Roman" w:eastAsia="Times New Roman" w:hAnsi="Times New Roman"/>
          <w:sz w:val="18"/>
          <w:szCs w:val="18"/>
          <w:color w:val="auto"/>
        </w:rPr>
      </w:pPr>
    </w:p>
    <w:p>
      <w:pPr>
        <w:ind w:left="120" w:right="120" w:firstLine="436"/>
        <w:spacing w:after="0" w:line="276" w:lineRule="auto"/>
        <w:tabs>
          <w:tab w:leader="none" w:pos="805" w:val="left"/>
        </w:tabs>
        <w:numPr>
          <w:ilvl w:val="1"/>
          <w:numId w:val="3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applicable with respect to each material Galera Employee Plan, Galera has made available to Obsidian, true and complete copies of (i) the plan document, including all amendments thereto, and in the case of an unwritten Employee Plan, a written description of all material terms thereof,</w:t>
      </w:r>
    </w:p>
    <w:p>
      <w:pPr>
        <w:ind w:left="120" w:hanging="4"/>
        <w:spacing w:after="0" w:line="255" w:lineRule="auto"/>
        <w:tabs>
          <w:tab w:leader="none" w:pos="38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related trust instruments or other funding-related documents and insurance contracts, (iii) the summary plan description and each summary of material modifications thereto, (iv) the financial statements for the most recent year for which such financial statements are available (in audited form, if available or required by ERISA) and, where applicable, annual</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00"/>
          </w:cols>
          <w:pgMar w:left="320" w:top="454" w:right="479" w:bottom="1440" w:gutter="0" w:footer="0" w:header="0"/>
        </w:sectPr>
      </w:pPr>
    </w:p>
    <w:bookmarkStart w:id="528" w:name="page529"/>
    <w:bookmarkEnd w:id="5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both"/>
        <w:ind w:left="120" w:right="340"/>
        <w:spacing w:after="0" w:line="267" w:lineRule="auto"/>
        <w:rPr>
          <w:sz w:val="20"/>
          <w:szCs w:val="20"/>
          <w:color w:val="auto"/>
        </w:rPr>
      </w:pPr>
      <w:r>
        <w:rPr>
          <w:rFonts w:ascii="Times New Roman" w:cs="Times New Roman" w:eastAsia="Times New Roman" w:hAnsi="Times New Roman"/>
          <w:sz w:val="18"/>
          <w:szCs w:val="18"/>
          <w:color w:val="auto"/>
        </w:rPr>
        <w:t>reports required to be filed with any Governmental Authority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Form 5500 and all schedules thereto), (v) the most recent IRS determination or opinion letter, (vi) written results of any required compliance testing for the three most recent plan years, and (vii) all material, non-routine notices, filings or correspondence during the past three years with any Governmental Authority.</w:t>
      </w:r>
    </w:p>
    <w:p>
      <w:pPr>
        <w:spacing w:after="0" w:line="175" w:lineRule="exact"/>
        <w:rPr>
          <w:sz w:val="20"/>
          <w:szCs w:val="20"/>
          <w:color w:val="auto"/>
        </w:rPr>
      </w:pPr>
    </w:p>
    <w:p>
      <w:pPr>
        <w:ind w:left="120" w:right="80" w:firstLine="436"/>
        <w:spacing w:after="0" w:line="261" w:lineRule="auto"/>
        <w:tabs>
          <w:tab w:leader="none" w:pos="78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Employee Plan that is intended to be qualified under Section 401(a) of the Code has received a favorable determination letter or may rely on a favorable opinion letter with respect to such qualified status from the IRS to the effect that such plan is qualified under Section 401(a) of the Code. To the Knowledge of Galera, nothing has occurred that would reasonably be expected to cause the loss of the qualified status of any such Galera Employee Plan or the Tax exempt status of any related trust.</w:t>
      </w:r>
    </w:p>
    <w:p>
      <w:pPr>
        <w:spacing w:after="0" w:line="179" w:lineRule="exact"/>
        <w:rPr>
          <w:rFonts w:ascii="Times New Roman" w:cs="Times New Roman" w:eastAsia="Times New Roman" w:hAnsi="Times New Roman"/>
          <w:sz w:val="18"/>
          <w:szCs w:val="18"/>
          <w:color w:val="auto"/>
        </w:rPr>
      </w:pPr>
    </w:p>
    <w:p>
      <w:pPr>
        <w:ind w:left="120" w:right="80" w:firstLine="436"/>
        <w:spacing w:after="0" w:line="256" w:lineRule="auto"/>
        <w:tabs>
          <w:tab w:leader="none" w:pos="81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Employee Plan has been established, maintained and operated in compliance, in all material respects, with its terms and all applicable Laws, including, without limitation, the Code and ERISA. No Legal Proceeding (other than those relating to routine claims for benefits) is pending or, to the Knowledge of Galera, threatened with respect to any Galera Employee Plan. All material payments and/or contributions required to have been made with respect to all Galera Employee Plans have been made or accrued on the financial statements of Galera in accordance with the terms of the applicable Galera Employee Plan and applicable Law and neither the Galera nor any Galera ERISA Affiliate has any material Liability for any such unpaid contributions with respect to any Galera Employee Plan.</w:t>
      </w:r>
    </w:p>
    <w:p>
      <w:pPr>
        <w:spacing w:after="0" w:line="187" w:lineRule="exact"/>
        <w:rPr>
          <w:rFonts w:ascii="Times New Roman" w:cs="Times New Roman" w:eastAsia="Times New Roman" w:hAnsi="Times New Roman"/>
          <w:sz w:val="18"/>
          <w:szCs w:val="18"/>
          <w:color w:val="auto"/>
        </w:rPr>
      </w:pPr>
    </w:p>
    <w:p>
      <w:pPr>
        <w:ind w:left="120" w:right="80" w:firstLine="436"/>
        <w:spacing w:after="0" w:line="261" w:lineRule="auto"/>
        <w:tabs>
          <w:tab w:leader="none" w:pos="81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Galera, any of its Subsidiaries nor any of their ERISA Affiliates maintains, contributes to or is required to contribute to, or has any Liability with respect to, or has in the past six (6) years, maintained, contributed to, has been required to contribute to, or has had any Liability with respect to (i) any “employee benefit plan” (within the meaning of Section 3(2) of ERISA) that is or was subject to Title IV or Section 302 of ERISA or Section 412 of the Code, (ii) a Multiemployer Plan, (iii) any Multiple Employer Plan, or (iv) any Multiple Employer Welfare Arrangement.</w:t>
      </w:r>
    </w:p>
    <w:p>
      <w:pPr>
        <w:spacing w:after="0" w:line="179" w:lineRule="exact"/>
        <w:rPr>
          <w:rFonts w:ascii="Times New Roman" w:cs="Times New Roman" w:eastAsia="Times New Roman" w:hAnsi="Times New Roman"/>
          <w:sz w:val="18"/>
          <w:szCs w:val="18"/>
          <w:color w:val="auto"/>
        </w:rPr>
      </w:pPr>
    </w:p>
    <w:p>
      <w:pPr>
        <w:ind w:left="120" w:firstLine="436"/>
        <w:spacing w:after="0" w:line="266" w:lineRule="auto"/>
        <w:tabs>
          <w:tab w:leader="none" w:pos="77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Galera Employee Plan provides for medical or other welfare benefits to any service provider beyond termination of service or retirement, other than (i) pursuant to COBRA or an analogous state Law requirement (the full cost of which is borne by such Person or such Person’s dependents or beneficiaries) or (ii) continuation coverage through the end of the month in which such termination or retirement occurs.</w:t>
      </w:r>
    </w:p>
    <w:p>
      <w:pPr>
        <w:spacing w:after="0" w:line="175"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Galera Employee Plan is subject to any law of a foreign jurisdiction outside of the United States.</w:t>
      </w:r>
    </w:p>
    <w:p>
      <w:pPr>
        <w:spacing w:after="0" w:line="225" w:lineRule="exact"/>
        <w:rPr>
          <w:rFonts w:ascii="Times New Roman" w:cs="Times New Roman" w:eastAsia="Times New Roman" w:hAnsi="Times New Roman"/>
          <w:sz w:val="18"/>
          <w:szCs w:val="18"/>
          <w:color w:val="auto"/>
        </w:rPr>
      </w:pPr>
    </w:p>
    <w:p>
      <w:pPr>
        <w:ind w:left="120" w:right="40" w:firstLine="436"/>
        <w:spacing w:after="0" w:line="261" w:lineRule="auto"/>
        <w:tabs>
          <w:tab w:leader="none" w:pos="81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Galera Employee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and no compensation has been or would reasonably be expected to be includable in the gross income of any Galera Associate as a result of the operation of Section 409A of the Code.</w:t>
      </w:r>
    </w:p>
    <w:p>
      <w:pPr>
        <w:spacing w:after="0" w:line="179" w:lineRule="exact"/>
        <w:rPr>
          <w:rFonts w:ascii="Times New Roman" w:cs="Times New Roman" w:eastAsia="Times New Roman" w:hAnsi="Times New Roman"/>
          <w:sz w:val="18"/>
          <w:szCs w:val="18"/>
          <w:color w:val="auto"/>
        </w:rPr>
      </w:pPr>
    </w:p>
    <w:p>
      <w:pPr>
        <w:ind w:left="120" w:right="20" w:firstLine="436"/>
        <w:spacing w:after="0" w:line="254" w:lineRule="auto"/>
        <w:tabs>
          <w:tab w:leader="none" w:pos="77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and its Subsidiaries are, and since January 1, 2023 have been, in compliance in all material respects with all applicable Laws respecting labor, employment and employment practices, including terms and conditions of employment, worker classification, tax withholding, unemployment compensation, workers’ compensation, prohibited discrimination, harassment, equal employment, fair employment practices, meal and rest periods, work authorization and immigration status, employee safety and health, wages (including overtime wages), pay equity, affirmative action, restrictive covenants, compensation, and hours of work. Except as would not reasonably be expected to have, individually or in the aggregate, a Galera Material Adverse Effect, there are no, and since January 1, 2023 there have been no, Legal Proceedings pending or, to the Knowledge of Galera, threatened against Galera or any of its Subsidiaries relating to any labor or employment matters or any Galera Associate. Galera is not a party to a conciliation agreement, consent decree or other agreement or Order with any federal, state, or local agency or Governmental Authority with respect to employment practices.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060"/>
          </w:cols>
          <w:pgMar w:left="320" w:top="454" w:right="519" w:bottom="1440" w:gutter="0" w:footer="0" w:header="0"/>
        </w:sectPr>
      </w:pPr>
    </w:p>
    <w:bookmarkStart w:id="529" w:name="page530"/>
    <w:bookmarkEnd w:id="5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36"/>
        <w:spacing w:after="0" w:line="261" w:lineRule="auto"/>
        <w:tabs>
          <w:tab w:leader="none" w:pos="865"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(i) Galera has not taken any action which would constitute a “plant closing”, “collective dismissal”, “group dismissal”, “group termination”, “mass termination”, or “mass layoff” within the meaning of the WARN Act, (ii) issued any written notification of a plant closing or mass layoff required by the WARN Act (nor has Galera or any of its Subsidiaries has been under any requirement or obligation to issue any such notification), or (iii) incurred any Liability or obligation under the WARN Act that remains unsatisfied.</w:t>
      </w:r>
    </w:p>
    <w:p>
      <w:pPr>
        <w:spacing w:after="0" w:line="179" w:lineRule="exact"/>
        <w:rPr>
          <w:rFonts w:ascii="Times New Roman" w:cs="Times New Roman" w:eastAsia="Times New Roman" w:hAnsi="Times New Roman"/>
          <w:sz w:val="18"/>
          <w:szCs w:val="18"/>
          <w:color w:val="auto"/>
        </w:rPr>
      </w:pPr>
    </w:p>
    <w:p>
      <w:pPr>
        <w:jc w:val="both"/>
        <w:ind w:left="120" w:right="100" w:firstLine="436"/>
        <w:spacing w:after="0" w:line="312" w:lineRule="auto"/>
        <w:tabs>
          <w:tab w:leader="none" w:pos="815"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Since January 1, 2023, there has not been, nor to the Knowledge of Galera has there been any threat of, any strike, slowdown, work stoppage, lockout, job action, union, organizing activity, question concerning representation or any similar activity or dispute, affecting Galera or its Subsidiaries.</w:t>
      </w:r>
    </w:p>
    <w:p>
      <w:pPr>
        <w:spacing w:after="0" w:line="139" w:lineRule="exact"/>
        <w:rPr>
          <w:rFonts w:ascii="Times New Roman" w:cs="Times New Roman" w:eastAsia="Times New Roman" w:hAnsi="Times New Roman"/>
          <w:sz w:val="17"/>
          <w:szCs w:val="17"/>
          <w:color w:val="auto"/>
        </w:rPr>
      </w:pPr>
    </w:p>
    <w:p>
      <w:pPr>
        <w:ind w:left="120" w:firstLine="436"/>
        <w:spacing w:after="0" w:line="266" w:lineRule="auto"/>
        <w:tabs>
          <w:tab w:leader="none" w:pos="815"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contract, agreement, plan or arrangement to which Galera or any of its Subsidiaries is a party or by which it is bound to make any payment or compensate any Galera Associate for Taxes incurred pursuant to the Code, including, but not limited to, Section 4999 or Section 409A of the Code.</w:t>
      </w:r>
    </w:p>
    <w:p>
      <w:pPr>
        <w:spacing w:after="0" w:line="175" w:lineRule="exact"/>
        <w:rPr>
          <w:rFonts w:ascii="Times New Roman" w:cs="Times New Roman" w:eastAsia="Times New Roman" w:hAnsi="Times New Roman"/>
          <w:sz w:val="18"/>
          <w:szCs w:val="18"/>
          <w:color w:val="auto"/>
        </w:rPr>
      </w:pPr>
    </w:p>
    <w:p>
      <w:pPr>
        <w:ind w:left="120" w:right="100" w:firstLine="436"/>
        <w:spacing w:after="0" w:line="276" w:lineRule="auto"/>
        <w:tabs>
          <w:tab w:leader="none" w:pos="815" w:val="left"/>
        </w:tabs>
        <w:numPr>
          <w:ilvl w:val="1"/>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execution and delivery of this Agreement, the shareholder approval of this Agreement, or the consummation of the Contemplated Transactions (either alone or in conjunction with any other event, including without limitation, a termination of employment) could result in any</w:t>
      </w:r>
    </w:p>
    <w:p>
      <w:pPr>
        <w:ind w:left="120" w:right="60" w:hanging="4"/>
        <w:spacing w:after="0" w:line="253" w:lineRule="auto"/>
        <w:tabs>
          <w:tab w:leader="none" w:pos="33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or benefit (including severance, forgiveness of indebtedness or otherwise) becoming due to Galera Associate, (ii) increase in any benefits or the compensation payable under any Galera Employee Plan, (iii) acceleration of the time of payment, funding or vesting of any such compensation or benefits or any loan forgiveness, (iv) restriction on the right of Galera or any of its Subsidiaries or, after the consummation of Contemplated Transactions, the Surviving Corporation, to merge, amend, terminate or transfer any Galera Employee Plan, or (v) “parachute payment” (within the meaning of Section 280G of the Code).</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Since January 1, 2023, Galera and each of its Subsidiaries has complied with all applicable Environmental Laws, which compliance includes the possession by Galera of all permits and other Governmental Authorizations required under applicable Environmental Laws and compliance with the terms and conditions thereof, except for any failure to be in compliance that, individually or in the aggregate, would not result in a Galera Material Adverse Effect. Neither Galera nor any of its Subsidiaries has received since January 1, 2023, any written notice or other communication (in writing or otherwise), whether from a Governmental Authority, citizens group, employee or otherwise, that alleges that Galera or any of its Subsidiaries is not in compliance with any Environmental Law, and, to the Knowledge of Galera, there are no circumstances that may prevent or interfere with Galera’s or any of its Subsidiaries’ compliance with any Environmental Law in the future, except where such failure to comply would not reasonably be expected to have a Galera Material Adverse Effect. To the Knowledge of Galera: (a) no current or prior owner of any property leased or controlled by Galera or any of its Subsidiaries has received since January 1, 2023, any written notice or other communication relating to property owned or leased at any time by Galera or any of its Subsidiaries, whether from a Governmental Authority, citizens group, employee or otherwise, that alleges that such current or prior owner or Galera or any of its Subsidiaries is not in compliance with or violated any Environmental Law relating to such property and (b) neither Galera nor any of its Subsidiaries has any material Liability under any Environmental Law.</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Galera has made available to Obsidian accurate and complete copies of all material insurance policies and all material self-insurance programs and arrangements relating to the business, assets, liabilities and operations of Galera and its Subsidiaries. Each of such insurance policies is in full force and effect and Galera and its Subsidiaries are in compliance in all material respects with the terms thereof. Other than customary end of policy notifications from insurance carriers, since January 1, 2023, neither Galera nor any of its Subsidiaries has received any notice or other communication regarding any actual or possible: (a) cancellation or invalidation of any insurance policy or (b) refusal or denial of any coverage, reservation of rights or rejection of any material claim under any insurance policy. Each of Galera and its Subsidiaries has provided timely written notice to the appropriate insurance carrier(s) of each Legal Proceeding pending against Galera or such Subsidiary for which Galera or such Subsidiary has insurance coverage, and no such carrier has issued a denial of coverage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20"/>
          </w:cols>
          <w:pgMar w:left="320" w:top="454" w:right="459" w:bottom="1440" w:gutter="0" w:footer="0" w:header="0"/>
        </w:sectPr>
      </w:pPr>
    </w:p>
    <w:bookmarkStart w:id="530" w:name="page531"/>
    <w:bookmarkEnd w:id="5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a reservation of rights with respect to any such Legal Proceeding, or informed Galera or any of its Subsidiaries of its intent to do so.</w:t>
      </w:r>
    </w:p>
    <w:p>
      <w:pPr>
        <w:spacing w:after="0" w:line="225"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Except as set forth in the Galera SEC Documents filed prior to the date of this Agreement, since the date of Galera’s last proxy statement filed with the SEC, no event has occurred that would be required to be reported by Galera pursuant to Item 404 of Regulation S-K promulgated by the SEC that has not otherwise been reported.</w:t>
      </w:r>
    </w:p>
    <w:p>
      <w:pPr>
        <w:spacing w:after="0" w:line="176"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No Financial Advisors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of the Galera Disclosure Schedule, no broker, finder or investment banker is entitled to any brokerage fee, finder’s fee, opinion fee, success fee, transaction fee or other fee or commission in connection with the Contemplated Transactions based upon arrangements made by or on behalf of Galera.</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Valid Issuance; No Bad Actor</w:t>
      </w:r>
      <w:r>
        <w:rPr>
          <w:rFonts w:ascii="Times New Roman" w:cs="Times New Roman" w:eastAsia="Times New Roman" w:hAnsi="Times New Roman"/>
          <w:sz w:val="18"/>
          <w:szCs w:val="18"/>
          <w:color w:val="auto"/>
        </w:rPr>
        <w:t>. The Galera Common Stock to be issued in the Mergers will, when issued in accordance with the provisions of this Agreement, be validly issued, fully paid and nonassessable. To the Knowledge of Galera, as of the date of this Agreement and as of the Closing, no “bad actor” disqualifying event described in Rule 506(d)(l)(i)-(viii) of the Securities Act (a “</w:t>
      </w:r>
      <w:r>
        <w:rPr>
          <w:rFonts w:ascii="Times New Roman" w:cs="Times New Roman" w:eastAsia="Times New Roman" w:hAnsi="Times New Roman"/>
          <w:sz w:val="18"/>
          <w:szCs w:val="18"/>
          <w:b w:val="1"/>
          <w:bCs w:val="1"/>
          <w:color w:val="auto"/>
        </w:rPr>
        <w:t>Disqualifying Event</w:t>
      </w:r>
      <w:r>
        <w:rPr>
          <w:rFonts w:ascii="Times New Roman" w:cs="Times New Roman" w:eastAsia="Times New Roman" w:hAnsi="Times New Roman"/>
          <w:sz w:val="18"/>
          <w:szCs w:val="18"/>
          <w:color w:val="auto"/>
        </w:rPr>
        <w:t>”) is applicable to Galera or, to Galera’s Knowledge, any Galera Covered Person, except for a Disqualifying Event as to which Rule 506(d)(2)(ii-iv) or (d)(3) of the Securities Act is applicable.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Privacy and Data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52" w:lineRule="auto"/>
        <w:tabs>
          <w:tab w:leader="none" w:pos="80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and its Subsidiaries have complied with all applicable Privacy Laws and the applicable terms of any Galera Contracts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Galera or any of its Subsidiaries in connection with the operation of Galera’s and its Subsidiaries’ business, except for such noncompliance as has not had, and would not reasonably be expected to have, individually or in the aggregate, a Galera Material Adverse Effect. To the Knowledge of Galera, Galera has implemented and maintains reasonable written policies and procedures, satisfying the requirements of applicable Privacy Laws and Galera Contracts, concerning the privacy, security, collection and use of Personal Information (“</w:t>
      </w:r>
      <w:r>
        <w:rPr>
          <w:rFonts w:ascii="Times New Roman" w:cs="Times New Roman" w:eastAsia="Times New Roman" w:hAnsi="Times New Roman"/>
          <w:sz w:val="18"/>
          <w:szCs w:val="18"/>
          <w:b w:val="1"/>
          <w:bCs w:val="1"/>
          <w:color w:val="auto"/>
        </w:rPr>
        <w:t>Galera Privacy Policies</w:t>
      </w:r>
      <w:r>
        <w:rPr>
          <w:rFonts w:ascii="Times New Roman" w:cs="Times New Roman" w:eastAsia="Times New Roman" w:hAnsi="Times New Roman"/>
          <w:sz w:val="18"/>
          <w:szCs w:val="18"/>
          <w:color w:val="auto"/>
        </w:rPr>
        <w:t>”) and has complied with the same, except for such noncompliance as has not to the Knowledge of Obsidian had, and would not reasonably be expected to have, individually or in the aggregate, an Obsidian Material Adverse Effect. To the Knowledge of Galera, as of the date hereof, no claims have been asserted or threatened against Galera by any Person alleging a violation of Privacy Laws, Galera Privacy Policies and/or the applicable terms of any Galera Contracts relating to privacy, security, collection or use of Personal Information of any individuals and Galera has not received written notice of any of the same. To the Knowledge of Galera, there have been no data security incidents, personal data breaches or other adverse events or incidents related to Personal Information or Galera data in the custody or control of Galera or any service provider acting on behalf of Galera, in each case where such incident, breach or event would result in a notification obligation to any Person under applicable law or pursuant to the terms of any Galera Contract.</w:t>
      </w:r>
    </w:p>
    <w:p>
      <w:pPr>
        <w:spacing w:after="0" w:line="193" w:lineRule="exact"/>
        <w:rPr>
          <w:rFonts w:ascii="Times New Roman" w:cs="Times New Roman" w:eastAsia="Times New Roman" w:hAnsi="Times New Roman"/>
          <w:sz w:val="18"/>
          <w:szCs w:val="18"/>
          <w:color w:val="auto"/>
        </w:rPr>
      </w:pPr>
    </w:p>
    <w:p>
      <w:pPr>
        <w:ind w:left="120" w:right="20" w:firstLine="436"/>
        <w:spacing w:after="0" w:line="255" w:lineRule="auto"/>
        <w:tabs>
          <w:tab w:leader="none" w:pos="81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technology assets and equipment of Galera and its Subsidiaries (collectively, “</w:t>
      </w:r>
      <w:r>
        <w:rPr>
          <w:rFonts w:ascii="Times New Roman" w:cs="Times New Roman" w:eastAsia="Times New Roman" w:hAnsi="Times New Roman"/>
          <w:sz w:val="18"/>
          <w:szCs w:val="18"/>
          <w:b w:val="1"/>
          <w:bCs w:val="1"/>
          <w:color w:val="auto"/>
        </w:rPr>
        <w:t>Galera 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Galera and its Subsidiaries as currently conducted, and to the Knowledge of Galera, free and clear of all material bugs, errors, defects, Trojan horses, time bombs, malware and other corruptants. Galera and its Subsidiaries have implemented and maintain commercially reasonable physical, technical and administrative safeguards to protect Personal Information processed by or on behalf of Galera and its Subsidiaries, any other material confidential information and the integrity and security of Galera IT Systems used in connection with their businesses, and during the past three years, there have been no breaches, violations, outages or unauthorized uses of or accesses to same, except for those that have been remedied without material cost or liability or the duty to notify any other Person.</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080"/>
          </w:cols>
          <w:pgMar w:left="320" w:top="454" w:right="499" w:bottom="1440" w:gutter="0" w:footer="0" w:header="0"/>
        </w:sectPr>
      </w:pPr>
    </w:p>
    <w:bookmarkStart w:id="531" w:name="page532"/>
    <w:bookmarkEnd w:id="5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u w:val="single" w:color="auto"/>
          <w:color w:val="auto"/>
        </w:rPr>
        <w:t>Concurrent PIPE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436"/>
        <w:spacing w:after="0" w:line="255" w:lineRule="auto"/>
        <w:tabs>
          <w:tab w:leader="none" w:pos="80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has delivered to Obsidian true, correct and complete copies of all definitive agreements related to the Concurrent PIPE Financing, including the Securities Purchase Agreement, pursuant to which the Purchasers (as defined in the Securities Purchase Agreement) party thereto (collectively,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have agreed, subject to the terms and conditions set forth therein, to purchase the number of shares of Galera Series C Preferred set forth therein in connection with the transactions contemplated by this Agreement. The Securities Purchase Agreement has not been amended or modified prior to the date of this Agreement and as of the date hereof, no such amendment or modification is contemplated (other than amendments or modifications that are permitted by Section 8.16 of the Securities Purchase Agreement), and as of the date hereof, the respective obligations and commitments contained in the Securities Purchase Agreement have not been withdrawn or rescinded in any respect.</w:t>
      </w:r>
    </w:p>
    <w:p>
      <w:pPr>
        <w:spacing w:after="0" w:line="188" w:lineRule="exact"/>
        <w:rPr>
          <w:rFonts w:ascii="Times New Roman" w:cs="Times New Roman" w:eastAsia="Times New Roman" w:hAnsi="Times New Roman"/>
          <w:sz w:val="18"/>
          <w:szCs w:val="18"/>
          <w:color w:val="auto"/>
        </w:rPr>
      </w:pPr>
    </w:p>
    <w:p>
      <w:pPr>
        <w:ind w:left="120" w:right="20" w:firstLine="436"/>
        <w:spacing w:after="0" w:line="256" w:lineRule="auto"/>
        <w:tabs>
          <w:tab w:leader="none" w:pos="81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the Securities Purchase Agreement is in full force and effect and is the legal, valid, binding and enforceable obligation of Galera, and, to the Knowledge of Galera, each of the Purchasers. There are no conditions precedent or other contingencies related to the funding of the full amount of the Concurrent PIPE Financing, other than as expressly set forth in the Securities Purchase Agreement. As of the date hereof, no event has occurred which, with or without notice, lapse of time or both, would reasonably be expected to constitute a default or breach on the part of Galera or, to the Knowledge of Galera, any Purchaser under the Securities Purchase Agreement. As of the date hereof, Galera has no reason to believe that any of the conditions to the Concurrent PIPE Financing as contemplated by the Securities Purchase Agreement will not be satisfied.</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Galera and its Subsidiaries hereby acknowledge and agree that, except for the representations and warranties contained in this Agreement, neither Obsidian nor any of its Subsidiaries nor any other person on behalf of Obsidian or its Subsidiaries makes any express or implied representation or warranty with respect to Obsidian or its Subsidiaries or with respect to any other information provided to Galera, its stockholders or any of its Affiliates in connection with the Contemplated Transactions, and (subject to the express representations and warranties of Obsidian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each case as qualified and limited by the Obsidian Disclosure Schedule)) none of Galera, its Representatives, stockholders or members, has relied on any such information (including the accuracy or completeness thereof).</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REPRESENTATIONS AND WARRANTIES OF PARENT</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Parent represents and warrants to Obsidian and Galera as follows:</w:t>
      </w:r>
    </w:p>
    <w:p>
      <w:pPr>
        <w:spacing w:after="0" w:line="11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Due Organization</w:t>
      </w:r>
      <w:r>
        <w:rPr>
          <w:rFonts w:ascii="Times New Roman" w:cs="Times New Roman" w:eastAsia="Times New Roman" w:hAnsi="Times New Roman"/>
          <w:sz w:val="18"/>
          <w:szCs w:val="18"/>
          <w:color w:val="auto"/>
        </w:rPr>
        <w:t>. Parent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Authority; Binding Nature of Agreement</w:t>
      </w:r>
      <w:r>
        <w:rPr>
          <w:rFonts w:ascii="Times New Roman" w:cs="Times New Roman" w:eastAsia="Times New Roman" w:hAnsi="Times New Roman"/>
          <w:sz w:val="18"/>
          <w:szCs w:val="18"/>
          <w:color w:val="auto"/>
        </w:rPr>
        <w:t>. Parent has all necessary corporate power and authority to enter into and to perform its obligations under this Agreement and to consummate the Contemplated Transactions. The Parent Board (at a meeting duly called and held or by written consent in lieu thereof in accordance with the Organizational Documents of Parent) has (i) determined that the Contemplated Transactions are fair to, advisable and in the best interests of Parent and its stockholders, (ii) approved and declared advisable this Agreement and the Contemplated Transactions, and</w:t>
      </w:r>
    </w:p>
    <w:p>
      <w:pPr>
        <w:spacing w:after="0" w:line="3" w:lineRule="exact"/>
        <w:rPr>
          <w:sz w:val="20"/>
          <w:szCs w:val="20"/>
          <w:color w:val="auto"/>
        </w:rPr>
      </w:pPr>
    </w:p>
    <w:p>
      <w:pPr>
        <w:ind w:left="120" w:right="20" w:hanging="4"/>
        <w:spacing w:after="0" w:line="253" w:lineRule="auto"/>
        <w:tabs>
          <w:tab w:leader="none" w:pos="43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to recommend, upon the terms and subject to the conditions set forth in this Agreement, that its stockholder vote to approve Mergers. This Agreement has been duly executed and delivered by Parent, and assuming the due authorization, execution and delivery by Galera, Obsidian, Galera Merger Sub and Obsidian Merger Sub, constitutes the legal, valid and binding obligation of Parent, enforceable against Parent in accordance with its terms, subject to the Enforceability Exceptions.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40"/>
          </w:cols>
          <w:pgMar w:left="320" w:top="454" w:right="439" w:bottom="1440" w:gutter="0" w:footer="0" w:header="0"/>
        </w:sectPr>
      </w:pPr>
    </w:p>
    <w:bookmarkStart w:id="532" w:name="page533"/>
    <w:bookmarkEnd w:id="5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No Vote of Parent Stockholders; Required Approval</w:t>
      </w:r>
      <w:r>
        <w:rPr>
          <w:rFonts w:ascii="Times New Roman" w:cs="Times New Roman" w:eastAsia="Times New Roman" w:hAnsi="Times New Roman"/>
          <w:sz w:val="18"/>
          <w:szCs w:val="18"/>
          <w:color w:val="auto"/>
        </w:rPr>
        <w:t>. The vote or Consent of Galera as the sole stockholder of Parent is the only vote or consent of the holders of any class or series of capital stock of Parent necessary to approve the Mergers and adopt this Agreement, which Consent shall be given immediately following the execution of this Agreement.</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Legal Proceedings pending, or, to the Knowledge of Parent, threatened in writing, that would reasonably be expected to be material to Parent. Parent is not subject to any Order.</w:t>
      </w:r>
    </w:p>
    <w:p>
      <w:pPr>
        <w:spacing w:after="0" w:line="16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Absence of Certain Agreements</w:t>
      </w:r>
      <w:r>
        <w:rPr>
          <w:rFonts w:ascii="Times New Roman" w:cs="Times New Roman" w:eastAsia="Times New Roman" w:hAnsi="Times New Roman"/>
          <w:sz w:val="18"/>
          <w:szCs w:val="18"/>
          <w:color w:val="auto"/>
        </w:rPr>
        <w:t>. As of the date hereof, other than the Obsidian Stockholder Support Agreements, the Galera Stockholder Support Agreements and the Securities Purchase Agreement, neither Parent nor any of its respective Affiliates has entered into any agreement, arrangement or understanding (in each case, whether oral or written), or authorized, committed or agreed to enter into any agreement, arrangement or understanding (in each case, whether oral or written), (i) pursuant to which any stockholder of the Galera would be entitled to receive, in respect of any share of Parent Common Stock, consideration of a different amount or nature than the Galera Merger Shares or pursuant to which any stockholder of the Galera has agreed to vote to adopt this Agreement or has agreed to vote against any Superior Offer or (ii) pursuant to which any stockholder of the Galera or any of its Subsidiaries has agreed to make an investment in, or contribution to, Parent in connection with the transactions contemplated by this Agreement. As of the date hereof, other than the Obsidian Stockholder Support Agreements, the Galera Stockholder Support Agreements, the Obsidian Lock-Up Agreement and the Securities Purchase Agreement, there are no agreements, arrangements or understandings (in each case, whether oral or written) between Galera and Parent or any of their respective Affiliates, on the one hand, and any member of the Galera’s management or directors, on the other hand, that relate in any way to, or are in connection with, the Contemplated Transactions or the operations of the Parent, Galera or any of their Subsidiaries or, following the Galera Effective Time, the Galera Surviving Corporation or any of its Subsidiaries. None of Parent nor any of its Affiliates (which for this purpose will be deemed to include each direct investor in Galera, Parent, Obsidian Merger Sub and Galera Merger Sub) has entered into any Contract with any Person prohibiting or seeking to prohibit such Person from providing or seeking to provide debt financing to any Person in connection with a transaction involving the Galera or any of its Subsidiaries in connection with the Mergers.</w:t>
      </w:r>
    </w:p>
    <w:p>
      <w:pPr>
        <w:spacing w:after="0" w:line="196"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Stock Ownership</w:t>
      </w:r>
      <w:r>
        <w:rPr>
          <w:rFonts w:ascii="Times New Roman" w:cs="Times New Roman" w:eastAsia="Times New Roman" w:hAnsi="Times New Roman"/>
          <w:sz w:val="18"/>
          <w:szCs w:val="18"/>
          <w:color w:val="auto"/>
        </w:rPr>
        <w:t>. Parent does not own any shares of capital stock of Obsidian. None of Parent nor any of its respective Affiliates is an “interested stockholder” of Obsidian as defined in Section 203(c) of Delaware Law.</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There is no investment banker, broker, finder or other agent or intermediary that has been retained by or is authorized to act on behalf of Parent or any of its Affiliates, or any of their respective officers or directors in their capacities as officers or directors, who is entitled to any advisory, banking, broker’s, finder’s or similar fee or commission in connection with the Contemplated Transactions, for which Obsidian or Galera or any of their Subsidiaries would be liable.</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Parent Information</w:t>
      </w:r>
      <w:r>
        <w:rPr>
          <w:rFonts w:ascii="Times New Roman" w:cs="Times New Roman" w:eastAsia="Times New Roman" w:hAnsi="Times New Roman"/>
          <w:sz w:val="18"/>
          <w:szCs w:val="18"/>
          <w:color w:val="auto"/>
        </w:rPr>
        <w:t>. The written information supplied or to be supplied by Parent specifically for inclusion in the Galera Information Statement will not, at the time the Galera Information Statement (and any amendment or supplement thereto) is first filed with the SEC and at the time it is first disseminated to the stockholders of the Galera, contain any untrue statement of a material fact or omit to state any material fact required to be stated therein or necessary to make the statements therein, in light of the circumstances under which they are made, not misleading.</w:t>
      </w:r>
    </w:p>
    <w:p>
      <w:pPr>
        <w:spacing w:after="0" w:line="39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Conduct of Obsidian’s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0" w:firstLine="436"/>
        <w:spacing w:after="0" w:line="282" w:lineRule="auto"/>
        <w:tabs>
          <w:tab w:leader="none" w:pos="80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contemplated or permitted by this Agreement, as required by applicable Law or unless Galera shall otherwise consent in writing (which consent shall not be unreasonably withheld, delayed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4" w:right="459" w:bottom="1440" w:gutter="0" w:footer="0" w:header="0"/>
        </w:sectPr>
      </w:pPr>
    </w:p>
    <w:bookmarkStart w:id="533" w:name="page534"/>
    <w:bookmarkEnd w:id="5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 xml:space="preserve">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the Galera Effective Time (the “</w:t>
      </w:r>
      <w:r>
        <w:rPr>
          <w:rFonts w:ascii="Times New Roman" w:cs="Times New Roman" w:eastAsia="Times New Roman" w:hAnsi="Times New Roman"/>
          <w:sz w:val="18"/>
          <w:szCs w:val="18"/>
          <w:b w:val="1"/>
          <w:bCs w:val="1"/>
          <w:color w:val="auto"/>
        </w:rPr>
        <w:t>Pre-Closing Period</w:t>
      </w:r>
      <w:r>
        <w:rPr>
          <w:rFonts w:ascii="Times New Roman" w:cs="Times New Roman" w:eastAsia="Times New Roman" w:hAnsi="Times New Roman"/>
          <w:sz w:val="18"/>
          <w:szCs w:val="18"/>
          <w:color w:val="auto"/>
        </w:rPr>
        <w:t>”), Obsidian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Obsidian Material Contracts.</w:t>
      </w:r>
    </w:p>
    <w:p>
      <w:pPr>
        <w:spacing w:after="0" w:line="180" w:lineRule="exact"/>
        <w:rPr>
          <w:sz w:val="20"/>
          <w:szCs w:val="20"/>
          <w:color w:val="auto"/>
        </w:rPr>
      </w:pPr>
    </w:p>
    <w:p>
      <w:pPr>
        <w:ind w:left="820" w:hanging="264"/>
        <w:spacing w:after="0"/>
        <w:tabs>
          <w:tab w:leader="none" w:pos="820"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(ii) as set forth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the Obsidian Disclosure Schedule,</w:t>
      </w:r>
    </w:p>
    <w:p>
      <w:pPr>
        <w:spacing w:after="0" w:line="27" w:lineRule="exact"/>
        <w:rPr>
          <w:rFonts w:ascii="Times New Roman" w:cs="Times New Roman" w:eastAsia="Times New Roman" w:hAnsi="Times New Roman"/>
          <w:sz w:val="18"/>
          <w:szCs w:val="18"/>
          <w:color w:val="auto"/>
        </w:rPr>
      </w:pPr>
    </w:p>
    <w:p>
      <w:pPr>
        <w:ind w:left="120" w:right="420" w:hanging="4"/>
        <w:spacing w:after="0" w:line="255" w:lineRule="auto"/>
        <w:tabs>
          <w:tab w:leader="none" w:pos="43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applicable Law or (iv) with the prior written consent of Obsidian (which consent shall not be unreasonably withheld, delayed or conditioned), at all times during the Pre-Closing Period, Obsidian shall not, nor shall it cause or permit any of its Subsidiaries to, do any of the following:</w:t>
      </w:r>
    </w:p>
    <w:p>
      <w:pPr>
        <w:spacing w:after="0" w:line="7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its Organizational Documents;</w:t>
      </w:r>
    </w:p>
    <w:p>
      <w:pPr>
        <w:spacing w:after="0" w:line="117" w:lineRule="exact"/>
        <w:rPr>
          <w:rFonts w:ascii="Times New Roman" w:cs="Times New Roman" w:eastAsia="Times New Roman" w:hAnsi="Times New Roman"/>
          <w:sz w:val="18"/>
          <w:szCs w:val="18"/>
          <w:color w:val="auto"/>
        </w:rPr>
      </w:pPr>
    </w:p>
    <w:p>
      <w:pPr>
        <w:ind w:left="560" w:right="180" w:firstLine="419"/>
        <w:spacing w:after="0" w:line="282" w:lineRule="auto"/>
        <w:tabs>
          <w:tab w:leader="none" w:pos="1248"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material assets of Obsidian, or in either case, any interests therein, except (i) pursuant to existing Contracts, (ii) for sales or licensing of products to customers or (iii) otherwise in the Ordinary Course of Business;</w:t>
      </w:r>
    </w:p>
    <w:p>
      <w:pPr>
        <w:spacing w:after="0" w:line="53" w:lineRule="exact"/>
        <w:rPr>
          <w:rFonts w:ascii="Times New Roman" w:cs="Times New Roman" w:eastAsia="Times New Roman" w:hAnsi="Times New Roman"/>
          <w:sz w:val="18"/>
          <w:szCs w:val="18"/>
          <w:color w:val="auto"/>
        </w:rPr>
      </w:pPr>
    </w:p>
    <w:p>
      <w:pPr>
        <w:ind w:left="560" w:right="60" w:firstLine="419"/>
        <w:spacing w:after="0" w:line="266" w:lineRule="auto"/>
        <w:tabs>
          <w:tab w:leader="none" w:pos="1298"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Obsidian Preferred Stock Conversion and the issuance of securities under this Agreement, take any action with respect to any equity interests of Obsidian or any of its Subsidiaries, including any issuance, sale, transfer, redemption, repurchase, recapitalization, adjustment, split, combination, reclassification, dividend, distribution or any other action in respect thereof;</w:t>
      </w:r>
    </w:p>
    <w:p>
      <w:pPr>
        <w:spacing w:after="0" w:line="67" w:lineRule="exact"/>
        <w:rPr>
          <w:rFonts w:ascii="Times New Roman" w:cs="Times New Roman" w:eastAsia="Times New Roman" w:hAnsi="Times New Roman"/>
          <w:sz w:val="18"/>
          <w:szCs w:val="18"/>
          <w:color w:val="auto"/>
        </w:rPr>
      </w:pPr>
    </w:p>
    <w:p>
      <w:pPr>
        <w:ind w:left="560" w:right="660" w:firstLine="419"/>
        <w:spacing w:after="0" w:line="282" w:lineRule="auto"/>
        <w:tabs>
          <w:tab w:leader="none" w:pos="1288"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guarantee or repay (other than any mandatory repayments) any indebtedness, other than the incurrence of indebtedness in the Ordinary Course of Business;</w:t>
      </w:r>
    </w:p>
    <w:p>
      <w:pPr>
        <w:spacing w:after="0" w:line="53"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38"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pledge, transfer, subject to any Encumbrance or dispose of any Obsidian Capital Stock or the securities of any Subsidiary of Obsidian;</w:t>
      </w:r>
    </w:p>
    <w:p>
      <w:pPr>
        <w:spacing w:after="0" w:line="53" w:lineRule="exact"/>
        <w:rPr>
          <w:rFonts w:ascii="Times New Roman" w:cs="Times New Roman" w:eastAsia="Times New Roman" w:hAnsi="Times New Roman"/>
          <w:sz w:val="18"/>
          <w:szCs w:val="18"/>
          <w:color w:val="auto"/>
        </w:rPr>
      </w:pPr>
    </w:p>
    <w:p>
      <w:pPr>
        <w:ind w:left="560" w:right="880" w:firstLine="419"/>
        <w:spacing w:after="0" w:line="282" w:lineRule="auto"/>
        <w:tabs>
          <w:tab w:leader="none" w:pos="1288"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otherwise incur any Encumbrance on any material asset of Obsidian or any of its Subsidiaries, other than Permitted Encumbrances;</w:t>
      </w:r>
    </w:p>
    <w:p>
      <w:pPr>
        <w:spacing w:after="0" w:line="53" w:lineRule="exact"/>
        <w:rPr>
          <w:rFonts w:ascii="Times New Roman" w:cs="Times New Roman" w:eastAsia="Times New Roman" w:hAnsi="Times New Roman"/>
          <w:sz w:val="18"/>
          <w:szCs w:val="18"/>
          <w:color w:val="auto"/>
        </w:rPr>
      </w:pPr>
    </w:p>
    <w:p>
      <w:pPr>
        <w:ind w:left="1340" w:hanging="361"/>
        <w:spacing w:after="0"/>
        <w:tabs>
          <w:tab w:leader="none" w:pos="1340"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 other than in the Ordinary Course of Business;</w:t>
      </w:r>
    </w:p>
    <w:p>
      <w:pPr>
        <w:spacing w:after="0" w:line="117" w:lineRule="exact"/>
        <w:rPr>
          <w:rFonts w:ascii="Times New Roman" w:cs="Times New Roman" w:eastAsia="Times New Roman" w:hAnsi="Times New Roman"/>
          <w:sz w:val="18"/>
          <w:szCs w:val="18"/>
          <w:color w:val="auto"/>
        </w:rPr>
      </w:pPr>
    </w:p>
    <w:p>
      <w:pPr>
        <w:ind w:left="560" w:right="20" w:firstLine="419"/>
        <w:spacing w:after="0" w:line="261" w:lineRule="auto"/>
        <w:tabs>
          <w:tab w:leader="none" w:pos="1388"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adversely amend or otherwise adversely modify in any material respect or terminate (excluding any expiration in accordance with its terms) any Contract listed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of the Obsidian Disclosure Schedule, other than any amendment or modification entered into in the Ordinary Course of Business and containing terms not materially less favorable to Obsidian than the terms of such Contract in effect as of the date of this Agreement;</w:t>
      </w:r>
    </w:p>
    <w:p>
      <w:pPr>
        <w:spacing w:after="0" w:line="71" w:lineRule="exact"/>
        <w:rPr>
          <w:rFonts w:ascii="Times New Roman" w:cs="Times New Roman" w:eastAsia="Times New Roman" w:hAnsi="Times New Roman"/>
          <w:sz w:val="18"/>
          <w:szCs w:val="18"/>
          <w:color w:val="auto"/>
        </w:rPr>
      </w:pPr>
    </w:p>
    <w:p>
      <w:pPr>
        <w:ind w:left="560" w:firstLine="419"/>
        <w:spacing w:after="0" w:line="282" w:lineRule="auto"/>
        <w:tabs>
          <w:tab w:leader="none" w:pos="1288"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that would be required to be disclosed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of the Obsidian Disclosure Schedule if such Contract were in effect as of the date of this Agreement, other than any such Contract entered into in the Ordinary Course of Business;</w:t>
      </w:r>
    </w:p>
    <w:p>
      <w:pPr>
        <w:spacing w:after="0" w:line="53" w:lineRule="exact"/>
        <w:rPr>
          <w:rFonts w:ascii="Times New Roman" w:cs="Times New Roman" w:eastAsia="Times New Roman" w:hAnsi="Times New Roman"/>
          <w:sz w:val="18"/>
          <w:szCs w:val="18"/>
          <w:color w:val="auto"/>
        </w:rPr>
      </w:pPr>
    </w:p>
    <w:p>
      <w:pPr>
        <w:ind w:left="560" w:firstLine="419"/>
        <w:spacing w:after="0" w:line="272" w:lineRule="auto"/>
        <w:tabs>
          <w:tab w:leader="none" w:pos="1238" w:val="left"/>
        </w:tabs>
        <w:numPr>
          <w:ilvl w:val="2"/>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any Obsidian Employee Plan or applicable Law, (i) increase any salary, wage or other compensation or benefit to, or enter into or amend any employment, retention, change-in-control, termination or severance agreement with, any Obsidian Associate, other than annual increases in base compensation in the Ordinary Course of Business with respect to employees whose annual base compensation is less than $500,000 and provided that such increases do not, individually or in the aggregate, result in any material increase in costs, obligations or liabilities for Obsidian and its Subsidiaries, (ii) grant or pay any bonuses to any Obsidian Associate, (iii) establish, enter into or adopt any new material Obsidian Employee Plan or any plan, program, policy, agreement or arrangement that would be a material Obsidian Employee Plan if it was in effect on the date hereof or amend or modify, in a manner that would, individually or in the aggregate, materially increase costs, obligations or liabilities for Obsidian and its Subsidiaries or the Surviving Corporation, any existing Obsidian Employee Plan or accelerate the vesting of</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4" w:right="459" w:bottom="1440" w:gutter="0" w:footer="0" w:header="0"/>
        </w:sectPr>
      </w:pPr>
    </w:p>
    <w:bookmarkStart w:id="534" w:name="page535"/>
    <w:bookmarkEnd w:id="5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00"/>
        <w:spacing w:after="0" w:line="254" w:lineRule="auto"/>
        <w:rPr>
          <w:sz w:val="20"/>
          <w:szCs w:val="20"/>
          <w:color w:val="auto"/>
        </w:rPr>
      </w:pPr>
      <w:r>
        <w:rPr>
          <w:rFonts w:ascii="Times New Roman" w:cs="Times New Roman" w:eastAsia="Times New Roman" w:hAnsi="Times New Roman"/>
          <w:sz w:val="18"/>
          <w:szCs w:val="18"/>
          <w:color w:val="auto"/>
        </w:rPr>
        <w:t xml:space="preserve">any compensation (including stock options, restricted stock, restricted stock units, phantom units, warrants, other shares of capital stock or rights of any kind to acquire any shares of capital stock or equity-based awards) for the benefit of any Obsidian Associate, (iv) grant to any Obsidian Associate any right to receive, or pay to any Obsidian Associate, any severance, change in control, transaction, retention, termination or similar compensation or benefits or increases therein, (v) take any action to accelerate any payment or benefit, or the funding of any payment or benefit, payable or to be provided to any Obsidian Associate, (vi) grant any new long-term incentive or equity-based awards, or amend or modify the terms of any such outstanding awards other than in the Ordinary Course of Business to newly hired employees or (vii) hire, terminate (other than for cause), promote or change the employment status or title of any Obsidian Associate, except that in each case for (i) through (vii) in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Obsidian shall be permitted to take any action as set forth herein in the Ordinary Course of Business;</w:t>
      </w:r>
    </w:p>
    <w:p>
      <w:pPr>
        <w:spacing w:after="0" w:line="84" w:lineRule="exact"/>
        <w:rPr>
          <w:sz w:val="20"/>
          <w:szCs w:val="20"/>
          <w:color w:val="auto"/>
        </w:rPr>
      </w:pPr>
    </w:p>
    <w:p>
      <w:pPr>
        <w:ind w:left="560" w:right="360" w:firstLine="419"/>
        <w:spacing w:after="0" w:line="282" w:lineRule="auto"/>
        <w:tabs>
          <w:tab w:leader="none" w:pos="1288"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enter into, amend or terminate any collective bargaining agreement or Contract with any labor union, works council or labor organization;</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338"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material Legal Proceeding involving Obsidian or any of its Subsidiaries or relating to the transactions contemplated by this Agreement;</w:t>
      </w:r>
    </w:p>
    <w:p>
      <w:pPr>
        <w:spacing w:after="0" w:line="53" w:lineRule="exact"/>
        <w:rPr>
          <w:rFonts w:ascii="Times New Roman" w:cs="Times New Roman" w:eastAsia="Times New Roman" w:hAnsi="Times New Roman"/>
          <w:sz w:val="18"/>
          <w:szCs w:val="18"/>
          <w:color w:val="auto"/>
        </w:rPr>
      </w:pPr>
    </w:p>
    <w:p>
      <w:pPr>
        <w:ind w:left="560" w:right="140" w:firstLine="419"/>
        <w:spacing w:after="0" w:line="266" w:lineRule="auto"/>
        <w:tabs>
          <w:tab w:leader="none" w:pos="1388"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Obsidian following the Closing;</w:t>
      </w:r>
    </w:p>
    <w:p>
      <w:pPr>
        <w:spacing w:after="0" w:line="67"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378"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the Mergers from qualifying for the Intended Tax Treatment;</w:t>
      </w:r>
    </w:p>
    <w:p>
      <w:pPr>
        <w:spacing w:after="0" w:line="53" w:lineRule="exact"/>
        <w:rPr>
          <w:rFonts w:ascii="Times New Roman" w:cs="Times New Roman" w:eastAsia="Times New Roman" w:hAnsi="Times New Roman"/>
          <w:sz w:val="18"/>
          <w:szCs w:val="18"/>
          <w:color w:val="auto"/>
        </w:rPr>
      </w:pPr>
    </w:p>
    <w:p>
      <w:pPr>
        <w:ind w:left="560" w:firstLine="419"/>
        <w:spacing w:after="0" w:line="282" w:lineRule="auto"/>
        <w:tabs>
          <w:tab w:leader="none" w:pos="1328"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any method of financial accounting or financial accounting practice of Obsidian or any of its Subsidiaries, except for any such change required by reason of a change in GAAP or other applicable financial accounting standards;</w:t>
      </w:r>
    </w:p>
    <w:p>
      <w:pPr>
        <w:spacing w:after="0" w:line="53" w:lineRule="exact"/>
        <w:rPr>
          <w:rFonts w:ascii="Times New Roman" w:cs="Times New Roman" w:eastAsia="Times New Roman" w:hAnsi="Times New Roman"/>
          <w:sz w:val="18"/>
          <w:szCs w:val="18"/>
          <w:color w:val="auto"/>
        </w:rPr>
      </w:pPr>
    </w:p>
    <w:p>
      <w:pPr>
        <w:ind w:left="560" w:right="560" w:firstLine="419"/>
        <w:spacing w:after="0" w:line="282" w:lineRule="auto"/>
        <w:tabs>
          <w:tab w:leader="none" w:pos="1378"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actions contemplated by this Agreement, adopt, approve, consent to or propose any change in the Organizational Documents of Obsidian or any of its Subsidiaries; or</w:t>
      </w:r>
    </w:p>
    <w:p>
      <w:pPr>
        <w:spacing w:after="0" w:line="53"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54" w:lineRule="auto"/>
        <w:tabs>
          <w:tab w:leader="none" w:pos="80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herein to the contrary (including the foregoing provisions of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Obsidian may, subject to the terms and conditions set forth on </w:t>
      </w:r>
      <w:r>
        <w:rPr>
          <w:rFonts w:ascii="Times New Roman" w:cs="Times New Roman" w:eastAsia="Times New Roman" w:hAnsi="Times New Roman"/>
          <w:sz w:val="18"/>
          <w:szCs w:val="18"/>
          <w:u w:val="single" w:color="auto"/>
          <w:color w:val="auto"/>
        </w:rPr>
        <w:t>Section 6.1(c)</w:t>
      </w:r>
      <w:r>
        <w:rPr>
          <w:rFonts w:ascii="Times New Roman" w:cs="Times New Roman" w:eastAsia="Times New Roman" w:hAnsi="Times New Roman"/>
          <w:sz w:val="18"/>
          <w:szCs w:val="18"/>
          <w:color w:val="auto"/>
        </w:rPr>
        <w:t xml:space="preserve"> of Obsidian Disclosure Schedule, execute the Permitted Obsidian Bridge Financing Agreements and shall cause shall cause each counterparty to each Permitted Obsidian Bridge Financing Agreement to execute an Obsidian Stockholder Support Agreement concurrently with the execution of such Permitted Obsidian Bridge Financing Agreement. Obsidian (i) shall permit Galera and its counsel to review and comment on the Permitted Obsidian Bridge Financing Agreements and; (ii) shall consider any comments received by Galera in good faith and shall accept all reasonable additions, deletions or changes suggested by Galera and its counsel in connection therewith; and (iii) shall not sign any agreements, contracts or other definitive documents (not including term sheets or letters of intent) related to the Permitted Obsidian Bridge Financing without first providing Galera and its counsel the opportunity to exercise their rights under clauses (i) and (ii) above.</w:t>
      </w:r>
    </w:p>
    <w:p>
      <w:pPr>
        <w:spacing w:after="0" w:line="191"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81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give Parent or Galera, directly or indirectly, the right to control or direct the operations of Obsidian prior to the Obsidian Effective Time. Prior to the Obsidian Effective Time, Obsidian shall exercise, consistent with the terms and conditions of this Agreement, complete unilateral control and supervision over its business operations.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Conduct of Galera’s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82" w:lineRule="auto"/>
        <w:tabs>
          <w:tab w:leader="none" w:pos="80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contemplated or permitted by this Agreement, as required by applicable Law or unless Obsidian shall otherwise consent in writing (which consent shall not be unreasonably withheld, delayed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080"/>
          </w:cols>
          <w:pgMar w:left="320" w:top="454" w:right="49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conditioned), during the Pre-Closing Period, Galera shall, and shall cause its Subsidiaries to, use commercially reasonable efforts to conduct its business and operations in the ordinary course of business and consistent with past practice and in material compliance with the applicable Law and the requirements of all Contracts that constitute Galera Material Contracts.</w:t>
      </w:r>
    </w:p>
    <w:p>
      <w:pPr>
        <w:spacing w:after="0" w:line="176" w:lineRule="exact"/>
        <w:rPr>
          <w:sz w:val="20"/>
          <w:szCs w:val="20"/>
          <w:color w:val="auto"/>
        </w:rPr>
      </w:pPr>
    </w:p>
    <w:p>
      <w:pPr>
        <w:ind w:left="820" w:hanging="264"/>
        <w:spacing w:after="0"/>
        <w:tabs>
          <w:tab w:leader="none" w:pos="82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expressly contemplated or permitted by this Agreement, (ii) as set forth in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of the Galera Disclosure Schedule,</w:t>
      </w:r>
    </w:p>
    <w:p>
      <w:pPr>
        <w:spacing w:after="0" w:line="27" w:lineRule="exact"/>
        <w:rPr>
          <w:rFonts w:ascii="Times New Roman" w:cs="Times New Roman" w:eastAsia="Times New Roman" w:hAnsi="Times New Roman"/>
          <w:sz w:val="18"/>
          <w:szCs w:val="18"/>
          <w:color w:val="auto"/>
        </w:rPr>
      </w:pPr>
    </w:p>
    <w:p>
      <w:pPr>
        <w:ind w:left="440" w:hanging="324"/>
        <w:spacing w:after="0"/>
        <w:tabs>
          <w:tab w:leader="none" w:pos="4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applicable Law or (iv) with the prior written consent of Obsidian (which consent shall not be unreasonably withheld, delayed or</w:t>
      </w:r>
    </w:p>
    <w:p>
      <w:pPr>
        <w:spacing w:after="0" w:line="9"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conditioned), at all times during the Pre-Closing Period, Galera shall not, nor shall it cause or permit any of its Subsidiaries to, do any of the following:</w:t>
      </w:r>
    </w:p>
    <w:p>
      <w:pPr>
        <w:spacing w:after="0" w:line="98" w:lineRule="exact"/>
        <w:rPr>
          <w:rFonts w:ascii="Times New Roman" w:cs="Times New Roman" w:eastAsia="Times New Roman" w:hAnsi="Times New Roman"/>
          <w:sz w:val="18"/>
          <w:szCs w:val="18"/>
          <w:color w:val="auto"/>
        </w:rPr>
      </w:pPr>
    </w:p>
    <w:p>
      <w:pPr>
        <w:ind w:left="560" w:right="540" w:firstLine="419"/>
        <w:spacing w:after="0" w:line="282" w:lineRule="auto"/>
        <w:tabs>
          <w:tab w:leader="none" w:pos="1198"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Annual Meeting Galera Stockholder Vote, the Galera Reverse Stock Split and the Galera Authorized Common Stock Increase, amend or otherwise change its Organizational Documents;</w:t>
      </w:r>
    </w:p>
    <w:p>
      <w:pPr>
        <w:spacing w:after="0" w:line="53" w:lineRule="exact"/>
        <w:rPr>
          <w:rFonts w:ascii="Times New Roman" w:cs="Times New Roman" w:eastAsia="Times New Roman" w:hAnsi="Times New Roman"/>
          <w:sz w:val="18"/>
          <w:szCs w:val="18"/>
          <w:color w:val="auto"/>
        </w:rPr>
      </w:pPr>
    </w:p>
    <w:p>
      <w:pPr>
        <w:ind w:left="560" w:right="340" w:firstLine="419"/>
        <w:spacing w:after="0" w:line="282" w:lineRule="auto"/>
        <w:tabs>
          <w:tab w:leader="none" w:pos="1248"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material assets of Galera, or in either case, any interests therein, except (i) pursuant to existing Contracts, (ii) for sales or licensing of products to customers or (iii) otherwise in the Ordinary Course of Business;</w:t>
      </w:r>
    </w:p>
    <w:p>
      <w:pPr>
        <w:spacing w:after="0" w:line="53" w:lineRule="exact"/>
        <w:rPr>
          <w:rFonts w:ascii="Times New Roman" w:cs="Times New Roman" w:eastAsia="Times New Roman" w:hAnsi="Times New Roman"/>
          <w:sz w:val="18"/>
          <w:szCs w:val="18"/>
          <w:color w:val="auto"/>
        </w:rPr>
      </w:pPr>
    </w:p>
    <w:p>
      <w:pPr>
        <w:jc w:val="both"/>
        <w:ind w:left="560" w:right="400" w:firstLine="419"/>
        <w:spacing w:after="0" w:line="261" w:lineRule="auto"/>
        <w:tabs>
          <w:tab w:leader="none" w:pos="1298"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the Galera Preferred Stock Conversion, the Galera Reverse Stock Split, the Galera Authorized Common Stock Increase and the issuance of securities under this Agreement, take any action with respect to any equity interests of Galera or any of its Subsidiaries, including any issuance, sale, transfer, redemption, repurchase, recapitalization, adjustment, split, combination, reclassification, dividend, distribution or any other action in respect thereof;</w:t>
      </w:r>
    </w:p>
    <w:p>
      <w:pPr>
        <w:spacing w:after="0" w:line="71" w:lineRule="exact"/>
        <w:rPr>
          <w:rFonts w:ascii="Times New Roman" w:cs="Times New Roman" w:eastAsia="Times New Roman" w:hAnsi="Times New Roman"/>
          <w:sz w:val="18"/>
          <w:szCs w:val="18"/>
          <w:color w:val="auto"/>
        </w:rPr>
      </w:pPr>
    </w:p>
    <w:p>
      <w:pPr>
        <w:ind w:left="560" w:right="660" w:firstLine="419"/>
        <w:spacing w:after="0" w:line="282" w:lineRule="auto"/>
        <w:tabs>
          <w:tab w:leader="none" w:pos="1288"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guarantee or repay (other than any mandatory repayments) any indebtedness, other than the incurrence of indebtedness in the Ordinary Course of Business;</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38"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pledge, transfer, subject to any Encumbrance or dispose of any Galera Common Stock or the securities of any Subsidiary of Galera;</w:t>
      </w:r>
    </w:p>
    <w:p>
      <w:pPr>
        <w:spacing w:after="0" w:line="5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otherwise incur any Encumbrance on any material asset of Galera, other than Permitted Encumbrances;</w:t>
      </w:r>
    </w:p>
    <w:p>
      <w:pPr>
        <w:spacing w:after="0" w:line="117" w:lineRule="exact"/>
        <w:rPr>
          <w:rFonts w:ascii="Times New Roman" w:cs="Times New Roman" w:eastAsia="Times New Roman" w:hAnsi="Times New Roman"/>
          <w:sz w:val="18"/>
          <w:szCs w:val="18"/>
          <w:color w:val="auto"/>
        </w:rPr>
      </w:pPr>
    </w:p>
    <w:p>
      <w:pPr>
        <w:ind w:left="1340" w:hanging="361"/>
        <w:spacing w:after="0"/>
        <w:tabs>
          <w:tab w:leader="none" w:pos="1340"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 other than in the Ordinary Course of Business;</w:t>
      </w:r>
    </w:p>
    <w:p>
      <w:pPr>
        <w:spacing w:after="0" w:line="117" w:lineRule="exact"/>
        <w:rPr>
          <w:rFonts w:ascii="Times New Roman" w:cs="Times New Roman" w:eastAsia="Times New Roman" w:hAnsi="Times New Roman"/>
          <w:sz w:val="18"/>
          <w:szCs w:val="18"/>
          <w:color w:val="auto"/>
        </w:rPr>
      </w:pPr>
    </w:p>
    <w:p>
      <w:pPr>
        <w:ind w:left="560" w:right="140" w:firstLine="419"/>
        <w:spacing w:after="0" w:line="261" w:lineRule="auto"/>
        <w:tabs>
          <w:tab w:leader="none" w:pos="1388"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adversely amend or otherwise adversely modify in any material respect or terminate (excluding any expiration in accordance with its terms) any Contract listed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Galera Disclosure Schedule, other than any amendment or modification entered into in the Ordinary Course of Business and containing terms, not materially less favorable to Galera than the terms of such Contract in effect as of the date of this Agreement;</w:t>
      </w:r>
    </w:p>
    <w:p>
      <w:pPr>
        <w:spacing w:after="0" w:line="71" w:lineRule="exact"/>
        <w:rPr>
          <w:rFonts w:ascii="Times New Roman" w:cs="Times New Roman" w:eastAsia="Times New Roman" w:hAnsi="Times New Roman"/>
          <w:sz w:val="18"/>
          <w:szCs w:val="18"/>
          <w:color w:val="auto"/>
        </w:rPr>
      </w:pPr>
    </w:p>
    <w:p>
      <w:pPr>
        <w:ind w:left="560" w:firstLine="419"/>
        <w:spacing w:after="0" w:line="282" w:lineRule="auto"/>
        <w:tabs>
          <w:tab w:leader="none" w:pos="1288"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Contract that would be required to be disclosed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Galera Disclosure Schedule if such Contract were in effect as of the date of this Agreement, other than any such Contract entered into in the Ordinary Course of Business;</w:t>
      </w:r>
    </w:p>
    <w:p>
      <w:pPr>
        <w:spacing w:after="0" w:line="53" w:lineRule="exact"/>
        <w:rPr>
          <w:rFonts w:ascii="Times New Roman" w:cs="Times New Roman" w:eastAsia="Times New Roman" w:hAnsi="Times New Roman"/>
          <w:sz w:val="18"/>
          <w:szCs w:val="18"/>
          <w:color w:val="auto"/>
        </w:rPr>
      </w:pPr>
    </w:p>
    <w:p>
      <w:pPr>
        <w:ind w:left="560" w:right="20" w:firstLine="419"/>
        <w:spacing w:after="0" w:line="255" w:lineRule="auto"/>
        <w:tabs>
          <w:tab w:leader="none" w:pos="1238" w:val="left"/>
        </w:tabs>
        <w:numPr>
          <w:ilvl w:val="2"/>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any Galera Employee Plan or applicable Law, (i) increase any salary, wage or other compensation or benefit to, or enter into or amend any employment, retention, change-in-control, termination or severance agreement with, any Galera Associate, other than annual increases in base compensation in the Ordinary Course of Business with respect to employees whose annual base compensation is less than $250,000 and provided that such increases do not, individually or in the aggregate, result in any material increase in costs, obligations or liabilities for Galera and its Subsidiaries, (ii) grant or pay any bonuses to any Galera Associate, (iii) establish, enter into or adopt any new material Galera Employee Plan or any plan, program, policy, agreement or arrangement that would be a material Galera Employee Plan if it was in effect on the date hereof or amend or modify, in a manner that would, individually or in the aggregate, materially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4" w:right="459" w:bottom="1440" w:gutter="0" w:footer="0" w:header="0"/>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40"/>
        <w:spacing w:after="0" w:line="272" w:lineRule="auto"/>
        <w:rPr>
          <w:sz w:val="20"/>
          <w:szCs w:val="20"/>
          <w:color w:val="auto"/>
        </w:rPr>
      </w:pPr>
      <w:r>
        <w:rPr>
          <w:rFonts w:ascii="Times New Roman" w:cs="Times New Roman" w:eastAsia="Times New Roman" w:hAnsi="Times New Roman"/>
          <w:sz w:val="17"/>
          <w:szCs w:val="17"/>
          <w:color w:val="auto"/>
        </w:rPr>
        <w:t>increase costs, obligations or liabilities for Galera and its Subsidiaries or the Surviving Corporation, any existing Galera Employee Plan or accelerate the vesting of any compensation (including stock options, restricted stock, restricted stock units, phantom units, warrants, other shares of capital stock or rights of any kind to acquire any shares of capital stock or equity-based awards) for the benefit of any Galera Associate,</w:t>
      </w:r>
    </w:p>
    <w:p>
      <w:pPr>
        <w:spacing w:after="0" w:line="2" w:lineRule="exact"/>
        <w:rPr>
          <w:sz w:val="20"/>
          <w:szCs w:val="20"/>
          <w:color w:val="auto"/>
        </w:rPr>
      </w:pPr>
    </w:p>
    <w:p>
      <w:pPr>
        <w:ind w:left="860" w:hanging="304"/>
        <w:spacing w:after="0"/>
        <w:tabs>
          <w:tab w:leader="none" w:pos="86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to any Galera Associate any right to receive, or pay to any Galera Associate, any severance, change in control, transaction, retention,</w:t>
      </w:r>
    </w:p>
    <w:p>
      <w:pPr>
        <w:spacing w:after="0" w:line="9" w:lineRule="exact"/>
        <w:rPr>
          <w:rFonts w:ascii="Times New Roman" w:cs="Times New Roman" w:eastAsia="Times New Roman" w:hAnsi="Times New Roman"/>
          <w:sz w:val="18"/>
          <w:szCs w:val="18"/>
          <w:color w:val="auto"/>
        </w:rPr>
      </w:pPr>
    </w:p>
    <w:p>
      <w:pPr>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similar compensation or benefits or increases therein, (v) take any action to accelerate any payment or benefit, or the funding of any payment or benefit, payable or to be provided to any Galera Associate, (vi) grant any new long-term incentive or equity-based awards, or amend or modify the terms of any such outstanding awards or (vii) hire, terminate (other than for cause), promote or change the employment status or title of any Galera Associate;</w:t>
      </w:r>
    </w:p>
    <w:p>
      <w:pPr>
        <w:spacing w:after="0" w:line="80" w:lineRule="exact"/>
        <w:rPr>
          <w:rFonts w:ascii="Times New Roman" w:cs="Times New Roman" w:eastAsia="Times New Roman" w:hAnsi="Times New Roman"/>
          <w:sz w:val="18"/>
          <w:szCs w:val="18"/>
          <w:color w:val="auto"/>
        </w:rPr>
      </w:pPr>
    </w:p>
    <w:p>
      <w:pPr>
        <w:ind w:left="560" w:right="400" w:firstLine="419"/>
        <w:spacing w:after="0" w:line="282" w:lineRule="auto"/>
        <w:tabs>
          <w:tab w:leader="none" w:pos="1288"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enter into, amend or terminate any collective bargaining agreement or Contract with any labor union, works council or labor organization;</w:t>
      </w:r>
    </w:p>
    <w:p>
      <w:pPr>
        <w:spacing w:after="0" w:line="53" w:lineRule="exact"/>
        <w:rPr>
          <w:rFonts w:ascii="Times New Roman" w:cs="Times New Roman" w:eastAsia="Times New Roman" w:hAnsi="Times New Roman"/>
          <w:sz w:val="18"/>
          <w:szCs w:val="18"/>
          <w:color w:val="auto"/>
        </w:rPr>
      </w:pPr>
    </w:p>
    <w:p>
      <w:pPr>
        <w:ind w:left="1340" w:hanging="361"/>
        <w:spacing w:after="0"/>
        <w:tabs>
          <w:tab w:leader="none" w:pos="134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material Legal Proceeding involving Galera or relating to the transactions contemplated by this Agreement;</w:t>
      </w:r>
    </w:p>
    <w:p>
      <w:pPr>
        <w:spacing w:after="0" w:line="117" w:lineRule="exact"/>
        <w:rPr>
          <w:rFonts w:ascii="Times New Roman" w:cs="Times New Roman" w:eastAsia="Times New Roman" w:hAnsi="Times New Roman"/>
          <w:sz w:val="18"/>
          <w:szCs w:val="18"/>
          <w:color w:val="auto"/>
        </w:rPr>
      </w:pPr>
    </w:p>
    <w:p>
      <w:pPr>
        <w:ind w:left="560" w:right="180" w:firstLine="419"/>
        <w:spacing w:after="0" w:line="266" w:lineRule="auto"/>
        <w:tabs>
          <w:tab w:leader="none" w:pos="1388"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change any annual Tax accounting period, enter into any closing agreement with a Governmental Authority with respect to material Taxes or settle any Tax claim with respect to material Taxes, in each case, except if such action would not reasonably be expected to have a material and adverse effect on Galera following the Closing;</w:t>
      </w:r>
    </w:p>
    <w:p>
      <w:pPr>
        <w:spacing w:after="0" w:line="67" w:lineRule="exact"/>
        <w:rPr>
          <w:rFonts w:ascii="Times New Roman" w:cs="Times New Roman" w:eastAsia="Times New Roman" w:hAnsi="Times New Roman"/>
          <w:sz w:val="18"/>
          <w:szCs w:val="18"/>
          <w:color w:val="auto"/>
        </w:rPr>
      </w:pPr>
    </w:p>
    <w:p>
      <w:pPr>
        <w:ind w:left="560" w:right="200" w:firstLine="419"/>
        <w:spacing w:after="0" w:line="282" w:lineRule="auto"/>
        <w:tabs>
          <w:tab w:leader="none" w:pos="1378"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the Mergers from qualifying for the Intended Tax Treatment;</w:t>
      </w:r>
    </w:p>
    <w:p>
      <w:pPr>
        <w:spacing w:after="0" w:line="53" w:lineRule="exact"/>
        <w:rPr>
          <w:rFonts w:ascii="Times New Roman" w:cs="Times New Roman" w:eastAsia="Times New Roman" w:hAnsi="Times New Roman"/>
          <w:sz w:val="18"/>
          <w:szCs w:val="18"/>
          <w:color w:val="auto"/>
        </w:rPr>
      </w:pPr>
    </w:p>
    <w:p>
      <w:pPr>
        <w:ind w:left="560" w:right="40" w:firstLine="419"/>
        <w:spacing w:after="0" w:line="282" w:lineRule="auto"/>
        <w:tabs>
          <w:tab w:leader="none" w:pos="1328"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any method of financial accounting or financial accounting practice of Galera, except for any such change required by reason of a change in GAAP or other applicable financial accounting standards;</w:t>
      </w:r>
    </w:p>
    <w:p>
      <w:pPr>
        <w:spacing w:after="0" w:line="53" w:lineRule="exact"/>
        <w:rPr>
          <w:rFonts w:ascii="Times New Roman" w:cs="Times New Roman" w:eastAsia="Times New Roman" w:hAnsi="Times New Roman"/>
          <w:sz w:val="18"/>
          <w:szCs w:val="18"/>
          <w:color w:val="auto"/>
        </w:rPr>
      </w:pPr>
    </w:p>
    <w:p>
      <w:pPr>
        <w:ind w:left="560" w:right="600" w:firstLine="419"/>
        <w:spacing w:after="0" w:line="282" w:lineRule="auto"/>
        <w:tabs>
          <w:tab w:leader="none" w:pos="1378"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actions contemplated by this Agreement, adopt, approve, consent to or propose any change in the Organizational Documents of Galera; or</w:t>
      </w:r>
    </w:p>
    <w:p>
      <w:pPr>
        <w:spacing w:after="0" w:line="53" w:lineRule="exact"/>
        <w:rPr>
          <w:rFonts w:ascii="Times New Roman" w:cs="Times New Roman" w:eastAsia="Times New Roman" w:hAnsi="Times New Roman"/>
          <w:sz w:val="18"/>
          <w:szCs w:val="18"/>
          <w:color w:val="auto"/>
        </w:rPr>
      </w:pPr>
    </w:p>
    <w:p>
      <w:pPr>
        <w:ind w:left="1420" w:hanging="441"/>
        <w:spacing w:after="0"/>
        <w:tabs>
          <w:tab w:leader="none" w:pos="142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sz w:val="20"/>
          <w:szCs w:val="20"/>
          <w:color w:val="auto"/>
        </w:rPr>
      </w:pPr>
    </w:p>
    <w:p>
      <w:pPr>
        <w:ind w:left="120" w:right="40" w:firstLine="436"/>
        <w:spacing w:after="0" w:line="253" w:lineRule="auto"/>
        <w:tabs>
          <w:tab w:leader="none" w:pos="805"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generality of the foregoing, nothing set forth in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restrict Galera’s rights to effectuate the Concurrent PIPE Financing upon the terms set forth in the Securities Purchase Agreement on the date hereof. Nothing contained in this Agreement shall give Parent or Obsidian, directly or indirectly, the right to control or direct the operations of Galera prior to the Galera Effective Time. Prior to the Galera Effective Time, Galera shall exercise, consistent with the terms and conditions of this Agreement, complete unilateral control and supervision over its business operations. Notwithstanding any provision herein to the contrary (including the foregoing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Galera may execute the Permitted Galera Bridge Financing Agreements and shall cause each counterparty to each Permitted Galera Bridge Financing Agreement to execute a Galera Stockholder Support Agreement concurrently with the execution of such Permitted Galera Bridge Financing Agreement. Galera</w:t>
      </w:r>
    </w:p>
    <w:p>
      <w:pPr>
        <w:spacing w:after="0" w:line="2" w:lineRule="exact"/>
        <w:rPr>
          <w:rFonts w:ascii="Times New Roman" w:cs="Times New Roman" w:eastAsia="Times New Roman" w:hAnsi="Times New Roman"/>
          <w:sz w:val="18"/>
          <w:szCs w:val="18"/>
          <w:color w:val="auto"/>
        </w:rPr>
      </w:pPr>
    </w:p>
    <w:p>
      <w:pPr>
        <w:ind w:left="120" w:right="200" w:hanging="4"/>
        <w:spacing w:after="0" w:line="265" w:lineRule="auto"/>
        <w:tabs>
          <w:tab w:leader="none" w:pos="415"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shall permit Obsidian and its counsel to review and comment on the Permitted Galera Bridge Financing Agreements and; (B) shall consider any comments received by Obsidian in good faith and shall accept all reasonable additions, deletions or changes suggested by Obsidian and its counsel in connection therewith; and (C) shall not sign any agreements, contracts or other definitive documents (not including term sheets or letters of intent) related to the Permitted Galera Bridge Financing without first providing Obsidian and its counsel the opportunity to exercise their rights under clauses</w:t>
      </w:r>
    </w:p>
    <w:p>
      <w:pPr>
        <w:ind w:left="420" w:hanging="304"/>
        <w:spacing w:after="0"/>
        <w:tabs>
          <w:tab w:leader="none" w:pos="42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Conduct of Parent’s Business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36"/>
        <w:spacing w:after="0" w:line="282" w:lineRule="auto"/>
        <w:tabs>
          <w:tab w:leader="none" w:pos="80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contemplated or permitted by this Agreement, as required by applicable Law or unless Obsidian shall otherwise consent in writing (which consent shall not be unreasonably withheld, delayed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4" w:right="459" w:bottom="1440" w:gutter="0" w:footer="0" w:header="0"/>
        </w:sectPr>
      </w:pPr>
    </w:p>
    <w:bookmarkStart w:id="537" w:name="page538"/>
    <w:bookmarkEnd w:id="5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conditioned), during the Pre-Closing Period, Parent shall, and shall cause its Subsidiaries to, use commercially reasonable efforts to conduct its business and operations in the ordinary course of business and consistent with past practice and in material compliance with the applicable Law.</w:t>
      </w:r>
    </w:p>
    <w:p>
      <w:pPr>
        <w:spacing w:after="0" w:line="162" w:lineRule="exact"/>
        <w:rPr>
          <w:sz w:val="20"/>
          <w:szCs w:val="20"/>
          <w:color w:val="auto"/>
        </w:rPr>
      </w:pPr>
    </w:p>
    <w:p>
      <w:pPr>
        <w:jc w:val="both"/>
        <w:ind w:left="120" w:right="60" w:firstLine="436"/>
        <w:spacing w:after="0" w:line="266" w:lineRule="auto"/>
        <w:tabs>
          <w:tab w:leader="none" w:pos="81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 as required by applicable Law or (iv) with the prior written consent of Obsidian (which consent shall not be unreasonably withheld, delayed or conditioned), at all times during the Pre-Closing Period, Parent shall not, nor shall it cause or permit any of its Subsidiaries to, do any of the following:</w:t>
      </w:r>
    </w:p>
    <w:p>
      <w:pPr>
        <w:spacing w:after="0" w:line="67" w:lineRule="exact"/>
        <w:rPr>
          <w:rFonts w:ascii="Times New Roman" w:cs="Times New Roman" w:eastAsia="Times New Roman" w:hAnsi="Times New Roman"/>
          <w:sz w:val="18"/>
          <w:szCs w:val="18"/>
          <w:color w:val="auto"/>
        </w:rPr>
      </w:pPr>
    </w:p>
    <w:p>
      <w:pPr>
        <w:ind w:left="560" w:right="400" w:firstLine="419"/>
        <w:spacing w:after="0" w:line="282" w:lineRule="auto"/>
        <w:tabs>
          <w:tab w:leader="none" w:pos="1198"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license or otherwise dispose of any material assets of Parent, or in either case, any interests therein, except (i) pursuant to existing Contracts, (ii) for sales or licensing of products to customers or (iii) otherwise in the Ordinary Course of Business;</w:t>
      </w:r>
    </w:p>
    <w:p>
      <w:pPr>
        <w:spacing w:after="0" w:line="53" w:lineRule="exact"/>
        <w:rPr>
          <w:rFonts w:ascii="Times New Roman" w:cs="Times New Roman" w:eastAsia="Times New Roman" w:hAnsi="Times New Roman"/>
          <w:sz w:val="18"/>
          <w:szCs w:val="18"/>
          <w:color w:val="auto"/>
        </w:rPr>
      </w:pPr>
    </w:p>
    <w:p>
      <w:pPr>
        <w:ind w:left="560" w:firstLine="419"/>
        <w:spacing w:after="0" w:line="312" w:lineRule="auto"/>
        <w:tabs>
          <w:tab w:leader="none" w:pos="1248" w:val="left"/>
        </w:tabs>
        <w:numPr>
          <w:ilvl w:val="1"/>
          <w:numId w:val="3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any action with respect to any equity interests of Parent or any of its Subsidiaries, including any issuance, sale, transfer, redemption, repurchase, recapitalization, adjustment, split, combination, reclassification, dividend, distribution or any other action in respect thereof;</w:t>
      </w:r>
    </w:p>
    <w:p>
      <w:pPr>
        <w:spacing w:after="0" w:line="31" w:lineRule="exact"/>
        <w:rPr>
          <w:rFonts w:ascii="Times New Roman" w:cs="Times New Roman" w:eastAsia="Times New Roman" w:hAnsi="Times New Roman"/>
          <w:sz w:val="17"/>
          <w:szCs w:val="17"/>
          <w:color w:val="auto"/>
        </w:rPr>
      </w:pPr>
    </w:p>
    <w:p>
      <w:pPr>
        <w:ind w:left="1300" w:hanging="321"/>
        <w:spacing w:after="0"/>
        <w:tabs>
          <w:tab w:leader="none" w:pos="130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guarantee or repay (other than any mandatory repayments) any indebtedness;</w:t>
      </w:r>
    </w:p>
    <w:p>
      <w:pPr>
        <w:spacing w:after="0" w:line="117" w:lineRule="exact"/>
        <w:rPr>
          <w:rFonts w:ascii="Times New Roman" w:cs="Times New Roman" w:eastAsia="Times New Roman" w:hAnsi="Times New Roman"/>
          <w:sz w:val="18"/>
          <w:szCs w:val="18"/>
          <w:color w:val="auto"/>
        </w:rPr>
      </w:pPr>
    </w:p>
    <w:p>
      <w:pPr>
        <w:ind w:left="560" w:right="120" w:firstLine="419"/>
        <w:spacing w:after="0" w:line="282" w:lineRule="auto"/>
        <w:tabs>
          <w:tab w:leader="none" w:pos="1288"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pledge, transfer, subject to any Encumbrance or dispose of any Parent Common Stock or the securities of any Subsidiary of Parent;</w:t>
      </w:r>
    </w:p>
    <w:p>
      <w:pPr>
        <w:spacing w:after="0" w:line="53" w:lineRule="exact"/>
        <w:rPr>
          <w:rFonts w:ascii="Times New Roman" w:cs="Times New Roman" w:eastAsia="Times New Roman" w:hAnsi="Times New Roman"/>
          <w:sz w:val="18"/>
          <w:szCs w:val="18"/>
          <w:color w:val="auto"/>
        </w:rPr>
      </w:pPr>
    </w:p>
    <w:p>
      <w:pPr>
        <w:ind w:left="560" w:right="1100" w:firstLine="419"/>
        <w:spacing w:after="0" w:line="282" w:lineRule="auto"/>
        <w:tabs>
          <w:tab w:leader="none" w:pos="1238"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otherwise incur any Encumbrance on any material asset of Parent or any of its Subsidiaries, other than Permitted Encumbrances;</w:t>
      </w:r>
    </w:p>
    <w:p>
      <w:pPr>
        <w:spacing w:after="0" w:line="53"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 other than in the Ordinary Course of Business ;</w:t>
      </w:r>
    </w:p>
    <w:p>
      <w:pPr>
        <w:spacing w:after="0" w:line="117" w:lineRule="exact"/>
        <w:rPr>
          <w:rFonts w:ascii="Times New Roman" w:cs="Times New Roman" w:eastAsia="Times New Roman" w:hAnsi="Times New Roman"/>
          <w:sz w:val="18"/>
          <w:szCs w:val="18"/>
          <w:color w:val="auto"/>
        </w:rPr>
      </w:pPr>
    </w:p>
    <w:p>
      <w:pPr>
        <w:ind w:left="1340" w:hanging="361"/>
        <w:spacing w:after="0"/>
        <w:tabs>
          <w:tab w:leader="none" w:pos="134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w:t>
      </w:r>
    </w:p>
    <w:p>
      <w:pPr>
        <w:spacing w:after="0" w:line="117"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terminate any employees;</w:t>
      </w:r>
    </w:p>
    <w:p>
      <w:pPr>
        <w:spacing w:after="0" w:line="117" w:lineRule="exact"/>
        <w:rPr>
          <w:rFonts w:ascii="Times New Roman" w:cs="Times New Roman" w:eastAsia="Times New Roman" w:hAnsi="Times New Roman"/>
          <w:sz w:val="18"/>
          <w:szCs w:val="18"/>
          <w:color w:val="auto"/>
        </w:rPr>
      </w:pPr>
    </w:p>
    <w:p>
      <w:pPr>
        <w:ind w:left="1280" w:hanging="301"/>
        <w:spacing w:after="0"/>
        <w:tabs>
          <w:tab w:leader="none" w:pos="128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any material Legal Proceeding involving Parent or relating to the transactions contemplated by this Agreement;</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change any annual Tax accounting period, enter into any closing agreement with a</w:t>
      </w:r>
    </w:p>
    <w:p>
      <w:pPr>
        <w:spacing w:after="0" w:line="27" w:lineRule="exact"/>
        <w:rPr>
          <w:rFonts w:ascii="Times New Roman" w:cs="Times New Roman" w:eastAsia="Times New Roman" w:hAnsi="Times New Roman"/>
          <w:sz w:val="18"/>
          <w:szCs w:val="18"/>
          <w:color w:val="auto"/>
        </w:rPr>
      </w:pPr>
    </w:p>
    <w:p>
      <w:pPr>
        <w:ind w:left="5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Authority with respect to material Taxes or settle any Tax claim with respect to material Taxes, in each case, except if such action would not reasonably be expected to have a material and adverse effect on Parent following the Closing;</w:t>
      </w:r>
    </w:p>
    <w:p>
      <w:pPr>
        <w:spacing w:after="0" w:line="73" w:lineRule="exact"/>
        <w:rPr>
          <w:rFonts w:ascii="Times New Roman" w:cs="Times New Roman" w:eastAsia="Times New Roman" w:hAnsi="Times New Roman"/>
          <w:sz w:val="18"/>
          <w:szCs w:val="18"/>
          <w:color w:val="auto"/>
        </w:rPr>
      </w:pPr>
    </w:p>
    <w:p>
      <w:pPr>
        <w:ind w:left="560" w:right="280" w:firstLine="419"/>
        <w:spacing w:after="0" w:line="282" w:lineRule="auto"/>
        <w:tabs>
          <w:tab w:leader="none" w:pos="1288"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or knowingly fail to take any action, where such action or failure to act would reasonably be expected to prevent the Mergers from qualifying for the Intended Tax Treatment;</w:t>
      </w:r>
    </w:p>
    <w:p>
      <w:pPr>
        <w:spacing w:after="0" w:line="53" w:lineRule="exact"/>
        <w:rPr>
          <w:rFonts w:ascii="Times New Roman" w:cs="Times New Roman" w:eastAsia="Times New Roman" w:hAnsi="Times New Roman"/>
          <w:sz w:val="18"/>
          <w:szCs w:val="18"/>
          <w:color w:val="auto"/>
        </w:rPr>
      </w:pPr>
    </w:p>
    <w:p>
      <w:pPr>
        <w:ind w:left="560" w:right="200" w:firstLine="419"/>
        <w:spacing w:after="0" w:line="282" w:lineRule="auto"/>
        <w:tabs>
          <w:tab w:leader="none" w:pos="1338"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 in any method of financial accounting or financial accounting practice of Parent or any of its Subsidiaries, except for any such change required by reason of a change in GAAP or other applicable financial accounting standards;</w:t>
      </w:r>
    </w:p>
    <w:p>
      <w:pPr>
        <w:spacing w:after="0" w:line="53" w:lineRule="exact"/>
        <w:rPr>
          <w:rFonts w:ascii="Times New Roman" w:cs="Times New Roman" w:eastAsia="Times New Roman" w:hAnsi="Times New Roman"/>
          <w:sz w:val="18"/>
          <w:szCs w:val="18"/>
          <w:color w:val="auto"/>
        </w:rPr>
      </w:pPr>
    </w:p>
    <w:p>
      <w:pPr>
        <w:ind w:left="560" w:right="560" w:firstLine="419"/>
        <w:spacing w:after="0" w:line="282" w:lineRule="auto"/>
        <w:tabs>
          <w:tab w:leader="none" w:pos="1388"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actions contemplated by this Agreement, adopt, approve, consent to or propose any change in the Organizational Documents of Parent or any of its Subsidiaries; or</w:t>
      </w:r>
    </w:p>
    <w:p>
      <w:pPr>
        <w:spacing w:after="0" w:line="53" w:lineRule="exact"/>
        <w:rPr>
          <w:rFonts w:ascii="Times New Roman" w:cs="Times New Roman" w:eastAsia="Times New Roman" w:hAnsi="Times New Roman"/>
          <w:sz w:val="18"/>
          <w:szCs w:val="18"/>
          <w:color w:val="auto"/>
        </w:rPr>
      </w:pPr>
    </w:p>
    <w:p>
      <w:pPr>
        <w:ind w:left="1380" w:hanging="401"/>
        <w:spacing w:after="0"/>
        <w:tabs>
          <w:tab w:leader="none" w:pos="138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or commit to do any of the foregoing.</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Access and Investigation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36"/>
        <w:spacing w:after="0" w:line="258" w:lineRule="auto"/>
        <w:tabs>
          <w:tab w:leader="none" w:pos="80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Confidentiality Agreement, which the Parties agree will continue in full force following the date of this Agreement, during the Pre-Closing Period, upon reasonable written notice, Galera, on the one hand, and Obsidian, on the other hand, shall and shall use commercially reasonable efforts to cause such Party’s Representatives to: (i)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100"/>
          </w:cols>
          <w:pgMar w:left="320" w:top="454" w:right="479" w:bottom="1440" w:gutter="0" w:footer="0" w:header="0"/>
        </w:sectPr>
      </w:pPr>
    </w:p>
    <w:bookmarkStart w:id="538" w:name="page539"/>
    <w:bookmarkEnd w:id="5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 xml:space="preserve">Subsidiaries, (ii)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(iii) permit the other Party’s officers and other employees to meet (with virtual meeting sufficient), during normal business hours, with the chief financial officer and other officers and managers of such Party responsible for such Party’s financial statements and the internal controls of such Party to discuss such matters as the other Party may deem reasonably necessary or appropriate, and (iv) promptly provide the other Party with copies, when available, of unaudited financial statements or management accounts, and communications sent by or on behalf of such Party to its stockholders or any material notice, report or other document filed with or sent to or received from any Governmental Authority in connection with the Contemplated Transactions. Any investigation conducted by either Galera or Obsidian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conducted in such manner as not to interfere unreasonably with the conduct of the business of the other Party.</w:t>
      </w:r>
    </w:p>
    <w:p>
      <w:pPr>
        <w:spacing w:after="0" w:line="194" w:lineRule="exact"/>
        <w:rPr>
          <w:sz w:val="20"/>
          <w:szCs w:val="20"/>
          <w:color w:val="auto"/>
        </w:rPr>
      </w:pPr>
    </w:p>
    <w:p>
      <w:pPr>
        <w:ind w:left="120" w:right="40" w:firstLine="436"/>
        <w:spacing w:after="0" w:line="254" w:lineRule="auto"/>
        <w:tabs>
          <w:tab w:leader="none" w:pos="81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no access or examination contemplated by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shall be permitted to the extent that it would require any Party or its Subsidiaries to waive the attorney-client privilege or attorney work product privilege, conflict with any third party confidentiality obligations to which such Party is bound, or violate any applicable Law;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3" w:lineRule="auto"/>
        <w:tabs>
          <w:tab w:leader="none" w:pos="80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Galera and Obsidian agrees that, during the Pre-Closing Period, neither it nor any of its Subsidiaries shall, nor shall it or any of its Subsidiaries authorize any of its Representatives to, directly or indirectly: (i) solicit, assist, initiate, engage,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or group (other than in a Party to this Agreement or its Representatives) in connection with or in response to an Acquisition Proposal or Acquisition Inquiry, (iii) engage, encourage or participate in discussions or negotiations with any Person or group with respect to any Acquisition Proposal or Acquisition Inquiry, (iv) approve, endorse or recommend any Acquisition Proposal (subject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(v) negotiate, execute or enter into any letter of intent, agreement in principle, acquisition agreement or any other Contract contemplating or otherwise relating to any Acquisition Transaction, (vi) take any action that could reasonably be expected to lead to an Acquisition Proposal or Acquisition Inquiry, (vii) release any Person from, or waive any provision of, any confidentiality agreement to which such Party is a party, the release or waiver of which could reasonably be expected to lead to an Acquisition Proposal or Acquisition Inquiry, or (viii) publicly propose to do any of the following.</w:t>
      </w:r>
    </w:p>
    <w:p>
      <w:pPr>
        <w:spacing w:after="0" w:line="191" w:lineRule="exact"/>
        <w:rPr>
          <w:rFonts w:ascii="Times New Roman" w:cs="Times New Roman" w:eastAsia="Times New Roman" w:hAnsi="Times New Roman"/>
          <w:sz w:val="18"/>
          <w:szCs w:val="18"/>
          <w:color w:val="auto"/>
        </w:rPr>
      </w:pPr>
    </w:p>
    <w:p>
      <w:pPr>
        <w:ind w:left="120" w:right="60" w:firstLine="436"/>
        <w:spacing w:after="0" w:line="255" w:lineRule="auto"/>
        <w:tabs>
          <w:tab w:leader="none" w:pos="81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subject to compliance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prior to obtaining the Required Galera Stockholder Approval, Galera may furnish nonpublic information regarding Galera and its Subsidiaries to, and enter into discussions or negotiations with, any Person in response to a bona fide, unsolicited, written Acquisition Proposal by such Person which the Galera Board determines in good faith, after consultation with its financial advisors and outside legal counsel, constitutes, or is reasonably likely to result in, a Superior Offer (and is not withdrawn) if: (A) neither Galera nor any Representative of Galera shall have breached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in any material respect, (B) the Galera Board concludes in good faith, after consulting with outside counsel, that the failure to take such action would reasonably be expected to constitute a violation of the Galera Board’s fiduciary duties under applicable Law, (C) at least one (1) Business Day prior 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120"/>
          </w:cols>
          <w:pgMar w:left="320" w:top="454" w:right="45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 xml:space="preserve">initially furnishing any such nonpublic information to, or enter into discussions with, such Person, (D) Galera receives from such Person an executed Acceptable Confidentiality Agreement and (E) at least one (1) Business Day prior to furnishing any such nonpublic information to such Person, Galera furnishes such nonpublic information to Obsidian (to the extent such information has not been previously furnished by Galera to Obsidian).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by such party, the taking of such action by such Representative shall be deemed to constitute a breach of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by such party for purposes of this Agreement.</w:t>
      </w:r>
    </w:p>
    <w:p>
      <w:pPr>
        <w:spacing w:after="0" w:line="187" w:lineRule="exact"/>
        <w:rPr>
          <w:sz w:val="20"/>
          <w:szCs w:val="20"/>
          <w:color w:val="auto"/>
        </w:rPr>
      </w:pPr>
    </w:p>
    <w:p>
      <w:pPr>
        <w:ind w:left="120" w:firstLine="436"/>
        <w:spacing w:after="0" w:line="253" w:lineRule="auto"/>
        <w:tabs>
          <w:tab w:leader="none" w:pos="80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subject to compliance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prior to obtaining the Required Obsidian Stockholder Approval, Obsidian may furnish nonpublic information regarding Obsidian and its Subsidiaries to, and enter into discussions or negotiations with, any Person in response to a bona fide, unsolicited, written Acquisition Proposal by such Person which the Obsidian Board determines in good faith, after consultation with its financial advisors and outside legal counsel, constitutes, or is reasonably likely to result in, a Superior Offer (and is not withdrawn) if: (A) neither Obsidian nor any Representative of Obsidian shall have breached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in any material respect, (B) Obsidian Board concludes in good faith, after consulting with outside counsel, that the failure to take such action would reasonably be expected to constitute a violation of Obsidian Board’s fiduciary duties under applicable Law, (C) at least one (1) Business Day prior to initially furnishing any such nonpublic information to, or enter into discussions with, such Person, (D) Obsidian receives from such Person an executed Acceptable Confidentiality Agreement and (E) at least one (1) Business Day prior to furnishing any such nonpublic information to such Person, Obsidian furnishes such nonpublic information to Galera (to the extent such information has not been previously furnished by Obsidian to Galera).</w:t>
      </w:r>
    </w:p>
    <w:p>
      <w:pPr>
        <w:spacing w:after="0" w:line="194"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Party or any Representative of such Party receives an unsolicited Acquisition Proposal or Acquisition Inquiry at any time during</w:t>
      </w:r>
    </w:p>
    <w:p>
      <w:pPr>
        <w:spacing w:after="0" w:line="27"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the Pre-Closing Period, then such Party shall promptly (and in no event later than one (1) Business Day after such Party becomes aware of such Acquisition Proposal or Acquisition Inquiry) notify the other Party in writing of such Acquisition Proposal or Acquisition Inquiry, which notification shall contain the details of such Acquisition Proposal or Acquisition Inquiry (including the identity of the Person making or submitting such Acquisition Proposal or Acquisition Inquiry and either a copy of such Acquisition Proposal if in writing or a written summary of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90" w:lineRule="exact"/>
        <w:rPr>
          <w:sz w:val="20"/>
          <w:szCs w:val="20"/>
          <w:color w:val="auto"/>
        </w:rPr>
      </w:pPr>
    </w:p>
    <w:p>
      <w:pPr>
        <w:ind w:left="120" w:firstLine="436"/>
        <w:spacing w:after="0" w:line="266" w:lineRule="auto"/>
        <w:tabs>
          <w:tab w:leader="none" w:pos="80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as soon as reasonably practicable after the date of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4" w:lineRule="auto"/>
        <w:tabs>
          <w:tab w:leader="none" w:pos="80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Pre-Closing Period, each of Obsidian, on the one hand, and Galera, on the other hand, shall promptly notify the other (and, if in writing, furnish copies of) if any of the following occurs: (i) any notice or other communication is received from any Person alleging that the Consent of such Person is or may be required in connection with any of the Contemplated Transactions, (ii) any non-compliance with any Law is alleged or any Legal Proceeding against or involving or otherwise affecting such Party or its Subsidiaries is commenced, or, to the Knowledge of such Party, threatened against such Party or, to the Knowledge of such Party, any director, officer or Key Employee of such Party, in each case, in such person’s capacity as such, (iii) such Party becomes aware of any inaccuracy in any representation or warranty made by such Party in this Agreement or (iv) the failure of such Party to timely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impossible or materially less likely or could otherwise materially impact the consummation of the Contemplated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1120"/>
          </w:cols>
          <w:pgMar w:left="320" w:top="454" w:right="459" w:bottom="1440" w:gutter="0" w:footer="0" w:header="0"/>
        </w:sectPr>
      </w:pPr>
    </w:p>
    <w:bookmarkStart w:id="540" w:name="page541"/>
    <w:bookmarkEnd w:id="5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 xml:space="preserve">Transactions. No such notice shall be deemed to supplement or amend the Obsidian Disclosure Schedule or the Galera Disclosure Schedule for the purpose of (A) determining the accuracy of any of the representations and warranties made by Obsidian or Galera in this Agreement or (B) determining whether any condition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has been satisfied. Any failure by either Party to provide notice pursuant to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not be deemed to be a breach for purposes of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8.3(b)</w:t>
      </w:r>
      <w:r>
        <w:rPr>
          <w:rFonts w:ascii="Times New Roman" w:cs="Times New Roman" w:eastAsia="Times New Roman" w:hAnsi="Times New Roman"/>
          <w:sz w:val="18"/>
          <w:szCs w:val="18"/>
          <w:color w:val="auto"/>
        </w:rPr>
        <w:t>, as applicable, unless such failure to provide such notice was material, knowing and intentional.</w:t>
      </w:r>
    </w:p>
    <w:p>
      <w:pPr>
        <w:spacing w:after="0" w:line="183" w:lineRule="exact"/>
        <w:rPr>
          <w:sz w:val="20"/>
          <w:szCs w:val="20"/>
          <w:color w:val="auto"/>
        </w:rPr>
      </w:pPr>
    </w:p>
    <w:p>
      <w:pPr>
        <w:ind w:left="120" w:right="20" w:firstLine="436"/>
        <w:spacing w:after="0" w:line="266" w:lineRule="auto"/>
        <w:tabs>
          <w:tab w:leader="none" w:pos="81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Pre-Closing Period, Galera shall use reasonable best efforts to consult with Obsidian during the negotiation process for, and prior to taking any material action with respect to, any amendment to, sublicense or the potential early termination of the agreements related to the Galera Real Estate Leases, and shall consider any input received from Obsidian in good faith prior to taking any such action.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Galera Options</w:t>
      </w:r>
      <w:r>
        <w:rPr>
          <w:rFonts w:ascii="Times New Roman" w:cs="Times New Roman" w:eastAsia="Times New Roman" w:hAnsi="Times New Roman"/>
          <w:sz w:val="18"/>
          <w:szCs w:val="18"/>
          <w:color w:val="auto"/>
        </w:rPr>
        <w:t>. Prior to the Closing, the Galera Board shall have adopted appropriate resolutions and taken all other actions necessary and appropriate to provide (a) each outstanding Galera Option that is not a Galera ITM Option will be cancelled for no consideration and (b) that the vesting and exercisability of each unexpired, unexercised and unvested Galera ITM Option shall be accelerated in full, in each case, effective as of immediately prior to the Galera Effective Time, contingent on the occurrence of the Closing.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Galera ESPP</w:t>
      </w:r>
      <w:r>
        <w:rPr>
          <w:rFonts w:ascii="Times New Roman" w:cs="Times New Roman" w:eastAsia="Times New Roman" w:hAnsi="Times New Roman"/>
          <w:sz w:val="18"/>
          <w:szCs w:val="18"/>
          <w:color w:val="auto"/>
        </w:rPr>
        <w:t>. As soon as reasonably practicable following the date of this Agreement, the Galera Board shall adopt appropriate resolutions to provide that (a) no offering periods or purchase periods shall be commenced following or in addition to any offering period underway as of the date hereof under the Galera ESPP (the “</w:t>
      </w:r>
      <w:r>
        <w:rPr>
          <w:rFonts w:ascii="Times New Roman" w:cs="Times New Roman" w:eastAsia="Times New Roman" w:hAnsi="Times New Roman"/>
          <w:sz w:val="18"/>
          <w:szCs w:val="18"/>
          <w:b w:val="1"/>
          <w:bCs w:val="1"/>
          <w:color w:val="auto"/>
        </w:rPr>
        <w:t>Current Offering Period</w:t>
      </w:r>
      <w:r>
        <w:rPr>
          <w:rFonts w:ascii="Times New Roman" w:cs="Times New Roman" w:eastAsia="Times New Roman" w:hAnsi="Times New Roman"/>
          <w:sz w:val="18"/>
          <w:szCs w:val="18"/>
          <w:color w:val="auto"/>
        </w:rPr>
        <w:t>”), (b) no payroll deductions or other contributions shall be made or effected after the Current Offering Period with respect to the Galera ESPP, and (c) each Galera ESPP participant’s accumulated contributions under the Galera ESPP shall be returned to the participant in accordance with the terms of the Galera ESPP.</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Concurrent PIPE Financing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20" w:firstLine="436"/>
        <w:spacing w:after="0" w:line="255" w:lineRule="auto"/>
        <w:tabs>
          <w:tab w:leader="none" w:pos="805"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Parties shall use commercially reasonable efforts to obtain the Concurrent PIPE Financing on the terms and conditions described in the Securities Purchase Agreement and satisfy the conditions to the Concurrent PIPE Financing as described in the Securities Purchase Agreement and shall not permit any termination, amendment or modification to be made to, or any waiver of any provision under, or any replacement of, the Securities Purchase Agreement if such termination, amendment, modification, waiver or replacement</w:t>
      </w:r>
    </w:p>
    <w:p>
      <w:pPr>
        <w:spacing w:after="0" w:line="2" w:lineRule="exact"/>
        <w:rPr>
          <w:rFonts w:ascii="Times New Roman" w:cs="Times New Roman" w:eastAsia="Times New Roman" w:hAnsi="Times New Roman"/>
          <w:sz w:val="18"/>
          <w:szCs w:val="18"/>
          <w:color w:val="auto"/>
        </w:rPr>
      </w:pPr>
    </w:p>
    <w:p>
      <w:pPr>
        <w:ind w:left="120" w:right="20" w:hanging="4"/>
        <w:spacing w:after="0" w:line="252" w:lineRule="auto"/>
        <w:tabs>
          <w:tab w:leader="none" w:pos="335"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aggregate amount of the Concurrent PIPE Financing or (ii) imposes new or additional conditions or otherwise expands, amends or modifies any of the conditions to the receipt of the Concurrent PIPE Financing, or otherwise expands, amends or modifies any other provision of the Securities Purchase Agreement, in a manner that would reasonably be expected to (x) delay or prevent the funding of the Concurrent PIPE Financing (or satisfaction of the conditions to the Concurrent PIPE Financing) at or substantially simultaneously with the Closing or (y) adversely impact the ability of a Party to enforce its rights against other parties to the Securities Purchase Agreement. Each Party shall promptly deliver to the other Parties copies of any such termination, amendment, modification, waiver or replacement.</w:t>
      </w:r>
    </w:p>
    <w:p>
      <w:pPr>
        <w:spacing w:after="0" w:line="189"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commercially reasonable efforts (i) to maintain in effect the Securities Purchase Agreement, (ii) to enforce its rights under the Securities Purchase Agreement and (iii) to comply with its obligations under the Securities Purchase Agreement.</w:t>
      </w:r>
    </w:p>
    <w:p>
      <w:pPr>
        <w:spacing w:after="0" w:line="161" w:lineRule="exact"/>
        <w:rPr>
          <w:rFonts w:ascii="Times New Roman" w:cs="Times New Roman" w:eastAsia="Times New Roman" w:hAnsi="Times New Roman"/>
          <w:sz w:val="18"/>
          <w:szCs w:val="18"/>
          <w:color w:val="auto"/>
        </w:rPr>
      </w:pPr>
    </w:p>
    <w:p>
      <w:pPr>
        <w:ind w:left="120" w:right="360" w:firstLine="436"/>
        <w:spacing w:after="0" w:line="261" w:lineRule="auto"/>
        <w:tabs>
          <w:tab w:leader="none" w:pos="805"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give the other Parties prompt notice (i) of any breach or default by any party to the Securities Purchase Agreement or definitive agreements related to the Concurrent PIPE Financing of which such Party becomes aware, (ii) of the receipt of any written notice or other written communication from any purchaser with respect to any (x) actual breach, default, termination or repudiation by any party to the Securities Purchase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1120"/>
          </w:cols>
          <w:pgMar w:left="320" w:top="454" w:right="459" w:bottom="1440" w:gutter="0" w:footer="0" w:header="0"/>
        </w:sectPr>
      </w:pPr>
    </w:p>
    <w:bookmarkStart w:id="541" w:name="page542"/>
    <w:bookmarkEnd w:id="5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Agreement or definitive agreements related to the Concurrent PIPE Financing of any provisions of the Securities Purchase Agreement or definitive agreements related to the Concurrent PIPE Financing or (y) material dispute or disagreement relating to the Concurrent PIPE Financing with respect to the obligation to fund the Concurrent PIPE Financing at or substantially simultaneously with the Closing, and (iii) if at any time for any reason a Party believes in good faith that it will not be able to obtain all or any portion of the Concurrent PIPE Financing on the terms and conditions, in the manner or from the sources contemplated by the Securities Purchase Agreement or definitive agreements related to the Concurrent PIPE Financing. Each Party shall promptly provide information reasonably requested by the other Parties relating to the circumstances referred to in clauses (i), (ii) or (iii) of the immediately preceding sentence.</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Registration Statement; Information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3" w:lineRule="auto"/>
        <w:tabs>
          <w:tab w:leader="none" w:pos="80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(but in any event, no later than five (5) Business Days after the date of this Agreement, (i) Galera, in cooperation with Obsidian, shall prepare and file with the SEC an information statement relating to the Required Galera Stockholder Approval to be obtained in connection with the Mergers (together with any amendments thereof or supplements thereto, the “</w:t>
      </w:r>
      <w:r>
        <w:rPr>
          <w:rFonts w:ascii="Times New Roman" w:cs="Times New Roman" w:eastAsia="Times New Roman" w:hAnsi="Times New Roman"/>
          <w:sz w:val="18"/>
          <w:szCs w:val="18"/>
          <w:b w:val="1"/>
          <w:bCs w:val="1"/>
          <w:color w:val="auto"/>
        </w:rPr>
        <w:t>Galera Information Statement</w:t>
      </w:r>
      <w:r>
        <w:rPr>
          <w:rFonts w:ascii="Times New Roman" w:cs="Times New Roman" w:eastAsia="Times New Roman" w:hAnsi="Times New Roman"/>
          <w:sz w:val="18"/>
          <w:szCs w:val="18"/>
          <w:color w:val="auto"/>
        </w:rPr>
        <w:t>”) and (ii) Parent and Galera in cooperation with Obsidian, shall prepare and file with the SEC a registration statement on Form S-4 (the “</w:t>
      </w:r>
      <w:r>
        <w:rPr>
          <w:rFonts w:ascii="Times New Roman" w:cs="Times New Roman" w:eastAsia="Times New Roman" w:hAnsi="Times New Roman"/>
          <w:sz w:val="18"/>
          <w:szCs w:val="18"/>
          <w:b w:val="1"/>
          <w:bCs w:val="1"/>
          <w:color w:val="auto"/>
        </w:rPr>
        <w:t>Form S-4</w:t>
      </w:r>
      <w:r>
        <w:rPr>
          <w:rFonts w:ascii="Times New Roman" w:cs="Times New Roman" w:eastAsia="Times New Roman" w:hAnsi="Times New Roman"/>
          <w:sz w:val="18"/>
          <w:szCs w:val="18"/>
          <w:color w:val="auto"/>
        </w:rPr>
        <w:t>”), in which the Galera Information Statement shall be included as a part (the Galera Information Statement and the Form S-4, collectively,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connection with the registration under the Securities Act of the shares of Parent Common Stock to be issued by virtue of the Mergers and the Concurrent PIPE Financing. Each of Parent, Galera and Obsidian shall use their commercially reasonable efforts to respond promptly to any comments of the SEC or its staff and to cause the Registration Statement to become effective as promptly as practicable, and shall take all or any action required under any applicable federal, state, securities and other Laws in connection with the issuance of shares of Parent Common Stock pursuant to the Mergers. Each of the Parties shall furnish all information concerning itself and their Affiliates, as applicable, to the other Parties as the other Parties may reasonably request in connection with such actions and the preparation of the Registration Statement and Galera Information Statement.</w:t>
      </w:r>
    </w:p>
    <w:p>
      <w:pPr>
        <w:spacing w:after="0" w:line="191"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Galera each covenant and agree that the Registration Statement (and the letter to stockholders included therewith) will (i) comply as to form in all material respects with the requirements of applicable U.S. federal securities laws and Delaware Law, and (ii) will not contain any untrue statement of a material fact or omit to state any material fact required to be stated therein or necessary in order to make the statements made therein, in light of the circumstances under which they were made, not misleading. Obsidian covenants and agrees that the information supplied by or on behalf of Obsidian, concerning itself, to Parent and Galera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none of Parent, Galera or Obsidian makes any covenant, representation or warranty with respect to statements made in the Registration Statement (and the letter to stockholders included therewith), if any, based on information provided by the other party or any of their Representatives regarding such other party or its Affiliates for inclusion therein.</w:t>
      </w:r>
    </w:p>
    <w:p>
      <w:pPr>
        <w:spacing w:after="0" w:line="188"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0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shall use commercially reasonable efforts to cause the Galera Information Statement to be mailed to Galera’s stockholders as promptly as practicable after the Registration Statement is declared effective under the Securities Act.</w:t>
      </w:r>
    </w:p>
    <w:p>
      <w:pPr>
        <w:spacing w:after="0" w:line="161" w:lineRule="exact"/>
        <w:rPr>
          <w:rFonts w:ascii="Times New Roman" w:cs="Times New Roman" w:eastAsia="Times New Roman" w:hAnsi="Times New Roman"/>
          <w:sz w:val="18"/>
          <w:szCs w:val="18"/>
          <w:color w:val="auto"/>
        </w:rPr>
      </w:pPr>
    </w:p>
    <w:p>
      <w:pPr>
        <w:ind w:left="120" w:right="560" w:firstLine="436"/>
        <w:spacing w:after="0" w:line="266" w:lineRule="auto"/>
        <w:tabs>
          <w:tab w:leader="none" w:pos="815"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before the Closing (i) any Party (A) becomes aware of any event or information that, pursuant to the Securities Act or the Exchange Act, should be disclosed in an amendment or supplement to the Registration Statement, (B) receives notice of any SEC request for an amendment or supplement to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A-78</w:t>
      </w:r>
    </w:p>
    <w:p>
      <w:pPr>
        <w:sectPr>
          <w:pgSz w:w="11900" w:h="16838" w:orient="portrait"/>
          <w:cols w:equalWidth="0" w:num="1">
            <w:col w:w="11120"/>
          </w:cols>
          <w:pgMar w:left="320" w:top="454" w:right="459" w:bottom="1440" w:gutter="0" w:footer="0" w:header="0"/>
        </w:sectPr>
      </w:pPr>
    </w:p>
    <w:bookmarkStart w:id="542" w:name="page543"/>
    <w:bookmarkEnd w:id="5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then, in each case such party, as the case may be, shall promptly inform the other parties thereof and shall cooperate with such other Parties in filing such amendment or supplement with the SEC (and, if appropriate, in mailing such amendment or supplement to Parent and Galera stockholders) or otherwise addressing such SEC request or comments and each party shall use their commercially reasonable efforts to cause any such amendment to become effective, if required. Each of Parent and Galera shall promptly notify Obsidian if it becomes aware (1) that the Registration Statement has become effective, (2) of the issuance of any stop order or suspension of the qualification or registration of the Parent Common Stock issuance in connection with the Mergers and the Concurrent PIPE Financing for offering or sale in any jurisdiction, or (3) any order of the SEC related to the Registration Statement, and shall promptly provide to Obsidian copies of all written correspondence between it or any of its Representatives, on the one hand, and the SEC or staff of the SEC, on the other hand, with respect to the Registration Statement and all orders of the SEC relating to the Registration Statement.</w:t>
      </w:r>
    </w:p>
    <w:p>
      <w:pPr>
        <w:spacing w:after="0" w:line="192" w:lineRule="exact"/>
        <w:rPr>
          <w:sz w:val="20"/>
          <w:szCs w:val="20"/>
          <w:color w:val="auto"/>
        </w:rPr>
      </w:pPr>
    </w:p>
    <w:p>
      <w:pPr>
        <w:ind w:left="120" w:right="260" w:firstLine="436"/>
        <w:spacing w:after="0" w:line="255" w:lineRule="auto"/>
        <w:tabs>
          <w:tab w:leader="none" w:pos="80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Obsidian shall reasonably cooperate with Parent and Galera and provide, and cause its Representatives to provide, Parent, Galera and their Representatives, with all true, correct and complete information regarding Obsidian and its Subsidiaries that is required by law to be included in the Registration Statement or reasonably requested by Parent to be included in the Registration Statement. Without limiting their respective obligations in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each of Galera and Obsidian will use commercially reasonable efforts to cause to be delivered to Parent a letter of their respective independent accounting firms, dated no more than two (2) Business Days before the date on which the Registration Statement becomes effective (and reasonably satisfactory in form and substance to Parent), that is customary in scope and substance for letters delivered by independent public accountants in connection with registration statements similar to the Registration Statement.</w:t>
      </w:r>
    </w:p>
    <w:p>
      <w:pPr>
        <w:spacing w:after="0" w:line="188" w:lineRule="exact"/>
        <w:rPr>
          <w:rFonts w:ascii="Times New Roman" w:cs="Times New Roman" w:eastAsia="Times New Roman" w:hAnsi="Times New Roman"/>
          <w:sz w:val="18"/>
          <w:szCs w:val="18"/>
          <w:color w:val="auto"/>
        </w:rPr>
      </w:pPr>
    </w:p>
    <w:p>
      <w:pPr>
        <w:ind w:left="120" w:right="60" w:firstLine="436"/>
        <w:spacing w:after="0" w:line="258" w:lineRule="auto"/>
        <w:tabs>
          <w:tab w:leader="none" w:pos="78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No filing of, or amendment or supplement to, the Registration Statement will be made by Parent, and no filing of, or amendment or supplement to, the Registration Statement will be made by Parent, in each case, without the prior consent of Obsidian, which shall not be unreasonably withheld, conditioned or delayed.</w:t>
      </w:r>
    </w:p>
    <w:p>
      <w:pPr>
        <w:spacing w:after="0" w:line="183" w:lineRule="exact"/>
        <w:rPr>
          <w:rFonts w:ascii="Times New Roman" w:cs="Times New Roman" w:eastAsia="Times New Roman" w:hAnsi="Times New Roman"/>
          <w:sz w:val="18"/>
          <w:szCs w:val="18"/>
          <w:color w:val="auto"/>
        </w:rPr>
      </w:pPr>
    </w:p>
    <w:p>
      <w:pPr>
        <w:jc w:val="both"/>
        <w:ind w:left="120" w:firstLine="436"/>
        <w:spacing w:after="0" w:line="266" w:lineRule="auto"/>
        <w:tabs>
          <w:tab w:leader="none" w:pos="815"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will use commercially reasonable efforts to cause Galera’s independent accounting firm to deliver any Consent that Parent is required to file with the SEC with respect to the inclusion of the independent accounting firm’s opinion on the audited financial statements of Galera in any filing of the Registration Statement with the SEC.</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Obsidian Stockholder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80" w:firstLine="436"/>
        <w:spacing w:after="0" w:line="254" w:lineRule="auto"/>
        <w:tabs>
          <w:tab w:leader="none" w:pos="805"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Registration Statement has been declared effective under the Securities Act, and in any event no later than two (2) Business Days thereafter, Obsidian shall prepare, with the cooperation of Galera, and cause to be mailed to its stockholders an information statement, which shall include a copy of the Galera Information Statement, and the Obsidian Stockholder Written Consent, in order to solicit the approval of Obsidian’s stockholders, including but not limited to Obsidian’s stockholders sufficient for the Required Obsidian Stockholder Approval in lieu of a meeting pursuant to Section 228 of Delaware Law, for purposes of (i) adopting and approving this Agreement and the Contemplated Transactions, and</w:t>
      </w:r>
    </w:p>
    <w:p>
      <w:pPr>
        <w:spacing w:after="0" w:line="3" w:lineRule="exact"/>
        <w:rPr>
          <w:rFonts w:ascii="Times New Roman" w:cs="Times New Roman" w:eastAsia="Times New Roman" w:hAnsi="Times New Roman"/>
          <w:sz w:val="18"/>
          <w:szCs w:val="18"/>
          <w:color w:val="auto"/>
        </w:rPr>
      </w:pPr>
    </w:p>
    <w:p>
      <w:pPr>
        <w:ind w:left="120" w:right="140" w:hanging="4"/>
        <w:spacing w:after="0" w:line="253" w:lineRule="auto"/>
        <w:tabs>
          <w:tab w:leader="none" w:pos="385"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acknowledging that the approval given thereby is irrevocable. Obsidian shall use its reasonable best efforts to cause Obsidian’s stockholders sufficient for the Required Obsidian Stockholder Approval to execute and deliver to Obsidian the Obsidian Stockholder Written Consent promptly following delivery thereof, and in any event no later than fifteen (15) days after the Registration Statement has been declared effective. Promptly following receipt of the duly executed Obsidian Stockholder Written Consent, Obsidian shall deliver a copy of the duly executed Obsidian Stockholder Written Consent to Galera. Under no circumstances shall Obsidian assert that any other approval or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A-79</w:t>
      </w:r>
    </w:p>
    <w:p>
      <w:pPr>
        <w:sectPr>
          <w:pgSz w:w="11900" w:h="16838" w:orient="portrait"/>
          <w:cols w:equalWidth="0" w:num="1">
            <w:col w:w="11140"/>
          </w:cols>
          <w:pgMar w:left="320" w:top="454" w:right="439" w:bottom="1440" w:gutter="0" w:footer="0" w:header="0"/>
        </w:sectPr>
      </w:pPr>
    </w:p>
    <w:bookmarkStart w:id="543" w:name="page544"/>
    <w:bookmarkEnd w:id="5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Consent is necessary by its stockholders to approve this Agreement and the Contemplated Transactions. In connection with the Obsidian Stockholder Written Consent, Obsidian shall take all actions necessary or advisable to comply in all material respects, and shall comply in all material respects, with Delaware Law, including Section 228 and Section 262 thereof, and the Organizational Documents of Obsidian.</w:t>
      </w:r>
    </w:p>
    <w:p>
      <w:pPr>
        <w:spacing w:after="0" w:line="176" w:lineRule="exact"/>
        <w:rPr>
          <w:sz w:val="20"/>
          <w:szCs w:val="20"/>
          <w:color w:val="auto"/>
        </w:rPr>
      </w:pPr>
    </w:p>
    <w:p>
      <w:pPr>
        <w:ind w:left="120" w:right="220" w:firstLine="436"/>
        <w:spacing w:after="0" w:line="254" w:lineRule="auto"/>
        <w:tabs>
          <w:tab w:leader="none" w:pos="81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Obsidian agrees that, subject in all respects to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(i) the Obsidian Board shall use commercially reasonable efforts to solicit stockholder approval within the timeframe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(the recommendation of the Obsidian Board that Obsidian’s stockholders vote to adopt and approve this Agreement being referred to as the “</w:t>
      </w:r>
      <w:r>
        <w:rPr>
          <w:rFonts w:ascii="Times New Roman" w:cs="Times New Roman" w:eastAsia="Times New Roman" w:hAnsi="Times New Roman"/>
          <w:sz w:val="18"/>
          <w:szCs w:val="18"/>
          <w:b w:val="1"/>
          <w:bCs w:val="1"/>
          <w:color w:val="auto"/>
        </w:rPr>
        <w:t>Obsidian Board Recommendation</w:t>
      </w:r>
      <w:r>
        <w:rPr>
          <w:rFonts w:ascii="Times New Roman" w:cs="Times New Roman" w:eastAsia="Times New Roman" w:hAnsi="Times New Roman"/>
          <w:sz w:val="18"/>
          <w:szCs w:val="18"/>
          <w:color w:val="auto"/>
        </w:rPr>
        <w:t>”) and (ii) the Obsidian Board Recommendation shall not be withheld, amended, withdrawn or modified (and the Obsidian Board shall not publicly propose to withhold, amend, withdraw or modify the Obsidian Board Recommendation) in a manner adverse to Parent or Galera, and no resolution by the Obsidian Board or any committee thereof to withdraw or modify the Obsidian Board Recommendation in a manner adverse to Parent or Galera or to adopt, approve or recommend (or publicly propose to adopt, approve or recommend) any Acquisition Proposal shall be adopted or proposed (the actions set forth in the foregoing clause (ii), collectively, an “</w:t>
      </w:r>
      <w:r>
        <w:rPr>
          <w:rFonts w:ascii="Times New Roman" w:cs="Times New Roman" w:eastAsia="Times New Roman" w:hAnsi="Times New Roman"/>
          <w:sz w:val="18"/>
          <w:szCs w:val="18"/>
          <w:b w:val="1"/>
          <w:bCs w:val="1"/>
          <w:color w:val="auto"/>
        </w:rPr>
        <w:t>Obsidian Board Adverse Recommendation Change</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firstLine="436"/>
        <w:spacing w:after="0" w:line="251" w:lineRule="auto"/>
        <w:tabs>
          <w:tab w:leader="none" w:pos="80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and subject to compliance with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at any time prior to the receipt of the Required Obsidian Stockholder Approval, (i) if Obsidian receives a bona fide, unsolicited,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Obsidian meets or exceeds internal budgets, plans or forecasts of its revenues, earnings or other financial performance or results of operations) that affects the business, assets or operations of Obsidian that occurs or arises after the date of this Agreement (a “</w:t>
      </w:r>
      <w:r>
        <w:rPr>
          <w:rFonts w:ascii="Times New Roman" w:cs="Times New Roman" w:eastAsia="Times New Roman" w:hAnsi="Times New Roman"/>
          <w:sz w:val="18"/>
          <w:szCs w:val="18"/>
          <w:b w:val="1"/>
          <w:bCs w:val="1"/>
          <w:color w:val="auto"/>
        </w:rPr>
        <w:t>Obsidian Intervening Event</w:t>
      </w:r>
      <w:r>
        <w:rPr>
          <w:rFonts w:ascii="Times New Roman" w:cs="Times New Roman" w:eastAsia="Times New Roman" w:hAnsi="Times New Roman"/>
          <w:sz w:val="18"/>
          <w:szCs w:val="18"/>
          <w:color w:val="auto"/>
        </w:rPr>
        <w:t>”), the Obsidian Board may make an Obsidian Board Adverse Recommendation Change if, but only if (i) in the case of a Superior Offer, following the receipt of and on account of such Superior Offer, (1) Obsidian Board determines in good faith, after consulting with outside legal counsel and reasonably considering all relevant factors, that the failure to withhold, amend, withdraw or modify such recommendation would reasonably be expected to be inconsistent with its fiduciary duties under applicable Law, (2) Obsidian has, and has caused its financial advisors and outside legal counsel to, during the Obsidian Notice Period, negotiate with Galera in good faith to make such adjustments to the terms and conditions of this Agreement so that such Acquisition Proposal ceases to constitute a Superior Offer (to the extent Galera desires to negotiate) and (3) if after Galera shall have delivered to Obsidian an irrevocable written offer to alter the terms or conditions of this Agreement during the Obsidian Notice Period, the Obsidian Board shall have determined in good faith, based on the advice of its outside legal counsel, that the failure to withhold, amend, withdraw or modify the Obsidian Board Recommendation would reasonably be expected to be inconsistent with its fiduciary duties under applicable Law (after taking into account such alterations of the terms and conditions of this Agreement); provided that (x) Galera receives written notice from Obsidian confirming that the Obsidian Board has determined to change its recommendation at least four (4) Business Days in advance of the Obsidian Board Adverse Recommendation Change (the “</w:t>
      </w:r>
      <w:r>
        <w:rPr>
          <w:rFonts w:ascii="Times New Roman" w:cs="Times New Roman" w:eastAsia="Times New Roman" w:hAnsi="Times New Roman"/>
          <w:sz w:val="18"/>
          <w:szCs w:val="18"/>
          <w:b w:val="1"/>
          <w:bCs w:val="1"/>
          <w:color w:val="auto"/>
        </w:rPr>
        <w:t>Obsidian Notice Period</w:t>
      </w:r>
      <w:r>
        <w:rPr>
          <w:rFonts w:ascii="Times New Roman" w:cs="Times New Roman" w:eastAsia="Times New Roman" w:hAnsi="Times New Roman"/>
          <w:sz w:val="18"/>
          <w:szCs w:val="18"/>
          <w:color w:val="auto"/>
        </w:rPr>
        <w:t xml:space="preserve">”), which notice shall include a description in reasonable detail of the reasons for such Obsidian Board Adverse Recommendation Change, and written copies of any relevant proposed transaction agreements with any party making a potential Superior Offer, (y) during any Obsidian Notice Period, Galera shall be entitled to deliver to Obsidian one or more counterproposals to such Acquisition Proposal and Obsidian will, and cause its Representatives to, negotiate with Galera in good faith (to the extent Galera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Obsidian’s stockholders would receive as a result of such potential Superior Offer), Obsidian shall be required to provide Galera with notice of such material amendment and the Obsidian Notice Period shall be extended, if applicable, to ensure that at least two (2) Business Days remain in the Obsidian Notice Period following such notification during which the Parties shall comply again with the requirements of this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and the Obsidian Board</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A-80</w:t>
      </w:r>
    </w:p>
    <w:p>
      <w:pPr>
        <w:sectPr>
          <w:pgSz w:w="11900" w:h="16838" w:orient="portrait"/>
          <w:cols w:equalWidth="0" w:num="1">
            <w:col w:w="11120"/>
          </w:cols>
          <w:pgMar w:left="320" w:top="454" w:right="45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shall not make an Obsidian Board Adverse Recommendation Change prior to the end of such Obsidian Notice Period as so extended (it being understood that there may be multiple extensions) or (ii) in the case of an Obsidian Intervening Event, Obsidian promptly notifies Galera, in writing, within the Obsidian Notice Period before making an Obsidian Board Adverse Recommendation Change, which notice shall state expressly the material facts and circumstances related to the applicable Company Intervening Event and that the Obsidian Board intends to make an Obsidian Board Adverse Recommendation Change.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Galera Stockholder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3" w:lineRule="auto"/>
        <w:tabs>
          <w:tab w:leader="none" w:pos="80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Registration Statement has been declared effective under the Securities Act, and in any event no later than two (2) Business Days thereafter, Galera shall use its reasonable best efforts to obtain from the Specified Stockholders the duly executed Galera Stockholder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the event that the Annual Meeting Galera Stockholder Vote has not resulted in the affirmative approval by the Galera stockholders of the ability to act by written consent, then Galera shall use its reasonable best efforts to promptly call a special meeting of its stockholders to seek approval of this Agreement and the Contemplated Transactions in accordance with Section 7.14. Promptly following receipt of the duly executed Galera Stockholder Written Consent, Galera shall deliver a copy of the duly executed Galera Stockholder Written Consent to Obsidian. Assuming approval is received in the Annual Meeting Galera Stockholder Vote, under no circumstances shall Galera assert that any other approval or consent is necessary by its stockholders to approve this Agreement and the Contemplated Transactions. In connection with the Galera Stockholder Written Consent, Galera shall take all actions necessary or advisable to comply in all material respects, and shall comply in all material respects, with Delaware Law, including Section 228 and Section 262 thereof, and the Organizational Documents of Galera.</w:t>
      </w:r>
    </w:p>
    <w:p>
      <w:pPr>
        <w:spacing w:after="0" w:line="194" w:lineRule="exact"/>
        <w:rPr>
          <w:rFonts w:ascii="Times New Roman" w:cs="Times New Roman" w:eastAsia="Times New Roman" w:hAnsi="Times New Roman"/>
          <w:sz w:val="18"/>
          <w:szCs w:val="18"/>
          <w:color w:val="auto"/>
        </w:rPr>
      </w:pPr>
    </w:p>
    <w:p>
      <w:pPr>
        <w:ind w:left="120" w:right="280" w:firstLine="436"/>
        <w:spacing w:after="0" w:line="261" w:lineRule="auto"/>
        <w:tabs>
          <w:tab w:leader="none" w:pos="81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Galera agrees that, subject in all respects to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(i) the Galera Board shall recommend that the holders of Galera Common Stock approve the Galera Stockholder Matters and shall use commercially reasonable efforts to solicit such approval within the timeframe set forth</w:t>
      </w:r>
    </w:p>
    <w:p>
      <w:pPr>
        <w:ind w:left="120" w:right="1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above, (ii) in the event that the Annual Meeting Galera Stockholder Vote is not obtained, then the proxy statement filed in accordance with Section </w:t>
      </w:r>
      <w:r>
        <w:rPr>
          <w:rFonts w:ascii="Times New Roman" w:cs="Times New Roman" w:eastAsia="Times New Roman" w:hAnsi="Times New Roman"/>
          <w:sz w:val="18"/>
          <w:szCs w:val="18"/>
          <w:u w:val="single" w:color="auto"/>
          <w:color w:val="auto"/>
        </w:rPr>
        <w:t>7.14(b</w:t>
      </w:r>
      <w:r>
        <w:rPr>
          <w:rFonts w:ascii="Times New Roman" w:cs="Times New Roman" w:eastAsia="Times New Roman" w:hAnsi="Times New Roman"/>
          <w:sz w:val="18"/>
          <w:szCs w:val="18"/>
          <w:color w:val="auto"/>
        </w:rPr>
        <w:t>) shall include a statement to the effect that the Galera Board recommends that Galera’s stockholders vote to approve the Galera Stockholder Matters (the recommendation of the Galera Board being referred to as the “</w:t>
      </w:r>
      <w:r>
        <w:rPr>
          <w:rFonts w:ascii="Times New Roman" w:cs="Times New Roman" w:eastAsia="Times New Roman" w:hAnsi="Times New Roman"/>
          <w:sz w:val="18"/>
          <w:szCs w:val="18"/>
          <w:b w:val="1"/>
          <w:bCs w:val="1"/>
          <w:color w:val="auto"/>
        </w:rPr>
        <w:t>Galera Board Recommendation</w:t>
      </w:r>
      <w:r>
        <w:rPr>
          <w:rFonts w:ascii="Times New Roman" w:cs="Times New Roman" w:eastAsia="Times New Roman" w:hAnsi="Times New Roman"/>
          <w:sz w:val="18"/>
          <w:szCs w:val="18"/>
          <w:color w:val="auto"/>
        </w:rPr>
        <w:t>”) and (iii) the Galera Board Recommendation shall not be withheld, amended, withdrawn or modified (and the Galera Board shall not publicly propose to withhold, amend, withdraw or modify the Galera Board Recommendation) in a manner adverse to Obsidian, and no resolution by the Galera Board or any committee thereof to withdraw or modify the Galera Board Recommendation in a manner adverse to Obsidian or to adopt, approve or recommend (or publicly propose to adopt, approve or recommend) any Acquisition Proposal shall be adopted or proposed (the actions set forth in the foregoing clause (iii), collectively, a “</w:t>
      </w:r>
      <w:r>
        <w:rPr>
          <w:rFonts w:ascii="Times New Roman" w:cs="Times New Roman" w:eastAsia="Times New Roman" w:hAnsi="Times New Roman"/>
          <w:sz w:val="18"/>
          <w:szCs w:val="18"/>
          <w:b w:val="1"/>
          <w:bCs w:val="1"/>
          <w:color w:val="auto"/>
        </w:rPr>
        <w:t>Galera Board Adverse Recommendation Change</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120" w:firstLine="436"/>
        <w:spacing w:after="0" w:line="253" w:lineRule="auto"/>
        <w:tabs>
          <w:tab w:leader="none" w:pos="80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and subject to compliance with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at any time prior to the approval of the Galera Stockholder Matters by the Required Galera Stockholder Approval, (i) if Galera receives a bona fide, unsolicited, written Superior Offer or (ii) as a result of a material development or change in circumstances (other than any such event, development or change to the extent related to (A) any Acquisition Proposal, Acquisition Inquiry, Acquisition Transaction or the consequences thereof or (B) the fact, in and of itself, that Galera meets or exceeds internal budgets, plans or forecasts of its revenues, earnings or other financial performance or results of operations) that affects the business, assets or operations of Galera that occurs or arises after the date of this Agreement (a “</w:t>
      </w:r>
      <w:r>
        <w:rPr>
          <w:rFonts w:ascii="Times New Roman" w:cs="Times New Roman" w:eastAsia="Times New Roman" w:hAnsi="Times New Roman"/>
          <w:sz w:val="18"/>
          <w:szCs w:val="18"/>
          <w:b w:val="1"/>
          <w:bCs w:val="1"/>
          <w:color w:val="auto"/>
        </w:rPr>
        <w:t>Galera Intervening Event</w:t>
      </w:r>
      <w:r>
        <w:rPr>
          <w:rFonts w:ascii="Times New Roman" w:cs="Times New Roman" w:eastAsia="Times New Roman" w:hAnsi="Times New Roman"/>
          <w:sz w:val="18"/>
          <w:szCs w:val="18"/>
          <w:color w:val="auto"/>
        </w:rPr>
        <w:t>”), the Galera Board may make a Galera Board Adverse Recommendation Change if, but only if (i) in the case of a Superior Offer, following the receipt of and on account of such Superior Offer, (1) the Galera Board determines in good faith, after consulting with outside legal counsel and reasonably considering all relevant factors, that the failure to withhold, amend, withdraw or modify such recommendation would reasonably be expected to be inconsistent with its fiduciary duties under applicable Law, (2) Galera has, and has caused its financial advisors and outside legal counsel to, during the Galera Notice Period, negotiate with Obsidian in good faith to make such adjustments to the terms and conditions of this Agreement so that such Acquisition Proposal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A-81</w:t>
      </w:r>
    </w:p>
    <w:p>
      <w:pPr>
        <w:sectPr>
          <w:pgSz w:w="11900" w:h="16838" w:orient="portrait"/>
          <w:cols w:equalWidth="0" w:num="1">
            <w:col w:w="11120"/>
          </w:cols>
          <w:pgMar w:left="320" w:top="454" w:right="459" w:bottom="1440" w:gutter="0" w:footer="0" w:header="0"/>
        </w:sectPr>
      </w:pPr>
    </w:p>
    <w:bookmarkStart w:id="545" w:name="page546"/>
    <w:bookmarkEnd w:id="5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ceases to constitute a Superior Offer (to the extent Obsidian desires to negotiate) and (3) if after Obsidian shall have delivered to Galera an irrevocable written offer to alter the terms or conditions of this Agreement during the Galera Notice Period, the Galera Board shall have determined in good faith, based on the advice of its outside legal counsel, that the failure to withhold, amend, withdraw or modify the Galera Board Recommendation would reasonably be expected to be inconsistent with its fiduciary duties under applicable Law (after taking into account such alterations of the terms and conditions of this Agreement); provided that (x) Obsidian receives written notice from Galera confirming that the Galera Board has determined to change its recommendation at least four (4) Business Days in advance of the Galera Board Adverse Recommendation Change (the “</w:t>
      </w:r>
      <w:r>
        <w:rPr>
          <w:rFonts w:ascii="Times New Roman" w:cs="Times New Roman" w:eastAsia="Times New Roman" w:hAnsi="Times New Roman"/>
          <w:sz w:val="18"/>
          <w:szCs w:val="18"/>
          <w:b w:val="1"/>
          <w:bCs w:val="1"/>
          <w:color w:val="auto"/>
        </w:rPr>
        <w:t>Galera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which notice shall include a description in reasonable detail of the reasons for such Galera Board Adverse Recommendation Change,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copies of any relevant proposed transaction agreements with any party making a potential Superior Offer, (y) during any Galera Notice Period, Obsidian shall be entitled to deliver to Galera one or more counterproposals to such Acquisition Proposal and Galera will, and cause its Representatives to, negotiate with Obsidian in good faith (to the extent Obsidian desires to negotiate) to make such adjustments in the terms and conditions of this Agreement so that the applicable Acquisition Proposal ceases to constitute a Superior Offer and (z) in the event of any material amendment to any Superior Offer (including any revision in the amount, form or mix of consideration or percentage of the combined company that Galera’s stockholders would receive as a result of such potential Superior Offer), Galera shall be required to provide Obsidian with notice of such material amendment and the Galera Notice Period shall be extended, if applicable, to ensure that at least two (2) Business Days remain in the Galera Notice Period following such notification during which the parties shall comply again with the requirements of this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 xml:space="preserve"> and the Galera Board shall not make a Galera Board Adverse Recommendation Change prior to the end of such Galera Notice Period as so extended (it being understood that there may be multiple extensions) or (ii) in the case of a Galera Intervening Event, Galera promptly notifies Obsidian, in writing, within the Galera Notice Period before making a Galera Board Adverse Recommendation Change, which notice shall state expressly the material facts and circumstances related to the applicable Galera Intervening Event and that the Galera Board intends to make a Galera Board Adverse Recommendation Change.</w:t>
      </w:r>
    </w:p>
    <w:p>
      <w:pPr>
        <w:spacing w:after="0" w:line="191" w:lineRule="exact"/>
        <w:rPr>
          <w:sz w:val="20"/>
          <w:szCs w:val="20"/>
          <w:color w:val="auto"/>
        </w:rPr>
      </w:pPr>
    </w:p>
    <w:p>
      <w:pPr>
        <w:ind w:left="120" w:right="100" w:firstLine="436"/>
        <w:spacing w:after="0" w:line="257" w:lineRule="auto"/>
        <w:tabs>
          <w:tab w:leader="none" w:pos="81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this Agreement is validly terminated pursuant to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xml:space="preserve"> or the Organizational Documents of Galera have not been amended to provide the Galera stockholders with a right to act by written consent due to an adverse outcome in the Annual Meeting Galera Stockholder Vote, Galera’s obligation to obtain from the Specified Stockholders the duly executed Galera Stockholder Written Consent in accordance</w:t>
      </w:r>
    </w:p>
    <w:p>
      <w:pPr>
        <w:spacing w:after="0" w:line="1" w:lineRule="exact"/>
        <w:rPr>
          <w:rFonts w:ascii="Times New Roman" w:cs="Times New Roman" w:eastAsia="Times New Roman" w:hAnsi="Times New Roman"/>
          <w:sz w:val="18"/>
          <w:szCs w:val="18"/>
          <w:color w:val="auto"/>
        </w:rPr>
      </w:pPr>
    </w:p>
    <w:p>
      <w:pPr>
        <w:ind w:left="12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shall not be limited to or otherwise affected by the commencement, disclosure, announcement or submission of any Superior Offer or Acquisition Proposal, or by any withdrawal or modification of the Galera Board Recommendation or any Galera Board Adverse Recommendation Change.</w:t>
      </w:r>
    </w:p>
    <w:p>
      <w:pPr>
        <w:spacing w:after="0" w:line="185" w:lineRule="exact"/>
        <w:rPr>
          <w:rFonts w:ascii="Times New Roman" w:cs="Times New Roman" w:eastAsia="Times New Roman" w:hAnsi="Times New Roman"/>
          <w:sz w:val="18"/>
          <w:szCs w:val="18"/>
          <w:color w:val="auto"/>
        </w:rPr>
      </w:pPr>
    </w:p>
    <w:p>
      <w:pPr>
        <w:ind w:left="120" w:right="140" w:firstLine="436"/>
        <w:spacing w:after="0" w:line="258" w:lineRule="auto"/>
        <w:tabs>
          <w:tab w:leader="none" w:pos="80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prohibit Galera or the Galera Board from complying with Rules 14d-9 and 14e-2(a) promulgated under the Exchange Act; provided however, that any disclosure made by Galera or the Galera Board pursuant to Rules 14d-9 and 14e-2(a) shall be limited to a statement that Galera is unable to take a position with respect to the bidder’s tender offer unless the Galera Board determines in good faith, after consultation with its outside legal counsel, that such statement would reasonably be expected to be inconsistent with its fiduciary duties under applicable Law.</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Efforts; Regulatory Approvals; Transaction Litigation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436"/>
        <w:spacing w:after="0" w:line="256" w:lineRule="auto"/>
        <w:tabs>
          <w:tab w:leader="none" w:pos="80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commercially reasonable efforts to consummate the Contemplated Transactions. Without limiting the generality of the foregoing, each Party: (i) shall make all filings and other submissions (if any) and give all notices (if any) required to be made and given by such party in connection with the Contemplated Transactions, (ii) shall use commercially reasonable efforts to obtain each Consent (if any) required to be obtained (pursuant to any applicable law or Contract, or otherwise) by such Party in connection with the Contemplated Transactions or for such Contract to remain in full force and effect, and (iii) shall use commercially reasonable efforts to satisfy the conditions precedent to the consummation of the Contemplated Transactions.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A-82</w:t>
      </w:r>
    </w:p>
    <w:p>
      <w:pPr>
        <w:sectPr>
          <w:pgSz w:w="11900" w:h="16838" w:orient="portrait"/>
          <w:cols w:equalWidth="0" w:num="1">
            <w:col w:w="11120"/>
          </w:cols>
          <w:pgMar w:left="320" w:top="454" w:right="459" w:bottom="1440" w:gutter="0" w:footer="0" w:header="0"/>
        </w:sectPr>
      </w:pPr>
    </w:p>
    <w:bookmarkStart w:id="546" w:name="page547"/>
    <w:bookmarkEnd w:id="5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20" w:hanging="264"/>
        <w:spacing w:after="0"/>
        <w:tabs>
          <w:tab w:leader="none" w:pos="820"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generality of the foregoing, each Party shall use commercially reasonable efforts to file or otherwise submit, within five</w:t>
      </w:r>
    </w:p>
    <w:p>
      <w:pPr>
        <w:spacing w:after="0" w:line="27" w:lineRule="exact"/>
        <w:rPr>
          <w:rFonts w:ascii="Times New Roman" w:cs="Times New Roman" w:eastAsia="Times New Roman" w:hAnsi="Times New Roman"/>
          <w:sz w:val="18"/>
          <w:szCs w:val="18"/>
          <w:color w:val="auto"/>
        </w:rPr>
      </w:pPr>
    </w:p>
    <w:p>
      <w:pPr>
        <w:ind w:left="120" w:right="60" w:hanging="4"/>
        <w:spacing w:after="0" w:line="255" w:lineRule="auto"/>
        <w:tabs>
          <w:tab w:leader="none" w:pos="37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date of this Agreement, all applications, notices, reports and other documents (if any) required to be filed by such Party with or otherwise submitted by such Party to any Governmental Authority with respect to the transactions contemplated hereby, and to submit promptly any additional information requested by any such Governmental Authority.</w:t>
      </w:r>
    </w:p>
    <w:p>
      <w:pPr>
        <w:spacing w:after="0" w:line="181" w:lineRule="exact"/>
        <w:rPr>
          <w:rFonts w:ascii="Times New Roman" w:cs="Times New Roman" w:eastAsia="Times New Roman" w:hAnsi="Times New Roman"/>
          <w:sz w:val="18"/>
          <w:szCs w:val="18"/>
          <w:color w:val="auto"/>
        </w:rPr>
      </w:pPr>
    </w:p>
    <w:p>
      <w:pPr>
        <w:ind w:left="120" w:firstLine="436"/>
        <w:spacing w:after="0" w:line="253" w:lineRule="auto"/>
        <w:tabs>
          <w:tab w:leader="none" w:pos="805"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Galera or Obsidian, as applicable (hereinafter, the “</w:t>
      </w:r>
      <w:r>
        <w:rPr>
          <w:rFonts w:ascii="Times New Roman" w:cs="Times New Roman" w:eastAsia="Times New Roman" w:hAnsi="Times New Roman"/>
          <w:sz w:val="18"/>
          <w:szCs w:val="18"/>
          <w:b w:val="1"/>
          <w:bCs w:val="1"/>
          <w:color w:val="auto"/>
        </w:rPr>
        <w:t>Transaction Litigation Party</w:t>
      </w:r>
      <w:r>
        <w:rPr>
          <w:rFonts w:ascii="Times New Roman" w:cs="Times New Roman" w:eastAsia="Times New Roman" w:hAnsi="Times New Roman"/>
          <w:sz w:val="18"/>
          <w:szCs w:val="18"/>
          <w:color w:val="auto"/>
        </w:rPr>
        <w:t>”), shall give the other Party prompt (but not later than within two (2) Business Days) written notice of any “demand letter,” investigation by a Governmental Authority, or any Legal Proceeding initiated, or threatened in writing against the Transaction Litigation Party and/or its directors or officers relating to this Agreement or the Contemplated Transactions (the “</w:t>
      </w:r>
      <w:r>
        <w:rPr>
          <w:rFonts w:ascii="Times New Roman" w:cs="Times New Roman" w:eastAsia="Times New Roman" w:hAnsi="Times New Roman"/>
          <w:sz w:val="18"/>
          <w:szCs w:val="18"/>
          <w:b w:val="1"/>
          <w:bCs w:val="1"/>
          <w:color w:val="auto"/>
        </w:rPr>
        <w:t>Transaction Litigation</w:t>
      </w:r>
      <w:r>
        <w:rPr>
          <w:rFonts w:ascii="Times New Roman" w:cs="Times New Roman" w:eastAsia="Times New Roman" w:hAnsi="Times New Roman"/>
          <w:sz w:val="18"/>
          <w:szCs w:val="18"/>
          <w:color w:val="auto"/>
        </w:rPr>
        <w:t xml:space="preserve">”) (including by providing copies of all pleadings or correspondence with respect thereto) and keep the other Party reasonably informed with respect to the status thereof. The Transaction Litigation Party shall, on behalf of the Parties hereto, control and lead all communications and strategy relating to any Transaction Litigation. The Transaction Litigation Party will (i) give the other Party the opportunity to participate in the defense, settlement or prosecution of any Transaction Litigation, (ii) consult with the other Party with respect to the defense, settlement and prosecution of any Transaction Litigation, (iii) consider in good faith the other Party’s advice with respect to such Transaction Litigation and (iv) not settle or consent or agree to settle or compromise any Transaction Litigation without the other Party’s prior written consent and no such settlement shall (A) impose any liability or obligation on Obsidian, Galera or Parent, (B) affect the consideration or timing of the Closing, or (C) include any admission of wrongdoing by Obsidian, Galera or Parent, in each case without the such Party’s prior written consent. Without otherwise limiting the rights of current or former directors and officers of the Transaction Litigation Party with regard to the right to counsel, following the Galera Effective Time, current or former directors and officers of the Transaction Litigation Party with rights to indemnification as described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shall be entitled to retain a single counsel, selected by such indemnified parties, to represent them in connection with the defense of any Transaction Litigation as it relates to such directors and officers.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Disclosures</w:t>
      </w:r>
      <w:r>
        <w:rPr>
          <w:rFonts w:ascii="Times New Roman" w:cs="Times New Roman" w:eastAsia="Times New Roman" w:hAnsi="Times New Roman"/>
          <w:sz w:val="18"/>
          <w:szCs w:val="18"/>
          <w:color w:val="auto"/>
        </w:rPr>
        <w:t xml:space="preserve">.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Obsidian and Galera may make any statement in response to questions by the press, analysts, investors or those attending industry conferences or financial analyst conference calls, so long as any such statements are consistent with previous press releases, public disclosures or public statements made by Obsidian and Galera in compliance with this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8"/>
          <w:szCs w:val="18"/>
          <w:u w:val="single" w:color="auto"/>
          <w:color w:val="auto"/>
        </w:rPr>
        <w:t>Section 7.3(d)</w:t>
      </w:r>
      <w:r>
        <w:rPr>
          <w:rFonts w:ascii="Times New Roman" w:cs="Times New Roman" w:eastAsia="Times New Roman" w:hAnsi="Times New Roman"/>
          <w:sz w:val="18"/>
          <w:szCs w:val="18"/>
          <w:color w:val="auto"/>
        </w:rPr>
        <w:t xml:space="preserve"> or with an Acquisition Proposal, or Galera Board Adverse Recommendation Change with respect to Galera only pursuant to </w:t>
      </w:r>
      <w:r>
        <w:rPr>
          <w:rFonts w:ascii="Times New Roman" w:cs="Times New Roman" w:eastAsia="Times New Roman" w:hAnsi="Times New Roman"/>
          <w:sz w:val="18"/>
          <w:szCs w:val="18"/>
          <w:u w:val="single" w:color="auto"/>
          <w:color w:val="auto"/>
        </w:rPr>
        <w:t>Section 7.3(e)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Indemnification of Officers and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436"/>
        <w:spacing w:after="0" w:line="256" w:lineRule="auto"/>
        <w:tabs>
          <w:tab w:leader="none" w:pos="80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Galera Effective Time through the sixth anniversary of the date on which the Galera Effective Time occurs, each of Parent, the Obsidian Merger Surviving Corporation, and the Galera Merger Surviving Corporation shall indemnify and hold harmless each person who is now, or has been at any time prior to the date hereof, or who becomes prior to the Galera Effective Time, a director or officer of Galera or Obsidian, respectively (the “</w:t>
      </w:r>
      <w:r>
        <w:rPr>
          <w:rFonts w:ascii="Times New Roman" w:cs="Times New Roman" w:eastAsia="Times New Roman" w:hAnsi="Times New Roman"/>
          <w:sz w:val="18"/>
          <w:szCs w:val="18"/>
          <w:b w:val="1"/>
          <w:bCs w:val="1"/>
          <w:color w:val="auto"/>
        </w:rPr>
        <w:t>D&amp;O Indemnified Parties</w:t>
      </w:r>
      <w:r>
        <w:rPr>
          <w:rFonts w:ascii="Times New Roman" w:cs="Times New Roman" w:eastAsia="Times New Roman" w:hAnsi="Times New Roman"/>
          <w:sz w:val="18"/>
          <w:szCs w:val="18"/>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8"/>
          <w:szCs w:val="18"/>
          <w:b w:val="1"/>
          <w:bCs w:val="1"/>
          <w:color w:val="auto"/>
        </w:rPr>
        <w:t>Costs</w:t>
      </w:r>
      <w:r>
        <w:rPr>
          <w:rFonts w:ascii="Times New Roman" w:cs="Times New Roman" w:eastAsia="Times New Roman" w:hAnsi="Times New Roman"/>
          <w:sz w:val="18"/>
          <w:szCs w:val="18"/>
          <w:color w:val="auto"/>
        </w:rPr>
        <w:t>”), incurred in connection with any claim, action, suit, proceeding or investigation, whether civil, criminal,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A-83</w:t>
      </w:r>
    </w:p>
    <w:p>
      <w:pPr>
        <w:sectPr>
          <w:pgSz w:w="11900" w:h="16838" w:orient="portrait"/>
          <w:cols w:equalWidth="0" w:num="1">
            <w:col w:w="11120"/>
          </w:cols>
          <w:pgMar w:left="320" w:top="454" w:right="459" w:bottom="1440" w:gutter="0" w:footer="0" w:header="0"/>
        </w:sectPr>
      </w:pPr>
    </w:p>
    <w:bookmarkStart w:id="547" w:name="page548"/>
    <w:bookmarkEnd w:id="5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42" w:lineRule="auto"/>
        <w:rPr>
          <w:sz w:val="20"/>
          <w:szCs w:val="20"/>
          <w:color w:val="auto"/>
        </w:rPr>
      </w:pPr>
      <w:r>
        <w:rPr>
          <w:rFonts w:ascii="Times New Roman" w:cs="Times New Roman" w:eastAsia="Times New Roman" w:hAnsi="Times New Roman"/>
          <w:sz w:val="18"/>
          <w:szCs w:val="18"/>
          <w:color w:val="auto"/>
        </w:rPr>
        <w:t>administrative or investigative, arising out of or pertaining to the fact that the D&amp;O Indemnified Party is or was a director or officer of Galera or of Obsidian, whether asserted or claimed prior to, at or after the Galera Effective Time, in each case, to the fullest extent permitted under Delaware Law. Each D&amp;O Indemnified Party will be entitled to advancement of expenses incurred in the defense of any such claim, action, suit, proceeding or investigation from each of Parent, the Obsidian Merger Surviving Corporation, and the Galera Merger Surviving Corporation from the D&amp;O Indemnified Party of a request therefor; provided that any such person to whom expenses are advanced provides an undertaking to each of Parent, the Obsidian Merger Surviving Corporation, and the Galera Merger Surviving Corporation, to the extent then required by Delaware Law, to repay such advances if it is ultimately determined that such person is not entitled to indemnification. No other form of undertaking shall be required. All rights to indemnification, exculpation and advancement of expenses or other protection in respect of any claim asserted or made, and for which a D&amp;O Indemnified Party delivers a written notice to Parent prior to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Galera Effective Time asserting a claim for such protections pursuant to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shall continue until the final disposition of such claim.</w:t>
      </w:r>
    </w:p>
    <w:p>
      <w:pPr>
        <w:spacing w:after="0" w:line="196" w:lineRule="exact"/>
        <w:rPr>
          <w:sz w:val="20"/>
          <w:szCs w:val="20"/>
          <w:color w:val="auto"/>
        </w:rPr>
      </w:pPr>
    </w:p>
    <w:p>
      <w:pPr>
        <w:ind w:left="120" w:right="120" w:firstLine="436"/>
        <w:spacing w:after="0" w:line="255" w:lineRule="auto"/>
        <w:tabs>
          <w:tab w:leader="none" w:pos="81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Galera Merger Surviving Corporation’s Organizational Documents with respect to indemnification, advancement of expenses and exculpation of present and former directors and officers of Galera that are presently set forth in Galera’s Organizational Documents shall not be amended, modified or repealed for a period of six years from the Galera Effective Time in a manner that would adversely affect the rights thereunder of individuals who, at or prior to the Galera Effective Time, were officers or directors of Galera, unless such modification is required by applicable Law. The Galera Merger Surviving Corporation’s Organizational Documents shall contain, and Galera shall cause the certificate of incorporation of the Galera Merger Surviving Corporation to so contain, provisions no less favorable with respect to indemnification, advancement of expenses and exculpation of present and former directors and officers as those presently set forth in Galera’s Organizational Documents.</w:t>
      </w:r>
    </w:p>
    <w:p>
      <w:pPr>
        <w:spacing w:after="0" w:line="188" w:lineRule="exact"/>
        <w:rPr>
          <w:rFonts w:ascii="Times New Roman" w:cs="Times New Roman" w:eastAsia="Times New Roman" w:hAnsi="Times New Roman"/>
          <w:sz w:val="18"/>
          <w:szCs w:val="18"/>
          <w:color w:val="auto"/>
        </w:rPr>
      </w:pPr>
    </w:p>
    <w:p>
      <w:pPr>
        <w:ind w:left="120" w:right="80" w:firstLine="436"/>
        <w:spacing w:after="0" w:line="255" w:lineRule="auto"/>
        <w:tabs>
          <w:tab w:leader="none" w:pos="80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Galera Effective Time, (i) the Obsidian Merger Surviving Corporation shall fulfill and honor in all respects the obligations of Obsidian to its D&amp;O Indemnified Parties as of immediately prior to the Closing pursuant to any indemnification provisions under Obsidian’s Organizational Documents and pursuant to any indemnification agreements between Obsidian and such D&amp;O Indemnified Parties, with respect to claims arising out of matters occurring at or prior to the Obsidian Effective Time and (ii) the Galera Merger Surviving Corporation shall fulfill and honor in all respects the obligations of Galera to its D&amp;O Indemnified Parties as of immediately prior to the Closing pursuant to any indemnification provisions under Galera’s Organizational Documents and pursuant to any indemnification agreements between Galera and such D&amp;O Indemnified Parties, with respect to claims arising out of matters occurring at or prior to the Galera Effective Time.</w:t>
      </w:r>
    </w:p>
    <w:p>
      <w:pPr>
        <w:spacing w:after="0" w:line="188" w:lineRule="exact"/>
        <w:rPr>
          <w:rFonts w:ascii="Times New Roman" w:cs="Times New Roman" w:eastAsia="Times New Roman" w:hAnsi="Times New Roman"/>
          <w:sz w:val="18"/>
          <w:szCs w:val="18"/>
          <w:color w:val="auto"/>
        </w:rPr>
      </w:pPr>
    </w:p>
    <w:p>
      <w:pPr>
        <w:ind w:left="120" w:firstLine="436"/>
        <w:spacing w:after="0" w:line="253" w:lineRule="auto"/>
        <w:tabs>
          <w:tab w:leader="none" w:pos="81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Galera Effective Time, Parent shall maintain directors’ and officers’ liability insurance policies, with an effective date as of the Closing Date, on commercially available terms and conditions and with coverage limits customary for U.S. public companies similarly situated to Galera. In addition, Galera shall purchase, prior to the Galera Effective Time, a six-year prepaid “</w:t>
      </w:r>
      <w:r>
        <w:rPr>
          <w:rFonts w:ascii="Times New Roman" w:cs="Times New Roman" w:eastAsia="Times New Roman" w:hAnsi="Times New Roman"/>
          <w:sz w:val="18"/>
          <w:szCs w:val="18"/>
          <w:b w:val="1"/>
          <w:bCs w:val="1"/>
          <w:color w:val="auto"/>
        </w:rPr>
        <w:t>D&amp;O tail policy</w:t>
      </w:r>
      <w:r>
        <w:rPr>
          <w:rFonts w:ascii="Times New Roman" w:cs="Times New Roman" w:eastAsia="Times New Roman" w:hAnsi="Times New Roman"/>
          <w:sz w:val="18"/>
          <w:szCs w:val="18"/>
          <w:color w:val="auto"/>
        </w:rPr>
        <w:t>” for the non-cancellable extension of directors’ and officers’ liability coverage of Galera’s existing directors’ and officers’ insurance policies for a claims reporting or discovery period of at least six years from and after the Galera Effective Time with respect to any claim related to any period of time at or prior to the Galera Effective Time with terms, conditions, retentions and limits of liability that are no less favorable than the coverage provided under Galera’s existing policies as of the date of this Agreement with respect to any actual or alleged error, misstatement, misleading statement, act, omission, neglect, breach of duty or any matter claimed against a director or officer of Galera by reason of him or her serving in such capacity that existed or occurred at or prior to the Galera Effective Time (including in connection with this Agreement or the Contemplated Transactions or in connection with Galera’s initial public offering of shares of Galera Common Stock).</w:t>
      </w:r>
    </w:p>
    <w:p>
      <w:pPr>
        <w:spacing w:after="0" w:line="194" w:lineRule="exact"/>
        <w:rPr>
          <w:rFonts w:ascii="Times New Roman" w:cs="Times New Roman" w:eastAsia="Times New Roman" w:hAnsi="Times New Roman"/>
          <w:sz w:val="18"/>
          <w:szCs w:val="18"/>
          <w:color w:val="auto"/>
        </w:rPr>
      </w:pPr>
    </w:p>
    <w:p>
      <w:pPr>
        <w:ind w:left="120" w:right="300" w:firstLine="436"/>
        <w:spacing w:after="0" w:line="312" w:lineRule="auto"/>
        <w:tabs>
          <w:tab w:leader="none" w:pos="805" w:val="left"/>
        </w:tabs>
        <w:numPr>
          <w:ilvl w:val="0"/>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and after the Galera Effective Time, Galera shall pay all expenses, including reasonable and documented attorneys’ fees, that are incurred by the persons referred to in this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 xml:space="preserve"> in connection with their enforcement of the rights provided to such persons in this </w:t>
      </w:r>
      <w:r>
        <w:rPr>
          <w:rFonts w:ascii="Times New Roman" w:cs="Times New Roman" w:eastAsia="Times New Roman" w:hAnsi="Times New Roman"/>
          <w:sz w:val="17"/>
          <w:szCs w:val="17"/>
          <w:u w:val="single" w:color="auto"/>
          <w:color w:val="auto"/>
        </w:rPr>
        <w:t>Section 7.6</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A-84</w:t>
      </w:r>
    </w:p>
    <w:p>
      <w:pPr>
        <w:sectPr>
          <w:pgSz w:w="11900" w:h="16838" w:orient="portrait"/>
          <w:cols w:equalWidth="0" w:num="1">
            <w:col w:w="11080"/>
          </w:cols>
          <w:pgMar w:left="320" w:top="454" w:right="499" w:bottom="1440" w:gutter="0" w:footer="0" w:header="0"/>
        </w:sectPr>
      </w:pPr>
    </w:p>
    <w:bookmarkStart w:id="548" w:name="page549"/>
    <w:bookmarkEnd w:id="5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66" w:lineRule="auto"/>
        <w:tabs>
          <w:tab w:leader="none" w:pos="78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are intended to be in addition to the rights otherwise available to the current and former officers and directors of Galera and Obsidian by Law, charter, statute, bylaw or agreement, and shall operate for the benefit of, and shall be enforceable by, each of the D&amp;O Indemnified Parties, their heirs and their Representatives.</w:t>
      </w:r>
    </w:p>
    <w:p>
      <w:pPr>
        <w:spacing w:after="0" w:line="175" w:lineRule="exact"/>
        <w:rPr>
          <w:rFonts w:ascii="Times New Roman" w:cs="Times New Roman" w:eastAsia="Times New Roman" w:hAnsi="Times New Roman"/>
          <w:sz w:val="18"/>
          <w:szCs w:val="18"/>
          <w:color w:val="auto"/>
        </w:rPr>
      </w:pPr>
    </w:p>
    <w:p>
      <w:pPr>
        <w:ind w:left="120" w:right="260" w:firstLine="436"/>
        <w:spacing w:after="0" w:line="256" w:lineRule="auto"/>
        <w:tabs>
          <w:tab w:leader="none" w:pos="81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Parent, the Galera Merger Surviving Corporation or the Obsidian Merger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Galera Merger Surviving Corporation, as the case may be, shall succeed to the obligations set forth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Parent shall cause the Galera Merger Surviving Corporation to perform all of the obligations of the Surviving Corporation under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61" w:lineRule="auto"/>
        <w:tabs>
          <w:tab w:leader="none" w:pos="80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transfer, documentary, sales, use, stamp, registration, excise, recording, registration value added and other such similar Taxes and fees (including any penalties and interest) that become payable in connection with or by reason of the execution of this Agreement and the transactions contemplated hereby (collectively, “</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shall be borne and paid by Galera. The Person required by applicable law shall timely file any Tax Return or other document with respect to such Transfer Taxes.</w:t>
      </w:r>
    </w:p>
    <w:p>
      <w:pPr>
        <w:spacing w:after="0" w:line="179" w:lineRule="exact"/>
        <w:rPr>
          <w:rFonts w:ascii="Times New Roman" w:cs="Times New Roman" w:eastAsia="Times New Roman" w:hAnsi="Times New Roman"/>
          <w:sz w:val="18"/>
          <w:szCs w:val="18"/>
          <w:color w:val="auto"/>
        </w:rPr>
      </w:pPr>
    </w:p>
    <w:p>
      <w:pPr>
        <w:jc w:val="both"/>
        <w:ind w:left="120" w:right="220" w:firstLine="436"/>
        <w:spacing w:after="0" w:line="277" w:lineRule="auto"/>
        <w:tabs>
          <w:tab w:leader="none" w:pos="815" w:val="left"/>
        </w:tabs>
        <w:numPr>
          <w:ilvl w:val="0"/>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Closing, Obsidian shall deliver to Galera a certificate pursuant to Treasury Regulations Sections 1.1445-2(c) and 1.897-2(h), together with a form of notice to the IRS in accordance with the requirements of Treasury Regulations Section 1.897-2(h), in each case, in form and substance reasonably acceptable to Galera;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Galera’s only remedy for Obsidian’s failure to provide such form or certificate will be to withhold from the payments to be made pursuant to this Agreement any required withholding Tax under Section 1445 of the Code, and Obsidian’s failure to provide any such form or certificate will not be deemed to be a failure of the conditions set forth in </w:t>
      </w:r>
      <w:r>
        <w:rPr>
          <w:rFonts w:ascii="Times New Roman" w:cs="Times New Roman" w:eastAsia="Times New Roman" w:hAnsi="Times New Roman"/>
          <w:sz w:val="17"/>
          <w:szCs w:val="17"/>
          <w:u w:val="single" w:color="auto"/>
          <w:color w:val="auto"/>
        </w:rPr>
        <w:t>Section 7.7</w:t>
      </w:r>
      <w:r>
        <w:rPr>
          <w:rFonts w:ascii="Times New Roman" w:cs="Times New Roman" w:eastAsia="Times New Roman" w:hAnsi="Times New Roman"/>
          <w:sz w:val="17"/>
          <w:szCs w:val="17"/>
          <w:color w:val="auto"/>
        </w:rPr>
        <w:t xml:space="preserve"> to have been met.</w:t>
      </w:r>
    </w:p>
    <w:p>
      <w:pPr>
        <w:spacing w:after="0" w:line="167" w:lineRule="exact"/>
        <w:rPr>
          <w:rFonts w:ascii="Times New Roman" w:cs="Times New Roman" w:eastAsia="Times New Roman" w:hAnsi="Times New Roman"/>
          <w:sz w:val="17"/>
          <w:szCs w:val="17"/>
          <w:color w:val="auto"/>
        </w:rPr>
      </w:pPr>
    </w:p>
    <w:p>
      <w:pPr>
        <w:ind w:left="120" w:firstLine="436"/>
        <w:spacing w:after="0" w:line="253" w:lineRule="auto"/>
        <w:tabs>
          <w:tab w:leader="none" w:pos="80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for United States federal income tax purposes, the Mergers will qualify for the Intended Tax Treatment and the Parties agree not to take any action (or fail to take any action) inconsistent with the Intended Tax Treatment. The Mergers shall be reported by the parties for all Tax purposes in accordance with the foregoing, unless otherwise required by a Governmental Authority as a result of a “determination” within the meaning of Section 1313(a) of the Code. The parties shall cooperate with each other and their respective counsel to document and support the Tax treatment of the Mergers as qualifying for the Intended Tax Treatment, including in the event the SEC requests or requires an opinion with respect to any discussion in a registration statement of the United States federal income Tax consequences of the Mergers to the stockholders of either Obsidian or Galera. If such an opinion is requested or required by the SEC, it shall be provided by the tax advisor of the party receiving the request and shall be provided solely with respect to the consequences for that party’s stockholders. Each party shall execute and deliver customary tax representation letters to the applicable tax advisor in form and substance reasonably satisfactory to such advisor upon which such advisor shall be entitled to rely in rendering such tax opinion.</w:t>
      </w:r>
    </w:p>
    <w:p>
      <w:pPr>
        <w:spacing w:after="0" w:line="19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From the date hereof until the Galera Effective Time and the Obsidian Effective Time, Galera shall maintain its existing listing on the OTCQB Market until the Galera Effective Time. After the execution of this Agreement and as promptly as reasonably practicable in accordance with applicable Law, the Parties shall prepare and Obsidian shall file with Nasdaq a listing application (the “</w:t>
      </w:r>
      <w:r>
        <w:rPr>
          <w:rFonts w:ascii="Times New Roman" w:cs="Times New Roman" w:eastAsia="Times New Roman" w:hAnsi="Times New Roman"/>
          <w:sz w:val="18"/>
          <w:szCs w:val="18"/>
          <w:b w:val="1"/>
          <w:bCs w:val="1"/>
          <w:color w:val="auto"/>
        </w:rPr>
        <w:t>Nasdaq Listing Application</w:t>
      </w:r>
      <w:r>
        <w:rPr>
          <w:rFonts w:ascii="Times New Roman" w:cs="Times New Roman" w:eastAsia="Times New Roman" w:hAnsi="Times New Roman"/>
          <w:sz w:val="18"/>
          <w:szCs w:val="18"/>
          <w:color w:val="auto"/>
        </w:rPr>
        <w:t>”) for the listing of shares of Parent Common Stock on Nasdaq and shall use commercially reasonable efforts to cause the listing of shares of Parent Common Stock is authorized for listing on Nasdaq prior to the Obsidian Effective Time, subject to official notice of issuance. Each Party and its Subsidiaries shall prepare and furnish all information (including any required financial statements) concerning itself as may reasonably be requested in connection with such actions and the preparation of the Nasdaq Listing Application, provided that no Party shall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A-85</w:t>
      </w:r>
    </w:p>
    <w:p>
      <w:pPr>
        <w:sectPr>
          <w:pgSz w:w="11900" w:h="16838" w:orient="portrait"/>
          <w:cols w:equalWidth="0" w:num="1">
            <w:col w:w="11120"/>
          </w:cols>
          <w:pgMar w:left="320" w:top="454" w:right="459" w:bottom="1440" w:gutter="0" w:footer="0" w:header="0"/>
        </w:sectPr>
      </w:pPr>
    </w:p>
    <w:bookmarkStart w:id="549" w:name="page550"/>
    <w:bookmarkEnd w:id="5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use any such information for any other purpose without the prior written consent of the providing Party (which consent shall not be unreasonably withheld, conditioned or delayed) or if doing so would violate or cause a violation of applicable Law or other applicable securities Laws. Each of Parent and Galera authorizes Obsidian to utilize in the Nasdaq Listing Application and in all such filed materials the information concerning Parent and its Subsidiaries and Galera and its Subsidiaries furnished by each of Parent and Galera, respectively. Each Party will reasonably promptly inform the other Party of all verbal or written communications between Nasdaq and such Party or its Representatives. The Parties not filing the Nasdaq Listing Application will cooperate with the Obsidian as reasonably requested by Obsidian with respect to the Nasdaq Listing Application and promptly furnish to such Party all information concerning itself, its members and its stockholders that may be required or reasonably requested in connection with any action contemplated by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Parent shall be entitled to place appropriate legends on the book entries and/or certificates evidencing any shares of Parent Common Stock to be received in the Mergers by equityholders of Galera who may be considered “affiliates” of Parent for purposes of Rules 144 and 145 under the Securities Act reflecting the restrictions set forth in Rules 144 and 145 and to issue appropriate stop transfer instructions to the transfer agent for Parent Common Stock.</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Officers and Directors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00" w:hanging="244"/>
        <w:spacing w:after="0"/>
        <w:tabs>
          <w:tab w:leader="none" w:pos="8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 of Parent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280" w:firstLine="419"/>
        <w:spacing w:after="0" w:line="282" w:lineRule="auto"/>
        <w:tabs>
          <w:tab w:leader="none" w:pos="1198"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cause, effective as of the Obsidian Effective Time, the Parent Board to consist of six individuals selected by the Obsidian Board as set forth on </w:t>
      </w:r>
      <w:r>
        <w:rPr>
          <w:rFonts w:ascii="Times New Roman" w:cs="Times New Roman" w:eastAsia="Times New Roman" w:hAnsi="Times New Roman"/>
          <w:sz w:val="18"/>
          <w:szCs w:val="18"/>
          <w:u w:val="single" w:color="auto"/>
          <w:color w:val="auto"/>
        </w:rPr>
        <w:t>Section 7.10(a)(i)</w:t>
      </w:r>
      <w:r>
        <w:rPr>
          <w:rFonts w:ascii="Times New Roman" w:cs="Times New Roman" w:eastAsia="Times New Roman" w:hAnsi="Times New Roman"/>
          <w:sz w:val="18"/>
          <w:szCs w:val="18"/>
          <w:color w:val="auto"/>
        </w:rPr>
        <w:t xml:space="preserve"> of the Obsidian Disclosure Schedule.</w:t>
      </w:r>
    </w:p>
    <w:p>
      <w:pPr>
        <w:spacing w:after="0" w:line="53" w:lineRule="exact"/>
        <w:rPr>
          <w:rFonts w:ascii="Times New Roman" w:cs="Times New Roman" w:eastAsia="Times New Roman" w:hAnsi="Times New Roman"/>
          <w:sz w:val="18"/>
          <w:szCs w:val="18"/>
          <w:color w:val="auto"/>
        </w:rPr>
      </w:pPr>
    </w:p>
    <w:p>
      <w:pPr>
        <w:jc w:val="both"/>
        <w:ind w:left="560" w:right="240" w:firstLine="419"/>
        <w:spacing w:after="0" w:line="312" w:lineRule="auto"/>
        <w:tabs>
          <w:tab w:leader="none" w:pos="1248" w:val="left"/>
        </w:tabs>
        <w:numPr>
          <w:ilvl w:val="1"/>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shall cause the directors and officers of Parent listed on </w:t>
      </w:r>
      <w:r>
        <w:rPr>
          <w:rFonts w:ascii="Times New Roman" w:cs="Times New Roman" w:eastAsia="Times New Roman" w:hAnsi="Times New Roman"/>
          <w:sz w:val="17"/>
          <w:szCs w:val="17"/>
          <w:u w:val="single" w:color="auto"/>
          <w:color w:val="auto"/>
        </w:rPr>
        <w:t>Section 7.10(a)(ii)</w:t>
      </w:r>
      <w:r>
        <w:rPr>
          <w:rFonts w:ascii="Times New Roman" w:cs="Times New Roman" w:eastAsia="Times New Roman" w:hAnsi="Times New Roman"/>
          <w:sz w:val="17"/>
          <w:szCs w:val="17"/>
          <w:color w:val="auto"/>
        </w:rPr>
        <w:t xml:space="preserve"> of the Obsidian Disclosure Schedule to sign written resignations in forms reasonably satisfactory to Obsidian, dated on or before the Closing Date and effective as of the Obsidian Effective Time.</w:t>
      </w:r>
    </w:p>
    <w:p>
      <w:pPr>
        <w:spacing w:after="0" w:line="31" w:lineRule="exact"/>
        <w:rPr>
          <w:rFonts w:ascii="Times New Roman" w:cs="Times New Roman" w:eastAsia="Times New Roman" w:hAnsi="Times New Roman"/>
          <w:sz w:val="17"/>
          <w:szCs w:val="17"/>
          <w:color w:val="auto"/>
        </w:rPr>
      </w:pPr>
    </w:p>
    <w:p>
      <w:pPr>
        <w:ind w:left="560" w:right="20" w:firstLine="419"/>
        <w:spacing w:after="0" w:line="266" w:lineRule="auto"/>
        <w:tabs>
          <w:tab w:leader="none" w:pos="1298"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the Obsidian Effective Time, Parent shall take all necessary action to appoint the officers of Obsidian to become the equivalent officers of Parent until the earlier of their resignation or removal or until their respective successors are duly elected or appointed and qualified, as the case may be.</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 of the Galera Merger Surviving Corporation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00" w:firstLine="419"/>
        <w:spacing w:after="0" w:line="276" w:lineRule="auto"/>
        <w:tabs>
          <w:tab w:leader="none" w:pos="1198" w:val="left"/>
        </w:tabs>
        <w:numPr>
          <w:ilvl w:val="1"/>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shall take all actions necessary (A) so that from and after the Galera Effective Time, the Galera Merger Surviving Corporation’s board of directors shall be constituted with those members as set forth on </w:t>
      </w:r>
      <w:r>
        <w:rPr>
          <w:rFonts w:ascii="Times New Roman" w:cs="Times New Roman" w:eastAsia="Times New Roman" w:hAnsi="Times New Roman"/>
          <w:sz w:val="17"/>
          <w:szCs w:val="17"/>
          <w:u w:val="single" w:color="auto"/>
          <w:color w:val="auto"/>
        </w:rPr>
        <w:t>Section 7.10(b)</w:t>
      </w:r>
      <w:r>
        <w:rPr>
          <w:rFonts w:ascii="Times New Roman" w:cs="Times New Roman" w:eastAsia="Times New Roman" w:hAnsi="Times New Roman"/>
          <w:sz w:val="17"/>
          <w:szCs w:val="17"/>
          <w:color w:val="auto"/>
        </w:rPr>
        <w:t xml:space="preserve"> of the Obsidian Disclosure Schedule and</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to secure the resignations of the existing members of the board of directors of the Galera Merger Surviving Corporation.</w:t>
      </w:r>
    </w:p>
    <w:p>
      <w:pPr>
        <w:spacing w:after="0" w:line="98" w:lineRule="exact"/>
        <w:rPr>
          <w:rFonts w:ascii="Times New Roman" w:cs="Times New Roman" w:eastAsia="Times New Roman" w:hAnsi="Times New Roman"/>
          <w:sz w:val="17"/>
          <w:szCs w:val="17"/>
          <w:color w:val="auto"/>
        </w:rPr>
      </w:pPr>
    </w:p>
    <w:p>
      <w:pPr>
        <w:ind w:left="560" w:right="20" w:firstLine="419"/>
        <w:spacing w:after="0" w:line="266" w:lineRule="auto"/>
        <w:tabs>
          <w:tab w:leader="none" w:pos="1248"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actions necessary so that the officers of Obsidian immediately prior to the Galera Effective Time shall, from and after the Galera Effective Time, be the officers of the Galera Merger Surviving Corporation, until the earlier of their resignation or removal or until their respective successors are duly elected or appointed and qualified, as the case may be.</w:t>
      </w:r>
    </w:p>
    <w:p>
      <w:pPr>
        <w:spacing w:after="0" w:line="17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 of the Obsidian Merger Surviving Corporation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00" w:firstLine="419"/>
        <w:spacing w:after="0" w:line="276" w:lineRule="auto"/>
        <w:tabs>
          <w:tab w:leader="none" w:pos="1198" w:val="left"/>
        </w:tabs>
        <w:numPr>
          <w:ilvl w:val="1"/>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shall take all actions necessary (A) so that from and after the Obsidian Effective Time, the Obsidian Merger Surviving Corporation’s board of directors shall be constituted with those members as set forth on </w:t>
      </w:r>
      <w:r>
        <w:rPr>
          <w:rFonts w:ascii="Times New Roman" w:cs="Times New Roman" w:eastAsia="Times New Roman" w:hAnsi="Times New Roman"/>
          <w:sz w:val="17"/>
          <w:szCs w:val="17"/>
          <w:u w:val="single" w:color="auto"/>
          <w:color w:val="auto"/>
        </w:rPr>
        <w:t>Section 7.10(c)</w:t>
      </w:r>
      <w:r>
        <w:rPr>
          <w:rFonts w:ascii="Times New Roman" w:cs="Times New Roman" w:eastAsia="Times New Roman" w:hAnsi="Times New Roman"/>
          <w:sz w:val="17"/>
          <w:szCs w:val="17"/>
          <w:color w:val="auto"/>
        </w:rPr>
        <w:t xml:space="preserve"> of the Obsidian Disclosure Schedule and</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to secure the resignations of the existing members of the board of directors of the Obsidian Merger Surviving Corporation.</w:t>
      </w:r>
    </w:p>
    <w:p>
      <w:pPr>
        <w:spacing w:after="0" w:line="98" w:lineRule="exact"/>
        <w:rPr>
          <w:rFonts w:ascii="Times New Roman" w:cs="Times New Roman" w:eastAsia="Times New Roman" w:hAnsi="Times New Roman"/>
          <w:sz w:val="17"/>
          <w:szCs w:val="17"/>
          <w:color w:val="auto"/>
        </w:rPr>
      </w:pPr>
    </w:p>
    <w:p>
      <w:pPr>
        <w:ind w:left="560" w:right="80" w:firstLine="419"/>
        <w:spacing w:after="0" w:line="266" w:lineRule="auto"/>
        <w:tabs>
          <w:tab w:leader="none" w:pos="1248"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take all actions necessary so that the officers of Obsidian immediately prior to the Obsidian Effective Time shall, from and after the Obsidian Effective Time, be the officers of the Obsidian Merger Surviving Corporation, until the earlier of their resignation or removal or until their respective successors are duly elected or appointed and qualified, as the case may be.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A-86</w:t>
      </w:r>
    </w:p>
    <w:p>
      <w:pPr>
        <w:sectPr>
          <w:pgSz w:w="11900" w:h="16838" w:orient="portrait"/>
          <w:cols w:equalWidth="0" w:num="1">
            <w:col w:w="11080"/>
          </w:cols>
          <w:pgMar w:left="320" w:top="454" w:right="499" w:bottom="1440" w:gutter="0" w:footer="0" w:header="0"/>
        </w:sectPr>
      </w:pPr>
    </w:p>
    <w:bookmarkStart w:id="550" w:name="page551"/>
    <w:bookmarkEnd w:id="5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Termination of Certain Agreements and Rights</w:t>
      </w:r>
      <w:r>
        <w:rPr>
          <w:rFonts w:ascii="Times New Roman" w:cs="Times New Roman" w:eastAsia="Times New Roman" w:hAnsi="Times New Roman"/>
          <w:sz w:val="18"/>
          <w:szCs w:val="18"/>
          <w:color w:val="auto"/>
        </w:rPr>
        <w:t>. Obsidian shall cause any stockholder agreements, voting agreements, registration rights agreements, co-sale agreements and any other similar Contracts between Obsidian and any holders of Obsidian Capital Stock, including any such Contract granting any Person investor rights, rights of first refusal, registration rights or director registration rights to be terminated immediately prior to the Obsidian Effective Time, without any liability being imposed on the part of Obsidian or the Obsidian Merger Surviving Corporation.</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Galera Effective Time, Galera shall take all such steps as may be required to cause any acquisitions of Galera Common Stock and Galera Options in connection with the Contemplated Transactions, by each individual who is reasonably expected to become subject to the reporting requirements of Section 16(a) of the Exchange Act with respect to Galera, to be exempt under Rule 16b-3 promulgated under the Exchange Act.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7.13 </w:t>
      </w:r>
      <w:r>
        <w:rPr>
          <w:rFonts w:ascii="Times New Roman" w:cs="Times New Roman" w:eastAsia="Times New Roman" w:hAnsi="Times New Roman"/>
          <w:sz w:val="18"/>
          <w:szCs w:val="18"/>
          <w:u w:val="single" w:color="auto"/>
          <w:color w:val="auto"/>
        </w:rPr>
        <w:t>Allocation Certificate</w:t>
      </w:r>
      <w:r>
        <w:rPr>
          <w:rFonts w:ascii="Times New Roman" w:cs="Times New Roman" w:eastAsia="Times New Roman" w:hAnsi="Times New Roman"/>
          <w:sz w:val="18"/>
          <w:szCs w:val="18"/>
          <w:color w:val="auto"/>
        </w:rPr>
        <w:t>. Obsidian will prepare and deliver to Parent and Galera at least two (2) Business Days prior to the Closing Date a certificate signed by an executive officer of Obsidian in a form reasonably acceptable to Galera setting forth (as of immediately prior to the Obsidian Effective Time) (a) each holder of Obsidian Capital Stock, (b) such holder’s name and address, (c) the number and type of Obsidian Capital Stock held as of the Closing Date for each such holder and (d) the number of shares of Parent Common Stock to be issued to such holder pursuant to this Agreement in respect of the Obsidian Capital Stock held by such holder as of immediately prior to the Obsidian Effective Time (the “</w:t>
      </w:r>
      <w:r>
        <w:rPr>
          <w:rFonts w:ascii="Times New Roman" w:cs="Times New Roman" w:eastAsia="Times New Roman" w:hAnsi="Times New Roman"/>
          <w:sz w:val="18"/>
          <w:szCs w:val="18"/>
          <w:b w:val="1"/>
          <w:bCs w:val="1"/>
          <w:color w:val="auto"/>
        </w:rPr>
        <w:t>Allocation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For the avoidance of doubt, the Allocation Certificate shall be prepared in good faith, in accordance with the Organizational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Obsidian and contracts applicable to Obsidian Capital Stock, Obsidian Options and the Banc of California, Inc. Warrant, and shall show each holder’s percentage ownership interest in Obsidian on a fully diluted basis.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7.14 </w:t>
      </w:r>
      <w:r>
        <w:rPr>
          <w:rFonts w:ascii="Times New Roman" w:cs="Times New Roman" w:eastAsia="Times New Roman" w:hAnsi="Times New Roman"/>
          <w:sz w:val="18"/>
          <w:szCs w:val="18"/>
          <w:u w:val="single" w:color="auto"/>
          <w:color w:val="auto"/>
        </w:rPr>
        <w:t>Galera Organizational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40" w:firstLine="436"/>
        <w:spacing w:after="0" w:line="266" w:lineRule="auto"/>
        <w:tabs>
          <w:tab w:leader="none" w:pos="80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will use its reasonable best efforts to solicit and obtain the Annual Meeting Galera Stockholder Vote and to seek approval from its stockholders to amend its Organizational Documents and to effect amendments to its Organizational in order to permit stockholder action by written consent prior to the Galera Effective Time.</w:t>
      </w:r>
    </w:p>
    <w:p>
      <w:pPr>
        <w:spacing w:after="0" w:line="175" w:lineRule="exact"/>
        <w:rPr>
          <w:rFonts w:ascii="Times New Roman" w:cs="Times New Roman" w:eastAsia="Times New Roman" w:hAnsi="Times New Roman"/>
          <w:sz w:val="18"/>
          <w:szCs w:val="18"/>
          <w:color w:val="auto"/>
        </w:rPr>
      </w:pPr>
    </w:p>
    <w:p>
      <w:pPr>
        <w:ind w:left="120" w:right="20" w:firstLine="436"/>
        <w:spacing w:after="0" w:line="252" w:lineRule="auto"/>
        <w:tabs>
          <w:tab w:leader="none" w:pos="81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Galera does not obtain the Annual Meeting Galera Stockholder Vote, Galera shall use its reasonable best efforts to call, give notice of and hold a meeting of the holders of Galera Common Stock (the “</w:t>
      </w:r>
      <w:r>
        <w:rPr>
          <w:rFonts w:ascii="Times New Roman" w:cs="Times New Roman" w:eastAsia="Times New Roman" w:hAnsi="Times New Roman"/>
          <w:sz w:val="18"/>
          <w:szCs w:val="18"/>
          <w:b w:val="1"/>
          <w:bCs w:val="1"/>
          <w:color w:val="auto"/>
        </w:rPr>
        <w:t>Galera Stockholder Meeting</w:t>
      </w:r>
      <w:r>
        <w:rPr>
          <w:rFonts w:ascii="Times New Roman" w:cs="Times New Roman" w:eastAsia="Times New Roman" w:hAnsi="Times New Roman"/>
          <w:sz w:val="18"/>
          <w:szCs w:val="18"/>
          <w:color w:val="auto"/>
        </w:rPr>
        <w:t>”) to present one or more proposals to the stockholders in order to obtain the Required Galera Stockholder Approval and shall file the preliminary proxy statement in connection with the Galera Stockholder Meeting as promptly as reasonably practicable under applicable securities Law, but in any event within seven (7) Business Days of not obtaining the Annual Meeting Galera Stockholder Vote. The Galera Stockholder Meeting shall be held as promptly as practicable under applicable securities Law after the Galera Information Statement is first mailed to the stockholders of Galera and in any event no later than forty-five (45) calendar days after the date on which the Galera Information Statement is first mailed to the stockholders of Galera. Galera shall take reasonable measures to ensure that all proxies solicited in connection with the Galera Stockholder Meeting are solicited in compliance with all applicable Law. Notwithstanding anything to the contrary contained herein, if on the date of the Galera Stockholder Meeting, or a date preceding the date on which the Galera Stockholder Meeting is scheduled, Galera reasonably believes that (i) it will not receive proxies sufficient to obtain the Required Galera Stockholder Approval, whether or not a quorum would be present or (ii) it will not have sufficient shares of Galera Common Stock represented (whether in person or by proxy) to constitute a quorum necessary to conduct the business of the Galera Stockholder Meeting, Galera may postpone or adjourn, or make one or more successive postponements or adjournments of, the Galera Stockholder Meeting as long as the date of the Galera Stockholder Meeting is not postponed or adjourned more than an aggregate of thirty (30) days in connection with any postponements or adjournments.</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A-87</w:t>
      </w:r>
    </w:p>
    <w:p>
      <w:pPr>
        <w:sectPr>
          <w:pgSz w:w="11900" w:h="16838" w:orient="portrait"/>
          <w:cols w:equalWidth="0" w:num="1">
            <w:col w:w="11120"/>
          </w:cols>
          <w:pgMar w:left="320" w:top="454" w:right="459" w:bottom="1440" w:gutter="0" w:footer="0" w:header="0"/>
        </w:sectPr>
      </w:pPr>
    </w:p>
    <w:bookmarkStart w:id="551" w:name="page552"/>
    <w:bookmarkEnd w:id="5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36"/>
        <w:spacing w:after="0" w:line="266" w:lineRule="auto"/>
        <w:tabs>
          <w:tab w:leader="none" w:pos="80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Galera agrees that the Galera Board shall recommend that the holders of Galera Common Stock vote to approve the Galera Stockholder Matters and shall solicit such approval within the timeframe set forth in </w:t>
      </w:r>
      <w:r>
        <w:rPr>
          <w:rFonts w:ascii="Times New Roman" w:cs="Times New Roman" w:eastAsia="Times New Roman" w:hAnsi="Times New Roman"/>
          <w:sz w:val="18"/>
          <w:szCs w:val="18"/>
          <w:u w:val="single" w:color="auto"/>
          <w:color w:val="auto"/>
        </w:rPr>
        <w:t>Section 7.14(b)</w:t>
      </w:r>
      <w:r>
        <w:rPr>
          <w:rFonts w:ascii="Times New Roman" w:cs="Times New Roman" w:eastAsia="Times New Roman" w:hAnsi="Times New Roman"/>
          <w:sz w:val="18"/>
          <w:szCs w:val="18"/>
          <w:color w:val="auto"/>
        </w:rPr>
        <w:t xml:space="preserve"> above and the proxy statement shall include the Galera Board Recommendation.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Obligations of Merger Subs</w:t>
      </w:r>
      <w:r>
        <w:rPr>
          <w:rFonts w:ascii="Times New Roman" w:cs="Times New Roman" w:eastAsia="Times New Roman" w:hAnsi="Times New Roman"/>
          <w:sz w:val="18"/>
          <w:szCs w:val="18"/>
          <w:color w:val="auto"/>
        </w:rPr>
        <w:t>. Parent will take all action necessary to cause each of Galera Merger Sub and Obsidian Merger Sub to perform its obligations under this Agreement and to consummate the Mergers on the terms and conditions set forth in this Agreement.</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7.16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is or may become applicable to the Contemplated Transactions, each of Obsidian, the Obsidian Board, Galera and the Galera Board, as applicable, shall grant such approvals and take such actions as are necessary, to the extent permitted by Law,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7.17 </w:t>
      </w:r>
      <w:r>
        <w:rPr>
          <w:rFonts w:ascii="Times New Roman" w:cs="Times New Roman" w:eastAsia="Times New Roman" w:hAnsi="Times New Roman"/>
          <w:sz w:val="18"/>
          <w:szCs w:val="18"/>
          <w:u w:val="single" w:color="auto"/>
          <w:color w:val="auto"/>
        </w:rPr>
        <w:t>Parent Equity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436"/>
        <w:spacing w:after="0" w:line="256" w:lineRule="auto"/>
        <w:tabs>
          <w:tab w:leader="none" w:pos="80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Galera Effective Time, Parent will use commercially reasonable efforts to cause the Parent Board to adopt the 2026 Equity Incentive Plan, subject to the Closing and effective as of the Galera Effective Time, and will include provisions in the Registration Statement for the stockholders of Parent to approve the 2026 Equity Incentive Plan. Subject to the approval of the 2026 Equity Incentive Plan by the stockholders of Parent prior to the Galera Effective Time, Parent shall file with the SEC, promptly after the Galera Effective Time and at Galera’s expense, a registration statement on Form S-8 (or any successor form), if available for use by Parent, relating to the shares of Parent Common Stock issuable with respect to the 2026 Equity Incentive Plan.</w:t>
      </w:r>
    </w:p>
    <w:p>
      <w:pPr>
        <w:spacing w:after="0" w:line="187" w:lineRule="exact"/>
        <w:rPr>
          <w:rFonts w:ascii="Times New Roman" w:cs="Times New Roman" w:eastAsia="Times New Roman" w:hAnsi="Times New Roman"/>
          <w:sz w:val="18"/>
          <w:szCs w:val="18"/>
          <w:color w:val="auto"/>
        </w:rPr>
      </w:pPr>
    </w:p>
    <w:p>
      <w:pPr>
        <w:jc w:val="both"/>
        <w:ind w:left="120" w:firstLine="436"/>
        <w:spacing w:after="0" w:line="258" w:lineRule="auto"/>
        <w:tabs>
          <w:tab w:leader="none" w:pos="81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Galera Effective Time, Parent will use commercially reasonable efforts to cause the Parent Board to adopt the 2026 ESPP, subject to the Closing and effective as of the Galera Effective Time, and will include provisions in the Registration Statement for the stockholders of Parent to approve the 2026 ESPP. Subject to the approval of the 2026 ESPP by the stockholders of Parent prior to the Galera Effective Time, Parent shall file with the SEC, promptly after the Galera Effective Time and at Galera’s expense, a registration statement on Form S-8 (or any successor form), if available for use by Parent, relating to the shares of Parent Common Stock issuable with respect to the 2026 ESPP.</w:t>
      </w:r>
    </w:p>
    <w:p>
      <w:pPr>
        <w:spacing w:after="0" w:line="183"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approval of the 2026 Plans by the stockholders of Parent shall not be a condition to Closing.</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7.18 </w:t>
      </w:r>
      <w:r>
        <w:rPr>
          <w:rFonts w:ascii="Times New Roman" w:cs="Times New Roman" w:eastAsia="Times New Roman" w:hAnsi="Times New Roman"/>
          <w:sz w:val="18"/>
          <w:szCs w:val="18"/>
          <w:u w:val="single" w:color="auto"/>
          <w:color w:val="auto"/>
        </w:rPr>
        <w:t>Galera 401(k) Plan</w:t>
      </w:r>
      <w:r>
        <w:rPr>
          <w:rFonts w:ascii="Times New Roman" w:cs="Times New Roman" w:eastAsia="Times New Roman" w:hAnsi="Times New Roman"/>
          <w:sz w:val="18"/>
          <w:szCs w:val="18"/>
          <w:color w:val="auto"/>
        </w:rPr>
        <w:t>. Unless otherwise requested by Obsidian in writing at least ten (10) business days prior to the Closing Date, the Galera Board shall take (or cause to be taken) all actions to adopt such resolutions as may be necessary or appropriate to terminate, effective no later than the day prior to the Closing Date, any Galera Employee Plan that contains a cash or deferred arrangement intended to qualify under Section 401(k) of the Code (a “</w:t>
      </w:r>
      <w:r>
        <w:rPr>
          <w:rFonts w:ascii="Times New Roman" w:cs="Times New Roman" w:eastAsia="Times New Roman" w:hAnsi="Times New Roman"/>
          <w:sz w:val="18"/>
          <w:szCs w:val="18"/>
          <w:b w:val="1"/>
          <w:bCs w:val="1"/>
          <w:color w:val="auto"/>
        </w:rPr>
        <w:t>Galera 401(k) Plan</w:t>
      </w:r>
      <w:r>
        <w:rPr>
          <w:rFonts w:ascii="Times New Roman" w:cs="Times New Roman" w:eastAsia="Times New Roman" w:hAnsi="Times New Roman"/>
          <w:sz w:val="18"/>
          <w:szCs w:val="18"/>
          <w:color w:val="auto"/>
        </w:rPr>
        <w:t>”). If Galera is required to terminate any Galera 401(k) Plan, then Galera shall provide to Obsidian prior to the Closing Date written evidence of the adoption by the Galera Board of resolutions authorizing the termination of such Galera 401(k) Plan (the form and substance of which shall be subject to the reasonable prior review and approval of Obsidian).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CONDITIONS TO CONSUMMATION OF THE MERGER</w:t>
      </w:r>
    </w:p>
    <w:p>
      <w:pPr>
        <w:spacing w:after="0" w:line="207"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Conditions Precedent to Obligations of Each Party</w:t>
      </w:r>
      <w:r>
        <w:rPr>
          <w:rFonts w:ascii="Times New Roman" w:cs="Times New Roman" w:eastAsia="Times New Roman" w:hAnsi="Times New Roman"/>
          <w:sz w:val="18"/>
          <w:szCs w:val="18"/>
          <w:color w:val="auto"/>
        </w:rPr>
        <w:t>. The obligations of each Party to effect the Mergers and otherwise consummate the Contemplated Transactions are subject to the satisfaction or, to the extent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A-88</w:t>
      </w:r>
    </w:p>
    <w:p>
      <w:pPr>
        <w:sectPr>
          <w:pgSz w:w="11900" w:h="16838" w:orient="portrait"/>
          <w:cols w:equalWidth="0" w:num="1">
            <w:col w:w="11120"/>
          </w:cols>
          <w:pgMar w:left="320" w:top="454" w:right="459" w:bottom="1440" w:gutter="0" w:footer="0" w:header="0"/>
        </w:sectPr>
      </w:pPr>
    </w:p>
    <w:bookmarkStart w:id="552" w:name="page553"/>
    <w:bookmarkEnd w:id="5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permitted by applicable Law, the written waiver by each of the Parties, at or prior to the Closing, of each of the following conditions:</w:t>
      </w:r>
    </w:p>
    <w:p>
      <w:pPr>
        <w:spacing w:after="0" w:line="117" w:lineRule="exact"/>
        <w:rPr>
          <w:sz w:val="20"/>
          <w:szCs w:val="20"/>
          <w:color w:val="auto"/>
        </w:rPr>
      </w:pPr>
    </w:p>
    <w:p>
      <w:pPr>
        <w:ind w:left="120" w:right="320" w:firstLine="436"/>
        <w:spacing w:after="0" w:line="266" w:lineRule="auto"/>
        <w:tabs>
          <w:tab w:leader="none" w:pos="80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temporary restraining order, preliminary or permanent injunction or other Order preventing the consummation of the Contemplated Transactions shall have been issued by any court of competent jurisdiction or other Governmental Authority of competent jurisdiction and remain in effect and there shall not be any Law which has the effect of making the consummation of the Contemplated Transactions illegal.</w:t>
      </w:r>
    </w:p>
    <w:p>
      <w:pPr>
        <w:spacing w:after="0" w:line="175" w:lineRule="exact"/>
        <w:rPr>
          <w:rFonts w:ascii="Times New Roman" w:cs="Times New Roman" w:eastAsia="Times New Roman" w:hAnsi="Times New Roman"/>
          <w:sz w:val="18"/>
          <w:szCs w:val="18"/>
          <w:color w:val="auto"/>
        </w:rPr>
      </w:pPr>
    </w:p>
    <w:p>
      <w:pPr>
        <w:ind w:left="120" w:right="200" w:firstLine="436"/>
        <w:spacing w:after="0" w:line="282" w:lineRule="auto"/>
        <w:tabs>
          <w:tab w:leader="none" w:pos="81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shall have obtained the Required Galera Stockholder Approval, and Obsidian shall have obtained the Required Obsidian Stockholder Approval.</w:t>
      </w:r>
    </w:p>
    <w:p>
      <w:pPr>
        <w:spacing w:after="0" w:line="161"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0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listing of shares of Parent Common Stock on Nasdaq shall have been obtained and the shares of Parent Common Stock to be issued in the Mergers pursuant to this Agreement shall have been approved for listing (subject to official notice of issuance) on Nasdaq.</w:t>
      </w:r>
    </w:p>
    <w:p>
      <w:pPr>
        <w:spacing w:after="0" w:line="161" w:lineRule="exact"/>
        <w:rPr>
          <w:rFonts w:ascii="Times New Roman" w:cs="Times New Roman" w:eastAsia="Times New Roman" w:hAnsi="Times New Roman"/>
          <w:sz w:val="18"/>
          <w:szCs w:val="18"/>
          <w:color w:val="auto"/>
        </w:rPr>
      </w:pPr>
    </w:p>
    <w:p>
      <w:pPr>
        <w:ind w:left="120" w:right="100" w:firstLine="436"/>
        <w:spacing w:after="0" w:line="261" w:lineRule="auto"/>
        <w:tabs>
          <w:tab w:leader="none" w:pos="81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Purchase Agreement shall be in full force and effect and not subject to any termination, rescission or material adverse modification, and all conditions to the funding thereunder shall have been satisfied or waived (other than those to be satisfied at Closing) and cash proceeds of not less than the Concurrent PIPE Financing shall have been received by Galera, or will be received by Galera substantially simultaneously with the Closing, in connection with the consummation of the transactions contemplated by the Securities Purchase Agreement.</w:t>
      </w:r>
    </w:p>
    <w:p>
      <w:pPr>
        <w:spacing w:after="0" w:line="179" w:lineRule="exact"/>
        <w:rPr>
          <w:rFonts w:ascii="Times New Roman" w:cs="Times New Roman" w:eastAsia="Times New Roman" w:hAnsi="Times New Roman"/>
          <w:sz w:val="18"/>
          <w:szCs w:val="18"/>
          <w:color w:val="auto"/>
        </w:rPr>
      </w:pPr>
    </w:p>
    <w:p>
      <w:pPr>
        <w:ind w:left="120" w:right="60" w:firstLine="436"/>
        <w:spacing w:after="0" w:line="282" w:lineRule="auto"/>
        <w:tabs>
          <w:tab w:leader="none" w:pos="80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have become effective in accordance with the provisions of the Securities Act, and shall not be subject to any stop order or proceeding seeking a stop order with respect to such Registration Statement that has not been withdrawn.</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Conditions Precedent to Obligations of Obsidian</w:t>
      </w:r>
      <w:r>
        <w:rPr>
          <w:rFonts w:ascii="Times New Roman" w:cs="Times New Roman" w:eastAsia="Times New Roman" w:hAnsi="Times New Roman"/>
          <w:sz w:val="18"/>
          <w:szCs w:val="18"/>
          <w:color w:val="auto"/>
        </w:rPr>
        <w:t>. The obligations of Obsidian to effect the Mergers and otherwise consummate the Contemplated Transactions are subject to the satisfaction or, to the extent permitted by applicable law, the written waiver by Obsidian, at or prior to the Closing, of each of the following conditions:</w:t>
      </w:r>
    </w:p>
    <w:p>
      <w:pPr>
        <w:spacing w:after="0" w:line="68" w:lineRule="exact"/>
        <w:rPr>
          <w:sz w:val="20"/>
          <w:szCs w:val="20"/>
          <w:color w:val="auto"/>
        </w:rPr>
      </w:pPr>
    </w:p>
    <w:p>
      <w:pPr>
        <w:ind w:left="120" w:firstLine="436"/>
        <w:spacing w:after="0" w:line="252" w:lineRule="auto"/>
        <w:tabs>
          <w:tab w:leader="none" w:pos="80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Galera Fundamental Representations shall have been true, complete and correct in all respects as of the date of this Agreement and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Galera Capitalization Representations shall have been true, complete and correct in all respects as of the date of this Agreement and shall be true, complete and correct on and as of immediately prior to the Galera Effective Time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or (z) representations and warranties contingent on stockholder approval (such as with respect to the Galera Authorized Common Stock Increase) shall not be deemed inaccurate to the extent such stockholder approval was not received. The representations and warranties of Galera contained in this Agreement (other than the Galera Fundamental Representations and the Galera Capitalization Representations) shall have been true and correct in all respects as of the date of this Agreement and shall be true and correct on and as of the Closing Date with the same force and effect as if made on the Closing Date except (i) in each case, or in the aggregate, where the failure to be true and correct would not reasonably be expected to have a Galera Material Adverse Effect (without giving effect to any references therein to any Galera Material Adverse Effect or other materiality qualifications) or (ii) for those representations and warranties which address matters only as of a particular date (which representations shall have been true and correct, subject to the qualifications as set forth in the preceding clause (i), as of such particular date) (it being understood that, for purposes of determining the accuracy of such representations and warranties, any update of or modification to the</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A-89</w:t>
      </w:r>
    </w:p>
    <w:p>
      <w:pPr>
        <w:sectPr>
          <w:pgSz w:w="11900" w:h="16838" w:orient="portrait"/>
          <w:cols w:equalWidth="0" w:num="1">
            <w:col w:w="11120"/>
          </w:cols>
          <w:pgMar w:left="320" w:top="454" w:right="459" w:bottom="1440" w:gutter="0" w:footer="0" w:header="0"/>
        </w:sectPr>
      </w:pPr>
    </w:p>
    <w:bookmarkStart w:id="553" w:name="page554"/>
    <w:bookmarkEnd w:id="5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Disclosure Schedule made or purported to have been made after the date of this Agreement shall be disregarded).</w:t>
      </w:r>
    </w:p>
    <w:p>
      <w:pPr>
        <w:spacing w:after="0" w:line="225" w:lineRule="exact"/>
        <w:rPr>
          <w:sz w:val="20"/>
          <w:szCs w:val="20"/>
          <w:color w:val="auto"/>
        </w:rPr>
      </w:pPr>
    </w:p>
    <w:p>
      <w:pPr>
        <w:ind w:left="120" w:right="100" w:firstLine="436"/>
        <w:spacing w:after="0" w:line="282" w:lineRule="auto"/>
        <w:tabs>
          <w:tab w:leader="none" w:pos="81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Parent, Obsidian Merger Sub and Galera Merger Sub shall have performed or complied in all material respects with all covenants and agreements required to be performed or complied with by it under this Agreement at or prior to the Closing Date.</w:t>
      </w:r>
    </w:p>
    <w:p>
      <w:pPr>
        <w:spacing w:after="0" w:line="16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Galera Material Adverse Effect shall not have occurred since the date of this Agreement and be continuing.</w:t>
      </w:r>
    </w:p>
    <w:p>
      <w:pPr>
        <w:spacing w:after="0" w:line="225" w:lineRule="exact"/>
        <w:rPr>
          <w:rFonts w:ascii="Times New Roman" w:cs="Times New Roman" w:eastAsia="Times New Roman" w:hAnsi="Times New Roman"/>
          <w:sz w:val="18"/>
          <w:szCs w:val="18"/>
          <w:color w:val="auto"/>
        </w:rPr>
      </w:pPr>
    </w:p>
    <w:p>
      <w:pPr>
        <w:ind w:left="120" w:right="660" w:firstLine="436"/>
        <w:spacing w:after="0" w:line="282" w:lineRule="auto"/>
        <w:tabs>
          <w:tab w:leader="none" w:pos="81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shares of Galera Common Stock shall have been continually listed on the OTCQB Market as of and from the date of this Agreement through the Closing Date.</w:t>
      </w:r>
    </w:p>
    <w:p>
      <w:pPr>
        <w:spacing w:after="0" w:line="157" w:lineRule="exact"/>
        <w:rPr>
          <w:rFonts w:ascii="Times New Roman" w:cs="Times New Roman" w:eastAsia="Times New Roman" w:hAnsi="Times New Roman"/>
          <w:sz w:val="18"/>
          <w:szCs w:val="18"/>
          <w:color w:val="auto"/>
        </w:rPr>
      </w:pPr>
    </w:p>
    <w:p>
      <w:pPr>
        <w:ind w:left="120" w:right="240" w:firstLine="436"/>
        <w:spacing w:after="0" w:line="286" w:lineRule="auto"/>
        <w:tabs>
          <w:tab w:leader="none" w:pos="80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Galera shall have delivered to Obsidian a certificate (the “</w:t>
      </w:r>
      <w:r>
        <w:rPr>
          <w:rFonts w:ascii="Times New Roman" w:cs="Times New Roman" w:eastAsia="Times New Roman" w:hAnsi="Times New Roman"/>
          <w:sz w:val="18"/>
          <w:szCs w:val="18"/>
          <w:b w:val="1"/>
          <w:bCs w:val="1"/>
          <w:color w:val="auto"/>
        </w:rPr>
        <w:t>Galera Closing Certificate</w:t>
      </w:r>
      <w:r>
        <w:rPr>
          <w:rFonts w:ascii="Times New Roman" w:cs="Times New Roman" w:eastAsia="Times New Roman" w:hAnsi="Times New Roman"/>
          <w:sz w:val="18"/>
          <w:szCs w:val="18"/>
          <w:color w:val="auto"/>
        </w:rPr>
        <w:t xml:space="preserve">”), dated the Closing Date and signed by an executive officer of Galera, certifying to the effect that the conditions set forth in </w:t>
      </w:r>
      <w:r>
        <w:rPr>
          <w:rFonts w:ascii="Times New Roman" w:cs="Times New Roman" w:eastAsia="Times New Roman" w:hAnsi="Times New Roman"/>
          <w:sz w:val="18"/>
          <w:szCs w:val="18"/>
          <w:u w:val="single" w:color="auto"/>
          <w:color w:val="auto"/>
        </w:rPr>
        <w:t>Sections 8.2(a), 8.2(b)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8.2(c)</w:t>
      </w:r>
      <w:r>
        <w:rPr>
          <w:rFonts w:ascii="Times New Roman" w:cs="Times New Roman" w:eastAsia="Times New Roman" w:hAnsi="Times New Roman"/>
          <w:sz w:val="18"/>
          <w:szCs w:val="18"/>
          <w:color w:val="auto"/>
        </w:rPr>
        <w:t xml:space="preserve"> have been satisfied.</w:t>
      </w:r>
    </w:p>
    <w:p>
      <w:pPr>
        <w:spacing w:after="0" w:line="158"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78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conditions to the Galera Merger shall have been satisfied or waived (other than those to be satisfied at Closing) and the Galera Certificate of Merger shall have been filed by Parent, or will be filed by Parent substantially simultaneously with the Obsidian Certificate of Merger.</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Conditions Precedent to Obligations of Galera, Parent, Obsidian Merger Sub and Galera Merger Sub</w:t>
      </w:r>
      <w:r>
        <w:rPr>
          <w:rFonts w:ascii="Times New Roman" w:cs="Times New Roman" w:eastAsia="Times New Roman" w:hAnsi="Times New Roman"/>
          <w:sz w:val="18"/>
          <w:szCs w:val="18"/>
          <w:color w:val="auto"/>
        </w:rPr>
        <w:t>. The obligations of Galera, Parent, Obsidian Merger Sub and Galera Merger Sub to effect the Mergers and otherwise consummate the Contemplated Transactions are subject to the satisfaction or, to the extent permitted by applicable law, the written waiver by Galera, Obsidian Merger Sub and Galera Merger Sub, at or prior to the Closing, of each of the following conditions:</w:t>
      </w:r>
    </w:p>
    <w:p>
      <w:pPr>
        <w:spacing w:after="0" w:line="72" w:lineRule="exact"/>
        <w:rPr>
          <w:sz w:val="20"/>
          <w:szCs w:val="20"/>
          <w:color w:val="auto"/>
        </w:rPr>
      </w:pPr>
    </w:p>
    <w:p>
      <w:pPr>
        <w:ind w:left="120" w:right="20" w:firstLine="436"/>
        <w:spacing w:after="0" w:line="268" w:lineRule="auto"/>
        <w:tabs>
          <w:tab w:leader="none" w:pos="805" w:val="left"/>
        </w:tabs>
        <w:numPr>
          <w:ilvl w:val="1"/>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Obsidian Fundamental Representations shall have been true, complete and correct in all respects as of the date of this Agreement and shall be true, complete and correct in all material respects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Obsidian Capitalization Representations shall have been true, complete and correct in all respects as of the date of this Agreement and shall be true and correct on and as of immediately prior to the Obsidian Effective Time with the same force and effect as if made on and as of such date, except, in each case, (x) for such inaccuracies which are de minimis, individually or in the aggregate or</w:t>
      </w:r>
    </w:p>
    <w:p>
      <w:pPr>
        <w:spacing w:after="0" w:line="4" w:lineRule="exact"/>
        <w:rPr>
          <w:rFonts w:ascii="Times New Roman" w:cs="Times New Roman" w:eastAsia="Times New Roman" w:hAnsi="Times New Roman"/>
          <w:sz w:val="17"/>
          <w:szCs w:val="17"/>
          <w:color w:val="auto"/>
        </w:rPr>
      </w:pPr>
    </w:p>
    <w:p>
      <w:pPr>
        <w:ind w:left="120" w:hanging="4"/>
        <w:spacing w:after="0" w:line="251" w:lineRule="auto"/>
        <w:tabs>
          <w:tab w:leader="none" w:pos="37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Obsidian contained in this Agreement (other than the Obsidian Fundamental Representations and the Obsidian Capitalization Representations) shall have been true and correct in all respects as of the date of this Agreement and shall be true and correct on and as of the Closing Date with the same force and effect as if made on the Closing Date except (i) in each case, or in the aggregate, where the failure to be so true and correct would not reasonably be expected to have an Obsidian Material Adverse Effect (without giving effect to any references therein to any Obsidian Material Adverse Effect or other materiality qualifications) or (ii)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Obsidian Disclosure Schedule made or purported to have been made after the date of this Agreement shall be disregarded).</w:t>
      </w:r>
    </w:p>
    <w:p>
      <w:pPr>
        <w:spacing w:after="0" w:line="192" w:lineRule="exact"/>
        <w:rPr>
          <w:rFonts w:ascii="Times New Roman" w:cs="Times New Roman" w:eastAsia="Times New Roman" w:hAnsi="Times New Roman"/>
          <w:sz w:val="18"/>
          <w:szCs w:val="18"/>
          <w:color w:val="auto"/>
        </w:rPr>
      </w:pPr>
    </w:p>
    <w:p>
      <w:pPr>
        <w:ind w:left="120" w:right="120" w:firstLine="436"/>
        <w:spacing w:after="0" w:line="282" w:lineRule="auto"/>
        <w:tabs>
          <w:tab w:leader="none" w:pos="815"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shall have performed and complied in all material respects with all covenants and agreements required to be performed or complied with by it under this Agreement at or prior to the Closing Date.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A-90</w:t>
      </w:r>
    </w:p>
    <w:p>
      <w:pPr>
        <w:sectPr>
          <w:pgSz w:w="11900" w:h="16838" w:orient="portrait"/>
          <w:cols w:equalWidth="0" w:num="1">
            <w:col w:w="11100"/>
          </w:cols>
          <w:pgMar w:left="320" w:top="454" w:right="479" w:bottom="1440" w:gutter="0" w:footer="0" w:header="0"/>
        </w:sectPr>
      </w:pPr>
    </w:p>
    <w:bookmarkStart w:id="554" w:name="page555"/>
    <w:bookmarkEnd w:id="5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800" w:hanging="244"/>
        <w:spacing w:after="0"/>
        <w:tabs>
          <w:tab w:leader="none" w:pos="8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Obsidian Material Adverse Effect shall not have occurred since the date of this Agreement and be continuing.</w:t>
      </w:r>
    </w:p>
    <w:p>
      <w:pPr>
        <w:spacing w:after="0" w:line="221" w:lineRule="exact"/>
        <w:rPr>
          <w:rFonts w:ascii="Times New Roman" w:cs="Times New Roman" w:eastAsia="Times New Roman" w:hAnsi="Times New Roman"/>
          <w:sz w:val="18"/>
          <w:szCs w:val="18"/>
          <w:color w:val="auto"/>
        </w:rPr>
      </w:pPr>
    </w:p>
    <w:p>
      <w:pPr>
        <w:ind w:left="120" w:right="40" w:firstLine="436"/>
        <w:spacing w:after="0" w:line="262" w:lineRule="auto"/>
        <w:tabs>
          <w:tab w:leader="none" w:pos="81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shall have delivered to Galera a certificate (the “</w:t>
      </w:r>
      <w:r>
        <w:rPr>
          <w:rFonts w:ascii="Times New Roman" w:cs="Times New Roman" w:eastAsia="Times New Roman" w:hAnsi="Times New Roman"/>
          <w:sz w:val="18"/>
          <w:szCs w:val="18"/>
          <w:b w:val="1"/>
          <w:bCs w:val="1"/>
          <w:color w:val="auto"/>
        </w:rPr>
        <w:t>Obsidian Closing Certificate</w:t>
      </w:r>
      <w:r>
        <w:rPr>
          <w:rFonts w:ascii="Times New Roman" w:cs="Times New Roman" w:eastAsia="Times New Roman" w:hAnsi="Times New Roman"/>
          <w:sz w:val="18"/>
          <w:szCs w:val="18"/>
          <w:color w:val="auto"/>
        </w:rPr>
        <w:t xml:space="preserve">”), dated the Closing Date and signed by an executive officer of Obsidian, certifying to the effect that (i) the conditions set forth in </w:t>
      </w:r>
      <w:r>
        <w:rPr>
          <w:rFonts w:ascii="Times New Roman" w:cs="Times New Roman" w:eastAsia="Times New Roman" w:hAnsi="Times New Roman"/>
          <w:sz w:val="18"/>
          <w:szCs w:val="18"/>
          <w:u w:val="single" w:color="auto"/>
          <w:color w:val="auto"/>
        </w:rPr>
        <w:t>Sections 8.3(a)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8.3(c)</w:t>
      </w:r>
      <w:r>
        <w:rPr>
          <w:rFonts w:ascii="Times New Roman" w:cs="Times New Roman" w:eastAsia="Times New Roman" w:hAnsi="Times New Roman"/>
          <w:sz w:val="18"/>
          <w:szCs w:val="18"/>
          <w:color w:val="auto"/>
        </w:rPr>
        <w:t xml:space="preserve"> have been satisfied and (ii) the information set forth in the Allocation Certificate delivered by Obsidian in accordance with </w:t>
      </w:r>
      <w:r>
        <w:rPr>
          <w:rFonts w:ascii="Times New Roman" w:cs="Times New Roman" w:eastAsia="Times New Roman" w:hAnsi="Times New Roman"/>
          <w:sz w:val="18"/>
          <w:szCs w:val="18"/>
          <w:u w:val="single" w:color="auto"/>
          <w:color w:val="auto"/>
        </w:rPr>
        <w:t>Section 7.13</w:t>
      </w:r>
      <w:r>
        <w:rPr>
          <w:rFonts w:ascii="Times New Roman" w:cs="Times New Roman" w:eastAsia="Times New Roman" w:hAnsi="Times New Roman"/>
          <w:sz w:val="18"/>
          <w:szCs w:val="18"/>
          <w:color w:val="auto"/>
        </w:rPr>
        <w:t xml:space="preserve"> is true and accurate in all respects as of the Closing Date.</w:t>
      </w:r>
    </w:p>
    <w:p>
      <w:pPr>
        <w:spacing w:after="0" w:line="180"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Obsidian Lock-Up Agreements will continue to be in full force and effect as of immediately following the Obsidian Effective Time.</w:t>
      </w:r>
    </w:p>
    <w:p>
      <w:pPr>
        <w:spacing w:after="0" w:line="225" w:lineRule="exact"/>
        <w:rPr>
          <w:rFonts w:ascii="Times New Roman" w:cs="Times New Roman" w:eastAsia="Times New Roman" w:hAnsi="Times New Roman"/>
          <w:sz w:val="18"/>
          <w:szCs w:val="18"/>
          <w:color w:val="auto"/>
        </w:rPr>
      </w:pPr>
    </w:p>
    <w:p>
      <w:pPr>
        <w:ind w:left="120" w:right="440" w:firstLine="436"/>
        <w:spacing w:after="0" w:line="312" w:lineRule="auto"/>
        <w:tabs>
          <w:tab w:leader="none" w:pos="785"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conditions to the Obsidian Merger shall have been satisfied or waived (other than those to be satisfied at Closing) and the Obsidian Certificate of Merger shall have been filed by Parent, or will be filed by Parent substantially simultaneously with the Galera Certificate of Merger.</w:t>
      </w:r>
    </w:p>
    <w:p>
      <w:pPr>
        <w:spacing w:after="0" w:line="140"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Galera may not rely on the failure of any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to be satisfied if the primary cause of such failure was the failure of Galera to perform any of its obligations under this Agreement. Obsidian may not rely on the failure of any conditions set forth in </w:t>
      </w:r>
      <w:r>
        <w:rPr>
          <w:rFonts w:ascii="Times New Roman" w:cs="Times New Roman" w:eastAsia="Times New Roman" w:hAnsi="Times New Roman"/>
          <w:sz w:val="18"/>
          <w:szCs w:val="18"/>
          <w:u w:val="single" w:color="auto"/>
          <w:color w:val="auto"/>
        </w:rPr>
        <w:t>Sections 8.1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8.2</w:t>
      </w:r>
      <w:r>
        <w:rPr>
          <w:rFonts w:ascii="Times New Roman" w:cs="Times New Roman" w:eastAsia="Times New Roman" w:hAnsi="Times New Roman"/>
          <w:sz w:val="18"/>
          <w:szCs w:val="18"/>
          <w:color w:val="auto"/>
        </w:rPr>
        <w:t xml:space="preserve"> to be satisfied if the primary cause of such failure was the failure of Obsidian to perform any of its obligations under this Agreement.</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CLOSING DELIVERIES</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Closing Deliveries of Obsidian</w:t>
      </w:r>
      <w:r>
        <w:rPr>
          <w:rFonts w:ascii="Times New Roman" w:cs="Times New Roman" w:eastAsia="Times New Roman" w:hAnsi="Times New Roman"/>
          <w:sz w:val="18"/>
          <w:szCs w:val="18"/>
          <w:color w:val="auto"/>
        </w:rPr>
        <w:t>. The obligations of Galera, Parent, Obsidian Merger Sub and Galera Merger Sub to effect the Mergers and otherwise consummate the Contemplated Transactions are subject to Galera receiving the following documents, each of which shall be in full force and effect, or the written waiver by Galera of delivery:</w:t>
      </w:r>
    </w:p>
    <w:p>
      <w:pPr>
        <w:spacing w:after="0" w:line="68" w:lineRule="exact"/>
        <w:rPr>
          <w:sz w:val="20"/>
          <w:szCs w:val="20"/>
          <w:color w:val="auto"/>
        </w:rPr>
      </w:pPr>
    </w:p>
    <w:p>
      <w:pPr>
        <w:ind w:left="800" w:hanging="244"/>
        <w:spacing w:after="0"/>
        <w:tabs>
          <w:tab w:leader="none" w:pos="8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Obsidian Stockholder Written Consents;</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Certificate; and</w:t>
      </w:r>
    </w:p>
    <w:p>
      <w:pPr>
        <w:spacing w:after="0" w:line="22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Obsidian Closing Certificate.</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Closing Deliveries of Galera</w:t>
      </w:r>
      <w:r>
        <w:rPr>
          <w:rFonts w:ascii="Times New Roman" w:cs="Times New Roman" w:eastAsia="Times New Roman" w:hAnsi="Times New Roman"/>
          <w:sz w:val="18"/>
          <w:szCs w:val="18"/>
          <w:color w:val="auto"/>
        </w:rPr>
        <w:t>. The obligations of Obsidian to effect the Mergers and otherwise consummate the Contemplated Transactions are subject to Obsidian receiving the following documents, each of which shall be in full force and effect, or the written waiver by Obsidian of delivery:</w:t>
      </w:r>
    </w:p>
    <w:p>
      <w:pPr>
        <w:spacing w:after="0" w:line="54" w:lineRule="exact"/>
        <w:rPr>
          <w:sz w:val="20"/>
          <w:szCs w:val="20"/>
          <w:color w:val="auto"/>
        </w:rPr>
      </w:pPr>
    </w:p>
    <w:p>
      <w:pPr>
        <w:ind w:left="800" w:hanging="244"/>
        <w:spacing w:after="0"/>
        <w:tabs>
          <w:tab w:leader="none" w:pos="80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Galera Net Cash Schedule;</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Galera Closing Certificate;</w:t>
      </w:r>
    </w:p>
    <w:p>
      <w:pPr>
        <w:spacing w:after="0" w:line="225"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(h)</w:t>
      </w:r>
      <w:r>
        <w:rPr>
          <w:rFonts w:ascii="Times New Roman" w:cs="Times New Roman" w:eastAsia="Times New Roman" w:hAnsi="Times New Roman"/>
          <w:sz w:val="18"/>
          <w:szCs w:val="18"/>
          <w:color w:val="auto"/>
        </w:rPr>
        <w:t>, the executed CVR Agreement; and</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82" w:lineRule="auto"/>
        <w:tabs>
          <w:tab w:leader="none" w:pos="81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written resignations in forms satisfactory to Obsidian, dated as of the Closing Date and effective as of the Closing executed by the officers and directors of Galera who are not to continue as officers or directors of Galera pursuant to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hereof.</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A-91</w:t>
      </w:r>
    </w:p>
    <w:p>
      <w:pPr>
        <w:sectPr>
          <w:pgSz w:w="11900" w:h="16838" w:orient="portrait"/>
          <w:cols w:equalWidth="0" w:num="1">
            <w:col w:w="11080"/>
          </w:cols>
          <w:pgMar w:left="320" w:top="454" w:right="499" w:bottom="1440" w:gutter="0" w:footer="0" w:header="0"/>
        </w:sectPr>
      </w:pPr>
    </w:p>
    <w:bookmarkStart w:id="555" w:name="page556"/>
    <w:bookmarkEnd w:id="5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Mergers and the Contemplated Transactions may be abandoned at any time prior to the Closing Date, whether before or (subject to the terms hereof) after approval of the Galera Stockholder Matters by Galera’s stockholders, unless otherwise specified below:</w:t>
      </w:r>
    </w:p>
    <w:p>
      <w:pPr>
        <w:spacing w:after="0" w:line="68" w:lineRule="exact"/>
        <w:rPr>
          <w:sz w:val="20"/>
          <w:szCs w:val="20"/>
          <w:color w:val="auto"/>
        </w:rPr>
      </w:pPr>
    </w:p>
    <w:p>
      <w:pPr>
        <w:ind w:left="800" w:hanging="244"/>
        <w:spacing w:after="0"/>
        <w:tabs>
          <w:tab w:leader="none" w:pos="800"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Galera and Obsidian;</w:t>
      </w:r>
    </w:p>
    <w:p>
      <w:pPr>
        <w:spacing w:after="0" w:line="225"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815"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Galera and Obsidian if the Mergers shall not have been consummated by August 14, 2026 (subject to possible extension as provided in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xml:space="preserve">”); provided, however, that the right to terminate this Agreement under this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shall not be available to Galera or Obsidian if such Party’s action or failure to act has been a principal cause of the failure of the Mergers to occur on or before the Outside Date and such action or failure to act constitutes a breach of this Agreement; provided, further, however, that, in the event that the SEC has not declared effective under the Securities Act the Registration Statement by the date which is twenty-five (25) days prior to the Outside Date, then either Galera or Obsidian shall be entitled to extend the Outside Date for an additional ninety (90) days;</w:t>
      </w:r>
    </w:p>
    <w:p>
      <w:pPr>
        <w:spacing w:after="0" w:line="187" w:lineRule="exact"/>
        <w:rPr>
          <w:rFonts w:ascii="Times New Roman" w:cs="Times New Roman" w:eastAsia="Times New Roman" w:hAnsi="Times New Roman"/>
          <w:sz w:val="18"/>
          <w:szCs w:val="18"/>
          <w:color w:val="auto"/>
        </w:rPr>
      </w:pPr>
    </w:p>
    <w:p>
      <w:pPr>
        <w:ind w:left="120" w:firstLine="436"/>
        <w:spacing w:after="0" w:line="266" w:lineRule="auto"/>
        <w:tabs>
          <w:tab w:leader="none" w:pos="805"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Galera and Obsidian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Galera if the Required Obsidian Stockholder Approval shall not have been obtained and evidence thereof delivered to Galera within fifteen</w:t>
      </w:r>
    </w:p>
    <w:p>
      <w:pPr>
        <w:spacing w:after="0" w:line="27" w:lineRule="exact"/>
        <w:rPr>
          <w:rFonts w:ascii="Times New Roman" w:cs="Times New Roman" w:eastAsia="Times New Roman" w:hAnsi="Times New Roman"/>
          <w:sz w:val="18"/>
          <w:szCs w:val="18"/>
          <w:color w:val="auto"/>
        </w:rPr>
      </w:pPr>
    </w:p>
    <w:p>
      <w:pPr>
        <w:ind w:left="120" w:right="280" w:hanging="4"/>
        <w:spacing w:after="0" w:line="260" w:lineRule="auto"/>
        <w:tabs>
          <w:tab w:leader="none" w:pos="46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the Registration Statement becoming effective in accordance with the provisions of the Securities Act; provided, however, that once the Required Obsidian Stockholder Approval has been obtained, Galera may not terminate this Agreement pursuant to this </w:t>
      </w:r>
      <w:r>
        <w:rPr>
          <w:rFonts w:ascii="Times New Roman" w:cs="Times New Roman" w:eastAsia="Times New Roman" w:hAnsi="Times New Roman"/>
          <w:sz w:val="18"/>
          <w:szCs w:val="18"/>
          <w:u w:val="single" w:color="auto"/>
          <w:color w:val="auto"/>
        </w:rPr>
        <w:t>Section 10.1(d)</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805"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Obsidian if the Required Galera Stockholder Approval shall not have been obtained and evidence thereof delivered to Obsidian within fifteen (15) days of the Registration Statement becoming effective in accordance with the provisions of the Securities Act; provided, however, that once the Required Galera Stockholder Approval has been obtained, Obsidian may not terminate this Agreement pursuant to this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provided, further, however that in the event that the Annual Meeting Galera Stockholder Vote is not obtained, then Obsidian may not terminate this Agreement pursuant to this </w:t>
      </w:r>
      <w:r>
        <w:rPr>
          <w:rFonts w:ascii="Times New Roman" w:cs="Times New Roman" w:eastAsia="Times New Roman" w:hAnsi="Times New Roman"/>
          <w:sz w:val="18"/>
          <w:szCs w:val="18"/>
          <w:u w:val="single" w:color="auto"/>
          <w:color w:val="auto"/>
        </w:rPr>
        <w:t>Section 10.1(e)</w:t>
      </w:r>
      <w:r>
        <w:rPr>
          <w:rFonts w:ascii="Times New Roman" w:cs="Times New Roman" w:eastAsia="Times New Roman" w:hAnsi="Times New Roman"/>
          <w:sz w:val="18"/>
          <w:szCs w:val="18"/>
          <w:color w:val="auto"/>
        </w:rPr>
        <w:t xml:space="preserve"> until such time that the Required Galera Stockholder Approval is not obtained at a special meeting of holders of Galera Common Stock held to seek the Required Galera Stockholder Approval in accordance with Section 7.14;</w:t>
      </w:r>
    </w:p>
    <w:p>
      <w:pPr>
        <w:spacing w:after="0" w:line="187" w:lineRule="exact"/>
        <w:rPr>
          <w:rFonts w:ascii="Times New Roman" w:cs="Times New Roman" w:eastAsia="Times New Roman" w:hAnsi="Times New Roman"/>
          <w:sz w:val="18"/>
          <w:szCs w:val="18"/>
          <w:color w:val="auto"/>
        </w:rPr>
      </w:pPr>
    </w:p>
    <w:p>
      <w:pPr>
        <w:ind w:left="120" w:right="280" w:firstLine="436"/>
        <w:spacing w:after="0" w:line="282" w:lineRule="auto"/>
        <w:tabs>
          <w:tab w:leader="none" w:pos="785"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Obsidian (at any time prior to the approval of the Galera Stockholder Matters by the Required Galera Stockholder Approval) if a Galera Triggering Event shall have occurred;</w:t>
      </w:r>
    </w:p>
    <w:p>
      <w:pPr>
        <w:spacing w:after="0" w:line="161" w:lineRule="exact"/>
        <w:rPr>
          <w:rFonts w:ascii="Times New Roman" w:cs="Times New Roman" w:eastAsia="Times New Roman" w:hAnsi="Times New Roman"/>
          <w:sz w:val="18"/>
          <w:szCs w:val="18"/>
          <w:color w:val="auto"/>
        </w:rPr>
      </w:pPr>
    </w:p>
    <w:p>
      <w:pPr>
        <w:jc w:val="both"/>
        <w:ind w:left="120" w:right="140" w:firstLine="436"/>
        <w:spacing w:after="0" w:line="266" w:lineRule="auto"/>
        <w:tabs>
          <w:tab w:leader="none" w:pos="815"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Galera (at any time prior to the adoption of this Agreement and the approval of the Contemplated Transactions by the Required Obsidian Stockholder Approval) if (i) an Obsidian Triggering Event shall have occurred or (ii) the Obsidian Board or any committee thereof shall have made an Obsidian Board Adverse Recommendation Change;</w:t>
      </w:r>
    </w:p>
    <w:p>
      <w:pPr>
        <w:spacing w:after="0" w:line="175" w:lineRule="exact"/>
        <w:rPr>
          <w:rFonts w:ascii="Times New Roman" w:cs="Times New Roman" w:eastAsia="Times New Roman" w:hAnsi="Times New Roman"/>
          <w:sz w:val="18"/>
          <w:szCs w:val="18"/>
          <w:color w:val="auto"/>
        </w:rPr>
      </w:pPr>
    </w:p>
    <w:p>
      <w:pPr>
        <w:jc w:val="both"/>
        <w:ind w:left="120" w:right="40" w:firstLine="436"/>
        <w:spacing w:after="0" w:line="277" w:lineRule="auto"/>
        <w:tabs>
          <w:tab w:leader="none" w:pos="815" w:val="left"/>
        </w:tabs>
        <w:numPr>
          <w:ilvl w:val="1"/>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Obsidian, upon a material breach of any representation, warranty, covenant or agreement set forth in this Agreement by Galera, Parent, Obsidian Merger Sub or Galera Merger Sub or if any representation or warranty of Galera shall have become inaccurate such that the conditions set forth in </w:t>
      </w:r>
      <w:r>
        <w:rPr>
          <w:rFonts w:ascii="Times New Roman" w:cs="Times New Roman" w:eastAsia="Times New Roman" w:hAnsi="Times New Roman"/>
          <w:sz w:val="17"/>
          <w:szCs w:val="17"/>
          <w:u w:val="single" w:color="auto"/>
          <w:color w:val="auto"/>
        </w:rPr>
        <w:t>Section 8.2(a)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8.2(b)</w:t>
      </w:r>
      <w:r>
        <w:rPr>
          <w:rFonts w:ascii="Times New Roman" w:cs="Times New Roman" w:eastAsia="Times New Roman" w:hAnsi="Times New Roman"/>
          <w:sz w:val="17"/>
          <w:szCs w:val="17"/>
          <w:color w:val="auto"/>
        </w:rPr>
        <w:t xml:space="preserve"> would not be satisfied as of the time of such breach or as of the time such representation or warranty shall have become inaccurate; provided that Obsidian is not then in material breach of any representation, warranty, covenant or agreement under this Agreement; provided, further, that if such inaccuracy in Galera’s representations and warranties or breach by Galera, Parent, Obsidian Merger Sub or Galera Merger</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A-92</w:t>
      </w:r>
    </w:p>
    <w:p>
      <w:pPr>
        <w:sectPr>
          <w:pgSz w:w="11900" w:h="16838" w:orient="portrait"/>
          <w:cols w:equalWidth="0" w:num="1">
            <w:col w:w="11080"/>
          </w:cols>
          <w:pgMar w:left="320" w:top="454" w:right="499" w:bottom="1440" w:gutter="0" w:footer="0" w:header="0"/>
        </w:sectPr>
      </w:pPr>
    </w:p>
    <w:bookmarkStart w:id="556" w:name="page557"/>
    <w:bookmarkEnd w:id="5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 xml:space="preserve">Sub is curable by Galera, Parent, Obsidian Merger Sub or Galera Merger Sub, as applicable, then this Agreement shall not terminate pursuant to this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as a result of such particular breach or inaccuracy until the expiration of a 30-day period commencing upon delivery of written notice from Obsidian to Galera of such breach or inaccuracy and its intention to terminate pursuant to this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(it being understood that this Agreement shall not terminate pursuant to this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as a result of such particular breach or inaccuracy if such breach by Galera, Parent, Obsidian Merger Sub or Galera Merger Sub is cured prior to such termination becoming effective);</w:t>
      </w:r>
    </w:p>
    <w:p>
      <w:pPr>
        <w:spacing w:after="0" w:line="183" w:lineRule="exact"/>
        <w:rPr>
          <w:sz w:val="20"/>
          <w:szCs w:val="20"/>
          <w:color w:val="auto"/>
        </w:rPr>
      </w:pPr>
    </w:p>
    <w:p>
      <w:pPr>
        <w:ind w:left="120" w:firstLine="436"/>
        <w:spacing w:after="0" w:line="254" w:lineRule="auto"/>
        <w:tabs>
          <w:tab w:leader="none" w:pos="77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Galera, upon a material breach of any representation, warranty, covenant or agreement set forth in this Agreement by Obsidian, or if any representation or warranty of Obsidian shall have become inaccurate, in either case, such that the conditions set forth in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would not be satisfied as of the time of such breach or as of the time such representation or warranty shall have become inaccurate; provided that none of Galera, Parent, Obsidian Merger Sub or Galera Merger Sub is then in material breach of any representation, warranty, covenant or agreement under this Agreement; provided, further, that if such inaccuracy in Obsidian’s representations and warranties or breach by Obsidian is curable by Obsidian, then this Agreement shall not terminate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as a result of such particular breach or inaccuracy until the expiration of a 30-day period commencing upon delivery of written notice from Galera to Obsidian of such breach or inaccuracy and its intention to terminate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(it being understood that this Agreement shall not terminate pursuant to this </w:t>
      </w:r>
      <w:r>
        <w:rPr>
          <w:rFonts w:ascii="Times New Roman" w:cs="Times New Roman" w:eastAsia="Times New Roman" w:hAnsi="Times New Roman"/>
          <w:sz w:val="18"/>
          <w:szCs w:val="18"/>
          <w:u w:val="single" w:color="auto"/>
          <w:color w:val="auto"/>
        </w:rPr>
        <w:t>Section 10.1(i)</w:t>
      </w:r>
      <w:r>
        <w:rPr>
          <w:rFonts w:ascii="Times New Roman" w:cs="Times New Roman" w:eastAsia="Times New Roman" w:hAnsi="Times New Roman"/>
          <w:sz w:val="18"/>
          <w:szCs w:val="18"/>
          <w:color w:val="auto"/>
        </w:rPr>
        <w:t xml:space="preserve"> as a result of such particular breach or inaccuracy if such breach by Obsidian is cured prior to such termination becoming effective);</w:t>
      </w:r>
    </w:p>
    <w:p>
      <w:pPr>
        <w:spacing w:after="0" w:line="188" w:lineRule="exact"/>
        <w:rPr>
          <w:rFonts w:ascii="Times New Roman" w:cs="Times New Roman" w:eastAsia="Times New Roman" w:hAnsi="Times New Roman"/>
          <w:sz w:val="18"/>
          <w:szCs w:val="18"/>
          <w:color w:val="auto"/>
        </w:rPr>
      </w:pPr>
    </w:p>
    <w:p>
      <w:pPr>
        <w:ind w:left="120" w:right="40" w:firstLine="436"/>
        <w:spacing w:after="0" w:line="253" w:lineRule="auto"/>
        <w:tabs>
          <w:tab w:leader="none" w:pos="77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Galera (at any time prior to obtaining the Required Galera Stockholder Approval) and following compliance with all of the requirements set forth in the proviso to this </w:t>
      </w:r>
      <w:r>
        <w:rPr>
          <w:rFonts w:ascii="Times New Roman" w:cs="Times New Roman" w:eastAsia="Times New Roman" w:hAnsi="Times New Roman"/>
          <w:sz w:val="18"/>
          <w:szCs w:val="18"/>
          <w:u w:val="single" w:color="auto"/>
          <w:color w:val="auto"/>
        </w:rPr>
        <w:t>Section 10.1(j)</w:t>
      </w:r>
      <w:r>
        <w:rPr>
          <w:rFonts w:ascii="Times New Roman" w:cs="Times New Roman" w:eastAsia="Times New Roman" w:hAnsi="Times New Roman"/>
          <w:sz w:val="18"/>
          <w:szCs w:val="18"/>
          <w:color w:val="auto"/>
        </w:rPr>
        <w:t>, concurrently with Galera’s entering into a definitive agreement for a Superior Offer (a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Alternative Agreement</w:t>
      </w:r>
      <w:r>
        <w:rPr>
          <w:rFonts w:ascii="Times New Roman" w:cs="Times New Roman" w:eastAsia="Times New Roman" w:hAnsi="Times New Roman"/>
          <w:sz w:val="18"/>
          <w:szCs w:val="18"/>
          <w:color w:val="auto"/>
        </w:rPr>
        <w:t>”); provided, however, that Galera shall not enter into any Permitted Alternative Agreement unless: (i) Obsidian shall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received written notice from Galera of Galera’s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Galera shall have complied with its obligations under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(including with respect to delivery of all required written notices), and (iii) the Galera Board shall have determined in good faith, after consultation with its outside legal counsel and reasonable consideration of relevant factors, that the failure to enter into such Permitted Alternative Agreement would reasonably be expected to be inconsistent with its fiduciary obligations under applicable Law;</w:t>
      </w:r>
    </w:p>
    <w:p>
      <w:pPr>
        <w:spacing w:after="0" w:line="194" w:lineRule="exact"/>
        <w:rPr>
          <w:rFonts w:ascii="Times New Roman" w:cs="Times New Roman" w:eastAsia="Times New Roman" w:hAnsi="Times New Roman"/>
          <w:sz w:val="18"/>
          <w:szCs w:val="18"/>
          <w:color w:val="auto"/>
        </w:rPr>
      </w:pPr>
    </w:p>
    <w:p>
      <w:pPr>
        <w:ind w:left="120" w:right="40" w:firstLine="436"/>
        <w:spacing w:after="0" w:line="270" w:lineRule="auto"/>
        <w:tabs>
          <w:tab w:leader="none" w:pos="815" w:val="left"/>
        </w:tabs>
        <w:numPr>
          <w:ilvl w:val="0"/>
          <w:numId w:val="4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Obsidian (at any time prior to obtaining the Required Obsidian Stockholder Approval) and following compliance with all of the requirements set forth in the proviso to this </w:t>
      </w:r>
      <w:r>
        <w:rPr>
          <w:rFonts w:ascii="Times New Roman" w:cs="Times New Roman" w:eastAsia="Times New Roman" w:hAnsi="Times New Roman"/>
          <w:sz w:val="17"/>
          <w:szCs w:val="17"/>
          <w:u w:val="single" w:color="auto"/>
          <w:color w:val="auto"/>
        </w:rPr>
        <w:t>Section 10.1(k)</w:t>
      </w:r>
      <w:r>
        <w:rPr>
          <w:rFonts w:ascii="Times New Roman" w:cs="Times New Roman" w:eastAsia="Times New Roman" w:hAnsi="Times New Roman"/>
          <w:sz w:val="17"/>
          <w:szCs w:val="17"/>
          <w:color w:val="auto"/>
        </w:rPr>
        <w:t xml:space="preserve">, concurrently with Obsidian’s entering into a Permitted Alternative Agreement and after having paid to Galera the Obsidian Termination Fee pursuant to </w:t>
      </w:r>
      <w:r>
        <w:rPr>
          <w:rFonts w:ascii="Times New Roman" w:cs="Times New Roman" w:eastAsia="Times New Roman" w:hAnsi="Times New Roman"/>
          <w:sz w:val="17"/>
          <w:szCs w:val="17"/>
          <w:u w:val="single" w:color="auto"/>
          <w:color w:val="auto"/>
        </w:rPr>
        <w:t>Section 10.3(f)</w:t>
      </w:r>
      <w:r>
        <w:rPr>
          <w:rFonts w:ascii="Times New Roman" w:cs="Times New Roman" w:eastAsia="Times New Roman" w:hAnsi="Times New Roman"/>
          <w:sz w:val="17"/>
          <w:szCs w:val="17"/>
          <w:color w:val="auto"/>
        </w:rPr>
        <w:t xml:space="preserve">; provided, however, that Obsidian shall not enter into any Permitted Alternative Agreement unless: (i) Galera shall have received written notice from Obsidian of Obsidian’s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Obsidian shall have complied with its obligations under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(including with respect to delivery of all required written notices), and (iii) the Obsidian Board shall have determined in good faith and reasonable consideration of relevant factors, after consultation with its outside legal counsel, that the failure to enter into such Permitted Alternative Agreement would reasonably be expected to be inconsistent with its fiduciary obligations under applicable Law; or</w:t>
      </w:r>
    </w:p>
    <w:p>
      <w:pPr>
        <w:spacing w:after="0" w:line="176" w:lineRule="exact"/>
        <w:rPr>
          <w:rFonts w:ascii="Times New Roman" w:cs="Times New Roman" w:eastAsia="Times New Roman" w:hAnsi="Times New Roman"/>
          <w:sz w:val="17"/>
          <w:szCs w:val="17"/>
          <w:color w:val="auto"/>
        </w:rPr>
      </w:pPr>
    </w:p>
    <w:p>
      <w:pPr>
        <w:ind w:left="120" w:right="180" w:firstLine="436"/>
        <w:spacing w:after="0" w:line="282" w:lineRule="auto"/>
        <w:tabs>
          <w:tab w:leader="none" w:pos="77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Obsidian, if the approval of the listing of shares of Parent Common Stock on Nasdaq shall (i) have been denied by Nasdaq or (ii) not have been obtained and the Obsidian Board has determined, in good faith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A-93</w:t>
      </w:r>
    </w:p>
    <w:p>
      <w:pPr>
        <w:sectPr>
          <w:pgSz w:w="11900" w:h="16838" w:orient="portrait"/>
          <w:cols w:equalWidth="0" w:num="1">
            <w:col w:w="11120"/>
          </w:cols>
          <w:pgMar w:left="320" w:top="454" w:right="459" w:bottom="1440" w:gutter="0" w:footer="0" w:header="0"/>
        </w:sectPr>
      </w:pPr>
    </w:p>
    <w:bookmarkStart w:id="557" w:name="page558"/>
    <w:bookmarkEnd w:id="5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after consultation with its outside counsel, that such approval is not reasonably likely to be obtained;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 to terminate this Agreement under this Section 10.1(k) shall not be available to Obsidian if Obsidian’s action or failure to act has been a principal cause of the failure of such approval being obtained and such action or failure to act constitutes a material breach of this Agreement.</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Party desiring to terminate this Agreement pursuant to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shall give a notice of such termination to the other Party specifying the provisions hereof pursuant to which such termination is made and the basis therefor described in reasonable detail.</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termination of this Agreement as provided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this Agreement shall be of no further force or effect; provided, however, that (a) this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survive the termination of this Agreement and shall remain in full force and effect and (b) the termination of this Agreement and the provisions of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not relieve any Party of any liability for fraud or for any willful and material breach of any representation, warranty, covenant, obligation or other provision contained in this Agreement.</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Expenses; Termination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436"/>
        <w:spacing w:after="0" w:line="258" w:lineRule="auto"/>
        <w:tabs>
          <w:tab w:leader="none" w:pos="805"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all fees and expenses incurred in connection with this Agreement and the Contemplated Transactions shall be paid by the Party incurring such expenses, whether or not the Contemplated Transactions are consummated; provided, however, that Galera and Obsidian shall share equally all fees and expenses incurred in relation to the printing and filing with the SEC of any filings with the SEC, including without limitation the Registration Statement (including any financial statements and exhibits) and any amendments or supplements thereto, and paid to a financial printer or the SEC with respect to filing and registration fees.</w:t>
      </w:r>
    </w:p>
    <w:p>
      <w:pPr>
        <w:spacing w:after="0" w:line="183"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815"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Galera pursuant to </w:t>
      </w:r>
      <w:r>
        <w:rPr>
          <w:rFonts w:ascii="Times New Roman" w:cs="Times New Roman" w:eastAsia="Times New Roman" w:hAnsi="Times New Roman"/>
          <w:sz w:val="18"/>
          <w:szCs w:val="18"/>
          <w:u w:val="single" w:color="auto"/>
          <w:color w:val="auto"/>
        </w:rPr>
        <w:t>Section 10.1(i), Section 10.1(d)</w:t>
      </w:r>
      <w:r>
        <w:rPr>
          <w:rFonts w:ascii="Times New Roman" w:cs="Times New Roman" w:eastAsia="Times New Roman" w:hAnsi="Times New Roman"/>
          <w:sz w:val="18"/>
          <w:szCs w:val="18"/>
          <w:color w:val="auto"/>
        </w:rPr>
        <w:t xml:space="preserve"> or clause (ii) of </w:t>
      </w:r>
      <w:r>
        <w:rPr>
          <w:rFonts w:ascii="Times New Roman" w:cs="Times New Roman" w:eastAsia="Times New Roman" w:hAnsi="Times New Roman"/>
          <w:sz w:val="18"/>
          <w:szCs w:val="18"/>
          <w:u w:val="single" w:color="auto"/>
          <w:color w:val="auto"/>
        </w:rPr>
        <w:t>Section 10.1(g)</w:t>
      </w:r>
      <w:r>
        <w:rPr>
          <w:rFonts w:ascii="Times New Roman" w:cs="Times New Roman" w:eastAsia="Times New Roman" w:hAnsi="Times New Roman"/>
          <w:sz w:val="18"/>
          <w:szCs w:val="18"/>
          <w:color w:val="auto"/>
        </w:rPr>
        <w:t xml:space="preserve"> or by Obsidian pursuant to </w:t>
      </w:r>
      <w:r>
        <w:rPr>
          <w:rFonts w:ascii="Times New Roman" w:cs="Times New Roman" w:eastAsia="Times New Roman" w:hAnsi="Times New Roman"/>
          <w:sz w:val="18"/>
          <w:szCs w:val="18"/>
          <w:u w:val="single" w:color="auto"/>
          <w:color w:val="auto"/>
        </w:rPr>
        <w:t>Section 10.1(k)</w:t>
      </w:r>
      <w:r>
        <w:rPr>
          <w:rFonts w:ascii="Times New Roman" w:cs="Times New Roman" w:eastAsia="Times New Roman" w:hAnsi="Times New Roman"/>
          <w:sz w:val="18"/>
          <w:szCs w:val="18"/>
          <w:color w:val="auto"/>
        </w:rPr>
        <w:t xml:space="preserve">, then Obsidian shall, within two (2) Business Days of delivering notice of termination in accordance therewith, pay Galera a non-refundable fee in an amount equal to $1,000,000,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up to $250,000 in reasonable and documented out-of-pocket third party expenses incurred by Galera in connection with the Contemplated Transactions (the “</w:t>
      </w:r>
      <w:r>
        <w:rPr>
          <w:rFonts w:ascii="Times New Roman" w:cs="Times New Roman" w:eastAsia="Times New Roman" w:hAnsi="Times New Roman"/>
          <w:sz w:val="18"/>
          <w:szCs w:val="18"/>
          <w:b w:val="1"/>
          <w:bCs w:val="1"/>
          <w:color w:val="auto"/>
        </w:rPr>
        <w:t>Obsidian Termination Fee</w:t>
      </w:r>
      <w:r>
        <w:rPr>
          <w:rFonts w:ascii="Times New Roman" w:cs="Times New Roman" w:eastAsia="Times New Roman" w:hAnsi="Times New Roman"/>
          <w:sz w:val="18"/>
          <w:szCs w:val="18"/>
          <w:color w:val="auto"/>
        </w:rPr>
        <w:t>”) by wire transfer of immediately available funds to an account designated by Galera. The Obsidian Termination Fee is non-refundable and shall not be credited against any other payment.</w:t>
      </w:r>
    </w:p>
    <w:p>
      <w:pPr>
        <w:spacing w:after="0" w:line="183"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by Obsidian pursuant to </w:t>
      </w:r>
      <w:r>
        <w:rPr>
          <w:rFonts w:ascii="Times New Roman" w:cs="Times New Roman" w:eastAsia="Times New Roman" w:hAnsi="Times New Roman"/>
          <w:sz w:val="18"/>
          <w:szCs w:val="18"/>
          <w:u w:val="single" w:color="auto"/>
          <w:color w:val="auto"/>
        </w:rPr>
        <w:t>Section 10.1(h)</w:t>
      </w:r>
      <w:r>
        <w:rPr>
          <w:rFonts w:ascii="Times New Roman" w:cs="Times New Roman" w:eastAsia="Times New Roman" w:hAnsi="Times New Roman"/>
          <w:sz w:val="18"/>
          <w:szCs w:val="18"/>
          <w:color w:val="auto"/>
        </w:rPr>
        <w:t xml:space="preserve"> or by Galera pursuant to </w:t>
      </w:r>
      <w:r>
        <w:rPr>
          <w:rFonts w:ascii="Times New Roman" w:cs="Times New Roman" w:eastAsia="Times New Roman" w:hAnsi="Times New Roman"/>
          <w:sz w:val="18"/>
          <w:szCs w:val="18"/>
          <w:u w:val="single" w:color="auto"/>
          <w:color w:val="auto"/>
        </w:rPr>
        <w:t>10.1(j)</w:t>
      </w:r>
      <w:r>
        <w:rPr>
          <w:rFonts w:ascii="Times New Roman" w:cs="Times New Roman" w:eastAsia="Times New Roman" w:hAnsi="Times New Roman"/>
          <w:sz w:val="18"/>
          <w:szCs w:val="18"/>
          <w:color w:val="auto"/>
        </w:rPr>
        <w:t>, then then Galera shall, within two</w:t>
      </w:r>
    </w:p>
    <w:p>
      <w:pPr>
        <w:spacing w:after="0" w:line="27" w:lineRule="exact"/>
        <w:rPr>
          <w:rFonts w:ascii="Times New Roman" w:cs="Times New Roman" w:eastAsia="Times New Roman" w:hAnsi="Times New Roman"/>
          <w:sz w:val="18"/>
          <w:szCs w:val="18"/>
          <w:color w:val="auto"/>
        </w:rPr>
      </w:pPr>
    </w:p>
    <w:p>
      <w:pPr>
        <w:ind w:left="120" w:right="100" w:hanging="4"/>
        <w:spacing w:after="0" w:line="250" w:lineRule="auto"/>
        <w:tabs>
          <w:tab w:leader="none" w:pos="37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delivering notice of termination in accordance therewith, pay Obsidian a non-refundable fee in an amount equal to $500,000,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up to $250,000 in reasonable and documented out-of-pocket third party expenses incurred by Obsidian in connection with the Contemplated Transactions (the “</w:t>
      </w:r>
      <w:r>
        <w:rPr>
          <w:rFonts w:ascii="Times New Roman" w:cs="Times New Roman" w:eastAsia="Times New Roman" w:hAnsi="Times New Roman"/>
          <w:sz w:val="18"/>
          <w:szCs w:val="18"/>
          <w:b w:val="1"/>
          <w:bCs w:val="1"/>
          <w:color w:val="auto"/>
        </w:rPr>
        <w:t>Galera Termination Fee</w:t>
      </w:r>
      <w:r>
        <w:rPr>
          <w:rFonts w:ascii="Times New Roman" w:cs="Times New Roman" w:eastAsia="Times New Roman" w:hAnsi="Times New Roman"/>
          <w:sz w:val="18"/>
          <w:szCs w:val="18"/>
          <w:color w:val="auto"/>
        </w:rPr>
        <w:t>” and, together with the Obsidian Termination Fee, the “</w:t>
      </w:r>
      <w:r>
        <w:rPr>
          <w:rFonts w:ascii="Times New Roman" w:cs="Times New Roman" w:eastAsia="Times New Roman" w:hAnsi="Times New Roman"/>
          <w:sz w:val="18"/>
          <w:szCs w:val="18"/>
          <w:b w:val="1"/>
          <w:bCs w:val="1"/>
          <w:color w:val="auto"/>
        </w:rPr>
        <w:t>Termination Fees</w:t>
      </w:r>
      <w:r>
        <w:rPr>
          <w:rFonts w:ascii="Times New Roman" w:cs="Times New Roman" w:eastAsia="Times New Roman" w:hAnsi="Times New Roman"/>
          <w:sz w:val="18"/>
          <w:szCs w:val="18"/>
          <w:color w:val="auto"/>
        </w:rPr>
        <w:t>”) by wire transfer</w:t>
      </w:r>
    </w:p>
    <w:p>
      <w:pPr>
        <w:spacing w:after="0" w:line="1" w:lineRule="exact"/>
        <w:rPr>
          <w:rFonts w:ascii="Times New Roman" w:cs="Times New Roman" w:eastAsia="Times New Roman" w:hAnsi="Times New Roman"/>
          <w:sz w:val="18"/>
          <w:szCs w:val="18"/>
          <w:color w:val="auto"/>
        </w:rPr>
      </w:pPr>
    </w:p>
    <w:p>
      <w:pPr>
        <w:ind w:left="120"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immediately available funds to an account designated by Obsidian. The Galera Termination Fee is non-refundable and shall not be credited against any other payment.</w:t>
      </w:r>
    </w:p>
    <w:p>
      <w:pPr>
        <w:spacing w:after="0" w:line="181" w:lineRule="exact"/>
        <w:rPr>
          <w:rFonts w:ascii="Times New Roman" w:cs="Times New Roman" w:eastAsia="Times New Roman" w:hAnsi="Times New Roman"/>
          <w:sz w:val="18"/>
          <w:szCs w:val="18"/>
          <w:color w:val="auto"/>
        </w:rPr>
      </w:pPr>
    </w:p>
    <w:p>
      <w:pPr>
        <w:ind w:left="120" w:right="40" w:firstLine="436"/>
        <w:spacing w:after="0" w:line="255" w:lineRule="auto"/>
        <w:tabs>
          <w:tab w:leader="none" w:pos="815"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either Party fails to pay when due the Termination Fee owed by it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then (i) such Party shall further reimburse the other Party for any additional reasonable and documented out-of-pocket costs and expenses (including reasonable and documented fees and disbursements of counsel) incurred in connection with the collection of such overdue amount and the enforcement by such Party of its rights under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(ii) the defaulting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at large United States money center banks (as published in the Wall Street Journal or any successor thereto) in effect on the date such overdue amount was originally required to be paid.</w:t>
      </w:r>
    </w:p>
    <w:p>
      <w:pPr>
        <w:spacing w:after="0" w:line="188"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05"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payment of the Termination Fee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be the sole and exclusive remedy of a Party following a termination of this Agreement by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A-94</w:t>
      </w:r>
    </w:p>
    <w:p>
      <w:pPr>
        <w:sectPr>
          <w:pgSz w:w="11900" w:h="16838" w:orient="portrait"/>
          <w:cols w:equalWidth="0" w:num="1">
            <w:col w:w="11100"/>
          </w:cols>
          <w:pgMar w:left="320" w:top="454" w:right="479" w:bottom="1440" w:gutter="0" w:footer="0" w:header="0"/>
        </w:sectPr>
      </w:pPr>
    </w:p>
    <w:bookmarkStart w:id="558" w:name="page559"/>
    <w:bookmarkEnd w:id="5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other Party, it being understood that in no event shall the Party required to pay the individual fees or damages payable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be required to pay on more than one occasion. Subject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following the termination of this Agreement under the circumstances described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and the payment of the fees set forth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(i) each Party shall have no further liability to the other Party in connection with or arising out of this Agreement or the termination thereof or the failure of the Contemplated Transactions to be consummated, (ii) no other Party or their respective Affiliates shall be entitled to bring or maintain any other claim, action or proceeding against the terminating Party or obtain any recovery, judgment or damages of any kind against the terminating Party (or any partner, member, stockholder, director, officer, employee, Subsidiary, affiliate, agent or other representative of the terminating Party) in connection with or arising out of this Agreement or the termination thereof or the failure of the Contemplated Transactions to be consummated and (iii) all other Parties and their respective Affiliates shall be precluded from any other remedy against the terminating Party and its Affiliates, at law or in equity or otherwise, in connection with or arising out of this Agreement or the termination thereof, any breach by the such Party giving rise to such termination or the failure of the Contemplated Transactions to be consummated.</w:t>
      </w:r>
    </w:p>
    <w:p>
      <w:pPr>
        <w:spacing w:after="0" w:line="194" w:lineRule="exact"/>
        <w:rPr>
          <w:sz w:val="20"/>
          <w:szCs w:val="20"/>
          <w:color w:val="auto"/>
        </w:rPr>
      </w:pPr>
    </w:p>
    <w:p>
      <w:pPr>
        <w:ind w:left="780" w:hanging="224"/>
        <w:spacing w:after="0"/>
        <w:tabs>
          <w:tab w:leader="none" w:pos="78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acknowledges that (i) the agreements contained in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are an integral part of the Contemplated Transactions,</w:t>
      </w:r>
    </w:p>
    <w:p>
      <w:pPr>
        <w:spacing w:after="0" w:line="27" w:lineRule="exact"/>
        <w:rPr>
          <w:rFonts w:ascii="Times New Roman" w:cs="Times New Roman" w:eastAsia="Times New Roman" w:hAnsi="Times New Roman"/>
          <w:sz w:val="18"/>
          <w:szCs w:val="18"/>
          <w:color w:val="auto"/>
        </w:rPr>
      </w:pPr>
    </w:p>
    <w:p>
      <w:pPr>
        <w:ind w:left="120" w:right="40" w:hanging="4"/>
        <w:spacing w:after="0" w:line="253" w:lineRule="auto"/>
        <w:tabs>
          <w:tab w:leader="none" w:pos="385"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Obsidian Termination Fee represents a good faith, fair estimate of the damages that Galera and its Affiliates would suffer upon termination of the Agreement, (iii) the Galera Termination Fee represents a good faith, fair estimate of the damages that Obsidian and its Affiliates would suffer upon termination of the Agreement, (iv) without these agreements, the Parties would not enter into this Agreement and (v) any amount payable pursuant to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is not a penalty, but rather is liquidated damages which shall not require Galera or Obsidian or any other Person to prove actual damages.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Non-Survival of Representations and Warranties</w:t>
      </w:r>
      <w:r>
        <w:rPr>
          <w:rFonts w:ascii="Times New Roman" w:cs="Times New Roman" w:eastAsia="Times New Roman" w:hAnsi="Times New Roman"/>
          <w:sz w:val="17"/>
          <w:szCs w:val="17"/>
          <w:color w:val="auto"/>
        </w:rPr>
        <w:t xml:space="preserve">. The representations and warranties of Parent, Obsidian, Obsidian Merger Sub, Galera and Galera Merger Sub contained in this Agreement or any certificate or instrument delivered pursuant to this Agreement shall terminate at the Galera Effective Time, and only the covenants that by their terms survive the Galera Effective Time and this </w:t>
      </w:r>
      <w:r>
        <w:rPr>
          <w:rFonts w:ascii="Times New Roman" w:cs="Times New Roman" w:eastAsia="Times New Roman" w:hAnsi="Times New Roman"/>
          <w:sz w:val="17"/>
          <w:szCs w:val="17"/>
          <w:u w:val="single" w:color="auto"/>
          <w:color w:val="auto"/>
        </w:rPr>
        <w:t>Article XI</w:t>
      </w:r>
      <w:r>
        <w:rPr>
          <w:rFonts w:ascii="Times New Roman" w:cs="Times New Roman" w:eastAsia="Times New Roman" w:hAnsi="Times New Roman"/>
          <w:sz w:val="17"/>
          <w:szCs w:val="17"/>
          <w:color w:val="auto"/>
        </w:rPr>
        <w:t xml:space="preserve"> shall survive the Galera Effective Time.</w:t>
      </w:r>
    </w:p>
    <w:p>
      <w:pPr>
        <w:spacing w:after="0" w:line="158"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with the approval of the respective Obsidian Board, the Galera Board, and the boards of directors of Parent, Obsidian Merger Sub, and Galera Merger Sub at any time (whether before or after obtaining the Required Obsidian Stockholder Approval and the Required Galera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any such approval of this Agreement by a Party’s stockholders or members (including the Required Obsidian Stockholder Approval and the Required Galera Stockholder Approval), no amendment shall be made which by Law requires further approval of such stockholders or members without the further approval of such stockholders or members. Prior to the Closing, this Agreement may not be amended except by an instrument in writing signed on behalf of each of Obsidian, Parent, Obsidian Merger Sub, Galera and Galera Merger Sub.</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40" w:firstLine="436"/>
        <w:spacing w:after="0" w:line="258" w:lineRule="auto"/>
        <w:tabs>
          <w:tab w:leader="none" w:pos="80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hereof applicable to a Party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A-95</w:t>
      </w:r>
    </w:p>
    <w:p>
      <w:pPr>
        <w:sectPr>
          <w:pgSz w:w="11900" w:h="16838" w:orient="portrait"/>
          <w:cols w:equalWidth="0" w:num="1">
            <w:col w:w="11140"/>
          </w:cols>
          <w:pgMar w:left="320" w:top="454" w:right="439" w:bottom="1440" w:gutter="0" w:footer="0" w:header="0"/>
        </w:sectPr>
      </w:pPr>
    </w:p>
    <w:bookmarkStart w:id="559" w:name="page560"/>
    <w:bookmarkEnd w:id="5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36"/>
        <w:spacing w:after="0" w:line="266" w:lineRule="auto"/>
        <w:tabs>
          <w:tab w:leader="none" w:pos="81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Entire Agreement; Counterparts; Exchanges by Electronic Transmission or Facsimile</w:t>
      </w:r>
      <w:r>
        <w:rPr>
          <w:rFonts w:ascii="Times New Roman" w:cs="Times New Roman" w:eastAsia="Times New Roman" w:hAnsi="Times New Roman"/>
          <w:sz w:val="18"/>
          <w:szCs w:val="18"/>
          <w:color w:val="auto"/>
        </w:rPr>
        <w:t xml:space="preserve">.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89" w:lineRule="exact"/>
        <w:rPr>
          <w:sz w:val="20"/>
          <w:szCs w:val="20"/>
          <w:color w:val="auto"/>
        </w:rPr>
      </w:pPr>
    </w:p>
    <w:p>
      <w:pPr>
        <w:ind w:left="120" w:right="2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11.5 </w:t>
      </w:r>
      <w:r>
        <w:rPr>
          <w:rFonts w:ascii="Times New Roman" w:cs="Times New Roman" w:eastAsia="Times New Roman" w:hAnsi="Times New Roman"/>
          <w:sz w:val="17"/>
          <w:szCs w:val="17"/>
          <w:u w:val="single" w:color="auto"/>
          <w:color w:val="auto"/>
        </w:rPr>
        <w:t>Applicable Law; Jurisdiction</w:t>
      </w:r>
      <w:r>
        <w:rPr>
          <w:rFonts w:ascii="Times New Roman" w:cs="Times New Roman" w:eastAsia="Times New Roman" w:hAnsi="Times New Roman"/>
          <w:sz w:val="17"/>
          <w:szCs w:val="17"/>
          <w:color w:val="auto"/>
        </w:rPr>
        <w:t>.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irrevocably and unconditionally</w:t>
      </w:r>
    </w:p>
    <w:p>
      <w:pPr>
        <w:spacing w:after="0" w:line="2" w:lineRule="exact"/>
        <w:rPr>
          <w:sz w:val="20"/>
          <w:szCs w:val="20"/>
          <w:color w:val="auto"/>
        </w:rPr>
      </w:pPr>
    </w:p>
    <w:p>
      <w:pPr>
        <w:ind w:left="120" w:right="80" w:hanging="4"/>
        <w:spacing w:after="0" w:line="252" w:lineRule="auto"/>
        <w:tabs>
          <w:tab w:leader="none" w:pos="36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of this Agreement and (f) irrevocably and unconditionally waives the right to trial by jury.</w:t>
      </w:r>
    </w:p>
    <w:p>
      <w:pPr>
        <w:spacing w:after="0" w:line="19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this Agreement nor any of a Party’s rights or obligations hereunder may be assigned or delegated by such Party without the prior written consent of the other Parties, and any attempted assignment or delegation of this Agreement or any of such rights or obligations by such Party without the other Party’s prior written consent shall be void and of no effect.</w:t>
      </w:r>
    </w:p>
    <w:p>
      <w:pPr>
        <w:spacing w:after="0" w:line="180" w:lineRule="exact"/>
        <w:rPr>
          <w:sz w:val="20"/>
          <w:szCs w:val="20"/>
          <w:color w:val="auto"/>
        </w:rPr>
      </w:pPr>
    </w:p>
    <w:p>
      <w:pPr>
        <w:ind w:left="120" w:right="80" w:firstLine="440"/>
        <w:spacing w:after="0" w:line="276" w:lineRule="auto"/>
        <w:rPr>
          <w:sz w:val="20"/>
          <w:szCs w:val="20"/>
          <w:color w:val="auto"/>
        </w:rPr>
      </w:pPr>
      <w:r>
        <w:rPr>
          <w:rFonts w:ascii="Times New Roman" w:cs="Times New Roman" w:eastAsia="Times New Roman" w:hAnsi="Times New Roman"/>
          <w:sz w:val="17"/>
          <w:szCs w:val="17"/>
          <w:color w:val="auto"/>
        </w:rPr>
        <w:t xml:space="preserve">11.7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w:t>
      </w:r>
    </w:p>
    <w:p>
      <w:pPr>
        <w:spacing w:after="0" w:line="1" w:lineRule="exact"/>
        <w:rPr>
          <w:sz w:val="20"/>
          <w:szCs w:val="20"/>
          <w:color w:val="auto"/>
        </w:rPr>
      </w:pPr>
    </w:p>
    <w:p>
      <w:pPr>
        <w:ind w:left="120" w:right="60" w:hanging="4"/>
        <w:spacing w:after="0" w:line="255" w:lineRule="auto"/>
        <w:tabs>
          <w:tab w:leader="none" w:pos="37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Galera, Parent, Obsidian Merger Sub or Galera Merger Sub:</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101 Lindenwood Drive, Suite 225</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Malvern, Pennsylvania 19355</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Mel Sorensen; Joel Sussman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A-96</w:t>
      </w:r>
    </w:p>
    <w:p>
      <w:pPr>
        <w:sectPr>
          <w:pgSz w:w="11900" w:h="16838" w:orient="portrait"/>
          <w:cols w:equalWidth="0" w:num="1">
            <w:col w:w="11120"/>
          </w:cols>
          <w:pgMar w:left="320" w:top="454" w:right="459" w:bottom="1440" w:gutter="0" w:footer="0" w:header="0"/>
        </w:sectPr>
      </w:pPr>
    </w:p>
    <w:bookmarkStart w:id="560" w:name="page561"/>
    <w:bookmarkEnd w:id="5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787 Seventh Avenue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Asher Rubin; John Butler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arubin@sidley.com; john.butler@sidley.com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Obsidian:</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Obsidian Therapeutics, Inc.</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1030 Massachusetts Avenue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Cambridge, MA 02138</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560" w:right="9020" w:hanging="4"/>
        <w:spacing w:after="0" w:line="265" w:lineRule="auto"/>
        <w:tabs>
          <w:tab w:leader="none" w:pos="875"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Northern Avenue Boston, MA 02210</w:t>
      </w: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Attention: William Collins; Gabriela Morales-Rivera; Tevia K. Pollard</w:t>
      </w:r>
    </w:p>
    <w:p>
      <w:pPr>
        <w:spacing w:after="0" w:line="9" w:lineRule="exact"/>
        <w:rPr>
          <w:rFonts w:ascii="Times New Roman" w:cs="Times New Roman" w:eastAsia="Times New Roman" w:hAnsi="Times New Roman"/>
          <w:sz w:val="17"/>
          <w:szCs w:val="17"/>
          <w:color w:val="auto"/>
        </w:rPr>
      </w:pPr>
    </w:p>
    <w:p>
      <w:pPr>
        <w:ind w:left="560" w:right="5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WCollins@goodwinlaw.com; GMoralesRivera@goodwinlaw.com; TPollard@goodwinlaw.com</w:t>
      </w:r>
    </w:p>
    <w:p>
      <w:pPr>
        <w:spacing w:after="0" w:line="18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Other Remedies; Specific Performance</w:t>
      </w:r>
      <w:r>
        <w:rPr>
          <w:rFonts w:ascii="Times New Roman" w:cs="Times New Roman" w:eastAsia="Times New Roman" w:hAnsi="Times New Roman"/>
          <w:sz w:val="18"/>
          <w:szCs w:val="18"/>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A-97</w:t>
      </w:r>
    </w:p>
    <w:p>
      <w:pPr>
        <w:sectPr>
          <w:pgSz w:w="11900" w:h="16838" w:orient="portrait"/>
          <w:cols w:equalWidth="0" w:num="1">
            <w:col w:w="11120"/>
          </w:cols>
          <w:pgMar w:left="320" w:top="454" w:right="459" w:bottom="1440" w:gutter="0" w:footer="0" w:header="0"/>
        </w:sectPr>
      </w:pPr>
    </w:p>
    <w:bookmarkStart w:id="561" w:name="page562"/>
    <w:bookmarkEnd w:id="5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any right, benefit or remedy of any nature whatsoever under or by reason of this Agreement.</w:t>
      </w:r>
    </w:p>
    <w:p>
      <w:pPr>
        <w:spacing w:after="0" w:line="17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A-98</w:t>
      </w:r>
    </w:p>
    <w:p>
      <w:pPr>
        <w:sectPr>
          <w:pgSz w:w="11900" w:h="16838" w:orient="portrait"/>
          <w:cols w:equalWidth="0" w:num="1">
            <w:col w:w="11020"/>
          </w:cols>
          <w:pgMar w:left="320" w:top="454" w:right="55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caused this Agreement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BSIDIAN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9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ALERA</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HERAPEUTICS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9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AZELLE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9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BSIDIAN</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UB</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9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ALERA</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ERGER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UBSIDIARY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4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A-99</w:t>
      </w:r>
    </w:p>
    <w:p>
      <w:pPr>
        <w:sectPr>
          <w:pgSz w:w="11900" w:h="16838" w:orient="portrait"/>
          <w:cols w:equalWidth="0" w:num="1">
            <w:col w:w="10139"/>
          </w:cols>
          <w:pgMar w:left="320" w:top="454" w:right="1440"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Form of Galera Stockholder Support Agreement</w:t>
      </w:r>
    </w:p>
    <w:p>
      <w:pPr>
        <w:spacing w:after="0" w:line="16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A-100</w:t>
      </w:r>
    </w:p>
    <w:p>
      <w:pPr>
        <w:sectPr>
          <w:pgSz w:w="11900" w:h="16838" w:orient="portrait"/>
          <w:cols w:equalWidth="0" w:num="1">
            <w:col w:w="10139"/>
          </w:cols>
          <w:pgMar w:left="320" w:top="454" w:right="1440"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Form of Obsidian Stockholder Support Agreement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A-101</w:t>
      </w:r>
    </w:p>
    <w:p>
      <w:pPr>
        <w:sectPr>
          <w:pgSz w:w="11900" w:h="16838" w:orient="portrait"/>
          <w:cols w:equalWidth="0" w:num="1">
            <w:col w:w="10139"/>
          </w:cols>
          <w:pgMar w:left="320" w:top="454" w:right="1440" w:bottom="1440" w:gutter="0" w:footer="0" w:header="0"/>
        </w:sectPr>
      </w:pPr>
    </w:p>
    <w:bookmarkStart w:id="565" w:name="page566"/>
    <w:bookmarkEnd w:id="5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Form of Obsidian Lock-Up Agreement</w:t>
      </w:r>
    </w:p>
    <w:p>
      <w:pPr>
        <w:spacing w:after="0" w:line="16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A-102</w:t>
      </w:r>
    </w:p>
    <w:p>
      <w:pPr>
        <w:sectPr>
          <w:pgSz w:w="11900" w:h="16838" w:orient="portrait"/>
          <w:cols w:equalWidth="0" w:num="1">
            <w:col w:w="10139"/>
          </w:cols>
          <w:pgMar w:left="320" w:top="454" w:right="1440"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Form of Obsidian Stockholder Written Consent</w:t>
      </w:r>
    </w:p>
    <w:p>
      <w:pPr>
        <w:spacing w:after="0" w:line="16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A-103</w:t>
      </w:r>
    </w:p>
    <w:p>
      <w:pPr>
        <w:sectPr>
          <w:pgSz w:w="11900" w:h="16838" w:orient="portrait"/>
          <w:cols w:equalWidth="0" w:num="1">
            <w:col w:w="10139"/>
          </w:cols>
          <w:pgMar w:left="320" w:top="454" w:right="1440"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Form of Galera Stockholder Written Consent</w:t>
      </w:r>
    </w:p>
    <w:p>
      <w:pPr>
        <w:spacing w:after="0" w:line="16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A-104</w:t>
      </w:r>
    </w:p>
    <w:p>
      <w:pPr>
        <w:sectPr>
          <w:pgSz w:w="11900" w:h="16838" w:orient="portrait"/>
          <w:cols w:equalWidth="0" w:num="1">
            <w:col w:w="10139"/>
          </w:cols>
          <w:pgMar w:left="320" w:top="454" w:right="1440"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1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Form of Securities Purchase Agreement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A-105</w:t>
      </w:r>
    </w:p>
    <w:p>
      <w:pPr>
        <w:sectPr>
          <w:pgSz w:w="11900" w:h="16838" w:orient="portrait"/>
          <w:cols w:equalWidth="0" w:num="1">
            <w:col w:w="10139"/>
          </w:cols>
          <w:pgMar w:left="320" w:top="454" w:right="1440" w:bottom="1440" w:gutter="0" w:footer="0" w:header="0"/>
        </w:sectPr>
      </w:pPr>
    </w:p>
    <w:bookmarkStart w:id="569" w:name="page570"/>
    <w:bookmarkEnd w:id="5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1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CVR Agreement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A-106</w:t>
      </w:r>
    </w:p>
    <w:p>
      <w:pPr>
        <w:sectPr>
          <w:pgSz w:w="11900" w:h="16838" w:orient="portrait"/>
          <w:cols w:equalWidth="0" w:num="1">
            <w:col w:w="10139"/>
          </w:cols>
          <w:pgMar w:left="320" w:top="454" w:right="1440" w:bottom="1440" w:gutter="0" w:footer="0" w:header="0"/>
        </w:sectPr>
      </w:pPr>
    </w:p>
    <w:bookmarkStart w:id="570" w:name="page571"/>
    <w:bookmarkEnd w:id="5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CONTINGENT VALUE RIGHTS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CONTINGENT VALUE RIGHTS AGREEMENT, dated as of [•], 2026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by and between G</w:t>
      </w:r>
      <w:r>
        <w:rPr>
          <w:rFonts w:ascii="Times New Roman" w:cs="Times New Roman" w:eastAsia="Times New Roman" w:hAnsi="Times New Roman"/>
          <w:sz w:val="14"/>
          <w:szCs w:val="14"/>
          <w:color w:val="auto"/>
        </w:rPr>
        <w:t>AZELLE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4"/>
          <w:szCs w:val="14"/>
          <w:color w:val="auto"/>
        </w:rPr>
        <w:t>ARENT</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O</w:t>
      </w:r>
      <w:r>
        <w:rPr>
          <w:rFonts w:ascii="Times New Roman" w:cs="Times New Roman" w:eastAsia="Times New Roman" w:hAnsi="Times New Roman"/>
          <w:sz w:val="14"/>
          <w:szCs w:val="14"/>
          <w:color w:val="auto"/>
        </w:rPr>
        <w:t>BSIDIAN</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HERAPEUTICS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 xml:space="preserve">., a Delaware corporation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w:t>
      </w:r>
      <w:r>
        <w:rPr>
          <w:rFonts w:ascii="Times New Roman" w:cs="Times New Roman" w:eastAsia="Times New Roman" w:hAnsi="Times New Roman"/>
          <w:sz w:val="18"/>
          <w:szCs w:val="18"/>
          <w:color w:val="auto"/>
        </w:rPr>
        <w:t>”) and Equiniti Trust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LLC, a Delaware limited liability company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and, collectively with Parent and Obsidian,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WHEREAS, Obsidian, Galera Therapeutics, Inc., a Delaware corporation (“</w:t>
      </w:r>
      <w:r>
        <w:rPr>
          <w:rFonts w:ascii="Times New Roman" w:cs="Times New Roman" w:eastAsia="Times New Roman" w:hAnsi="Times New Roman"/>
          <w:sz w:val="18"/>
          <w:szCs w:val="18"/>
          <w:b w:val="1"/>
          <w:bCs w:val="1"/>
          <w:color w:val="auto"/>
        </w:rPr>
        <w:t>Galera</w:t>
      </w:r>
      <w:r>
        <w:rPr>
          <w:rFonts w:ascii="Times New Roman" w:cs="Times New Roman" w:eastAsia="Times New Roman" w:hAnsi="Times New Roman"/>
          <w:sz w:val="18"/>
          <w:szCs w:val="18"/>
          <w:color w:val="auto"/>
        </w:rPr>
        <w:t xml:space="preserve">”), Parent, Onyx MergerSub, Inc., a Delaware corporation and a direct, wholly owned subsidiary of Parent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Obsidian Merger Sub</w:t>
      </w:r>
      <w:r>
        <w:rPr>
          <w:rFonts w:ascii="Times New Roman" w:cs="Times New Roman" w:eastAsia="Times New Roman" w:hAnsi="Times New Roman"/>
          <w:sz w:val="18"/>
          <w:szCs w:val="18"/>
          <w:color w:val="auto"/>
        </w:rPr>
        <w:t xml:space="preserve">”), and Gazelle Merger Subsidiary, Inc., a Delaware corporation and a direct, wholly owned subsidiary of Parent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Galera Merger Sub</w:t>
      </w:r>
      <w:r>
        <w:rPr>
          <w:rFonts w:ascii="Times New Roman" w:cs="Times New Roman" w:eastAsia="Times New Roman" w:hAnsi="Times New Roman"/>
          <w:sz w:val="18"/>
          <w:szCs w:val="18"/>
          <w:color w:val="auto"/>
        </w:rPr>
        <w:t>” and together with Obsidian Merger Sub, “</w:t>
      </w:r>
      <w:r>
        <w:rPr>
          <w:rFonts w:ascii="Times New Roman" w:cs="Times New Roman" w:eastAsia="Times New Roman" w:hAnsi="Times New Roman"/>
          <w:sz w:val="18"/>
          <w:szCs w:val="18"/>
          <w:b w:val="1"/>
          <w:bCs w:val="1"/>
          <w:color w:val="auto"/>
        </w:rPr>
        <w:t>Merger Subs</w:t>
      </w:r>
      <w:r>
        <w:rPr>
          <w:rFonts w:ascii="Times New Roman" w:cs="Times New Roman" w:eastAsia="Times New Roman" w:hAnsi="Times New Roman"/>
          <w:sz w:val="18"/>
          <w:szCs w:val="18"/>
          <w:color w:val="auto"/>
        </w:rPr>
        <w:t>”) have entered into an Agreement and Plan of Merger dated as of April 14, 2026 (as it may be amended or supplemented from time to time pursuant to the terms thereof,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(i) Obsidian Merger Sub will merge with and into Obsidian (the “</w:t>
      </w:r>
      <w:r>
        <w:rPr>
          <w:rFonts w:ascii="Times New Roman" w:cs="Times New Roman" w:eastAsia="Times New Roman" w:hAnsi="Times New Roman"/>
          <w:sz w:val="18"/>
          <w:szCs w:val="18"/>
          <w:b w:val="1"/>
          <w:bCs w:val="1"/>
          <w:color w:val="auto"/>
        </w:rPr>
        <w:t>Obsidian Merger</w:t>
      </w:r>
      <w:r>
        <w:rPr>
          <w:rFonts w:ascii="Times New Roman" w:cs="Times New Roman" w:eastAsia="Times New Roman" w:hAnsi="Times New Roman"/>
          <w:sz w:val="18"/>
          <w:szCs w:val="18"/>
          <w:color w:val="auto"/>
        </w:rPr>
        <w:t>”), with Obsidian surviving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Obsidian Merger as a wholly owned subsidiary of Parent (the “</w:t>
      </w:r>
      <w:r>
        <w:rPr>
          <w:rFonts w:ascii="Times New Roman" w:cs="Times New Roman" w:eastAsia="Times New Roman" w:hAnsi="Times New Roman"/>
          <w:sz w:val="18"/>
          <w:szCs w:val="18"/>
          <w:b w:val="1"/>
          <w:bCs w:val="1"/>
          <w:color w:val="auto"/>
        </w:rPr>
        <w:t>Obsidian Surviving Company</w:t>
      </w:r>
      <w:r>
        <w:rPr>
          <w:rFonts w:ascii="Times New Roman" w:cs="Times New Roman" w:eastAsia="Times New Roman" w:hAnsi="Times New Roman"/>
          <w:sz w:val="18"/>
          <w:szCs w:val="18"/>
          <w:color w:val="auto"/>
        </w:rPr>
        <w:t>”), and (ii) promptly following the Obsidian Merger, Galera Merger Sub will merge with and into Galera (the “</w:t>
      </w:r>
      <w:r>
        <w:rPr>
          <w:rFonts w:ascii="Times New Roman" w:cs="Times New Roman" w:eastAsia="Times New Roman" w:hAnsi="Times New Roman"/>
          <w:sz w:val="18"/>
          <w:szCs w:val="18"/>
          <w:b w:val="1"/>
          <w:bCs w:val="1"/>
          <w:color w:val="auto"/>
        </w:rPr>
        <w:t>Galera Merger</w:t>
      </w:r>
      <w:r>
        <w:rPr>
          <w:rFonts w:ascii="Times New Roman" w:cs="Times New Roman" w:eastAsia="Times New Roman" w:hAnsi="Times New Roman"/>
          <w:sz w:val="18"/>
          <w:szCs w:val="18"/>
          <w:color w:val="auto"/>
        </w:rPr>
        <w:t>” and, together with the Obsidian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with Galera surviving the Galera Merger as a wholly owned subsidiary of Parent (the “</w:t>
      </w:r>
      <w:r>
        <w:rPr>
          <w:rFonts w:ascii="Times New Roman" w:cs="Times New Roman" w:eastAsia="Times New Roman" w:hAnsi="Times New Roman"/>
          <w:sz w:val="18"/>
          <w:szCs w:val="18"/>
          <w:b w:val="1"/>
          <w:bCs w:val="1"/>
          <w:color w:val="auto"/>
        </w:rPr>
        <w:t>Galera Surviving Company</w:t>
      </w:r>
      <w:r>
        <w:rPr>
          <w:rFonts w:ascii="Times New Roman" w:cs="Times New Roman" w:eastAsia="Times New Roman" w:hAnsi="Times New Roman"/>
          <w:sz w:val="18"/>
          <w:szCs w:val="18"/>
          <w:color w:val="auto"/>
        </w:rPr>
        <w:t>”); and</w:t>
      </w:r>
    </w:p>
    <w:p>
      <w:pPr>
        <w:spacing w:after="0" w:line="189"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WHEREAS, in accordance with the Merger Agreement, Galera has declared a distribution to each of the holders of Galera Common Stock of record as of the last Business Day prior to the Galera Effective Time (but, for clarity, after the conversion of all Galera Series B Preferred Stock into Galera Common Stock as described in further detail in the Merger Agreement) representing the right to receive contingent cash payments pursuant to CVRs (as defined below) in respect of each CVR Product Agreement (as defined below) as hereinafter described.</w:t>
      </w:r>
    </w:p>
    <w:p>
      <w:pPr>
        <w:spacing w:after="0" w:line="180"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consummation of the transactions referred to above, the Parties agree, for the proportionate benefit of all Holders (as hereinafter defined), as follows: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DEFINITIONS; CERTAIN RULES OF CONSTRUCTION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will have the meanings ascribed to them in the Merger Agreement, unless expressly set forth otherwise herein. As used in this Agreement, the following terms will have the following meanings:</w:t>
      </w:r>
    </w:p>
    <w:p>
      <w:pPr>
        <w:spacing w:after="0" w:line="5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Parent following consummation of the transactions contemplated by the Merger Agreement.</w:t>
      </w:r>
    </w:p>
    <w:p>
      <w:pPr>
        <w:spacing w:after="0" w:line="22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Resolution</w:t>
      </w:r>
      <w:r>
        <w:rPr>
          <w:rFonts w:ascii="Times New Roman" w:cs="Times New Roman" w:eastAsia="Times New Roman" w:hAnsi="Times New Roman"/>
          <w:sz w:val="18"/>
          <w:szCs w:val="18"/>
          <w:color w:val="auto"/>
        </w:rPr>
        <w:t>” means a copy of a resolution certified by the secretary or an assistant secretary of Parent to have been duly adopted by the Board of Directors and to be in full force and effect on the date of such certification, and delivered to the Rights Agent.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Calendar Quarter</w:t>
      </w:r>
      <w:r>
        <w:rPr>
          <w:rFonts w:ascii="Times New Roman" w:cs="Times New Roman" w:eastAsia="Times New Roman" w:hAnsi="Times New Roman"/>
          <w:sz w:val="18"/>
          <w:szCs w:val="18"/>
          <w:color w:val="auto"/>
        </w:rPr>
        <w:t>” means each successive period of three (3) calendar months commencing on January 1, April 1, July 1 and October 1.</w:t>
      </w:r>
    </w:p>
    <w:p>
      <w:pPr>
        <w:spacing w:after="0" w:line="225" w:lineRule="exact"/>
        <w:rPr>
          <w:sz w:val="20"/>
          <w:szCs w:val="20"/>
          <w:color w:val="auto"/>
        </w:rPr>
      </w:pPr>
    </w:p>
    <w:p>
      <w:pPr>
        <w:jc w:val="both"/>
        <w:ind w:left="120"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 a sale or other disposition of all or substantially all of the assets of Parent on a consolidated basis (other than to any direct or indirect wholly owned subsidiary of Parent for so long as it remains a wholly owned subsidiary of Parent), (b) a merger or consolidation involving Parent in which Parent is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4" w:right="439" w:bottom="1440" w:gutter="0" w:footer="0" w:header="0"/>
        </w:sectPr>
      </w:pPr>
    </w:p>
    <w:bookmarkStart w:id="571" w:name="page572"/>
    <w:bookmarkEnd w:id="5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not the surviving entity, and (c) any other transaction involving Parent in which Parent is the surviving entity but in which the stockholders of Parent immediately prior to such transaction own less than fifty percent (50%) of the surviving entity’s voting power immediately after the transaction, in the case of each of the foregoing clauses (a), (b) and (c), whether effected directly or indirectly, and whether effected in a single transaction or a series of related transactions.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any particular task or obligation, efforts consistent with commercially reasonable practices of a biopharmaceutical company of comparable size and resources as Parent (on a consolidated basis following consummation of the transactions contemplated by the Merger Agreement) relating to commercializing a similar product or product candidate, as applicable, at a similar stage in its development or product life as the applicable CVR Product (“</w:t>
      </w:r>
      <w:r>
        <w:rPr>
          <w:rFonts w:ascii="Times New Roman" w:cs="Times New Roman" w:eastAsia="Times New Roman" w:hAnsi="Times New Roman"/>
          <w:sz w:val="18"/>
          <w:szCs w:val="18"/>
          <w:b w:val="1"/>
          <w:bCs w:val="1"/>
          <w:color w:val="auto"/>
        </w:rPr>
        <w:t>Relevant Products</w:t>
      </w:r>
      <w:r>
        <w:rPr>
          <w:rFonts w:ascii="Times New Roman" w:cs="Times New Roman" w:eastAsia="Times New Roman" w:hAnsi="Times New Roman"/>
          <w:sz w:val="18"/>
          <w:szCs w:val="18"/>
          <w:color w:val="auto"/>
        </w:rPr>
        <w:t>”), taking into account all relevant commercial, financial, technical, legal, scientific or medical factors, including safety, tolerability and efficacy, product profile, the competitiveness of other products in development in the marketplace, manufacturing and supply chain management considerations, the proprietary position of the Relevant Products (including with respect to patent or regulatory exclusivity), and the regulatory structure involved. For clarity, “Commercially Reasonable Efforts” shall be determined on an indication-by-indication, product-by-product and country-by-country basis, and it is anticipated that the level of efforts for different indications, products and countries may differ or change over time, reflecting changes in the status of the products, indications and country(ies) involved.</w:t>
      </w:r>
    </w:p>
    <w:p>
      <w:pPr>
        <w:spacing w:after="0" w:line="18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 Amount</w:t>
      </w:r>
      <w:r>
        <w:rPr>
          <w:rFonts w:ascii="Times New Roman" w:cs="Times New Roman" w:eastAsia="Times New Roman" w:hAnsi="Times New Roman"/>
          <w:sz w:val="18"/>
          <w:szCs w:val="18"/>
          <w:color w:val="auto"/>
        </w:rPr>
        <w:t>” means, for a given Holder, an amount equal to the product of (a) (i) with respect to the Supportive-Care Product CVRs, an amount equal to eighty percent (80%) of the Net Proceeds actually received, without duplication, pursuant to the Supportive-Care Product Agreement by a Payment Obligor from or on behalf of any Supportive-Care Product Counterparty, or (ii) with respect to the Legacy Product CVRs, an amount equal to ninety-five percent (95%) of the Net Proceeds actually received, without duplication, pursuant to any Legacy Product Agreement by any Payment Obligor from or on behalf of any Legacy Product Counterparty, and (b) (i) the total number of CVRs entitled to receive such Net Proceeds held by such Holder divided by (ii) the total number of CVRs entitled to receive such Net Proceeds held by all Holders as each is reflected on the CVR Register as of the close of business on the date prior to the date of payment.</w:t>
      </w:r>
    </w:p>
    <w:p>
      <w:pPr>
        <w:spacing w:after="0" w:line="183"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Payment Date</w:t>
      </w:r>
      <w:r>
        <w:rPr>
          <w:rFonts w:ascii="Times New Roman" w:cs="Times New Roman" w:eastAsia="Times New Roman" w:hAnsi="Times New Roman"/>
          <w:sz w:val="18"/>
          <w:szCs w:val="18"/>
          <w:color w:val="auto"/>
        </w:rPr>
        <w:t>” means no later than thirty (30) days following the receipt of Gross Proceeds by any Payment Obligor, pursuant to which Net Proceeds are payable to the Holders.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Period</w:t>
      </w:r>
      <w:r>
        <w:rPr>
          <w:rFonts w:ascii="Times New Roman" w:cs="Times New Roman" w:eastAsia="Times New Roman" w:hAnsi="Times New Roman"/>
          <w:sz w:val="18"/>
          <w:szCs w:val="18"/>
          <w:color w:val="auto"/>
        </w:rPr>
        <w:t>” means the Legacy Product CVR Period or Supportive-Care CVR Period, as applicable.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Product</w:t>
      </w:r>
      <w:r>
        <w:rPr>
          <w:rFonts w:ascii="Times New Roman" w:cs="Times New Roman" w:eastAsia="Times New Roman" w:hAnsi="Times New Roman"/>
          <w:sz w:val="18"/>
          <w:szCs w:val="18"/>
          <w:color w:val="auto"/>
        </w:rPr>
        <w:t>” means each Legacy Product and each Supportive-Care Product.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 Product Agreement</w:t>
      </w:r>
      <w:r>
        <w:rPr>
          <w:rFonts w:ascii="Times New Roman" w:cs="Times New Roman" w:eastAsia="Times New Roman" w:hAnsi="Times New Roman"/>
          <w:sz w:val="18"/>
          <w:szCs w:val="18"/>
          <w:color w:val="auto"/>
        </w:rPr>
        <w:t>” means each of a Legacy Product Agreement and the Supportive-Care Product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CVRs</w:t>
      </w:r>
      <w:r>
        <w:rPr>
          <w:rFonts w:ascii="Times New Roman" w:cs="Times New Roman" w:eastAsia="Times New Roman" w:hAnsi="Times New Roman"/>
          <w:sz w:val="18"/>
          <w:szCs w:val="18"/>
          <w:color w:val="auto"/>
        </w:rPr>
        <w:t>” means the Supportive-Care Product CVRs and the Legacy Product CVRs, as applicable.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 or any successor thereto.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 or any successor thereto.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the Legacy Product Expiration Date or Supportive-Care Product Expiration Date, as applicable.</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Gross Proceeds</w:t>
      </w:r>
      <w:r>
        <w:rPr>
          <w:rFonts w:ascii="Times New Roman" w:cs="Times New Roman" w:eastAsia="Times New Roman" w:hAnsi="Times New Roman"/>
          <w:sz w:val="18"/>
          <w:szCs w:val="18"/>
          <w:color w:val="auto"/>
        </w:rPr>
        <w:t>” means, without duplication, with respect to a CVR Product(s) for any Calendar Quarter, the sum of all Cash and Cash Equivalents actually paid to the relevant Payment Obligor or received by any Payment Obligor under the applicable CVR Product Agreement during the applicable CVR Period and</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00"/>
          </w:cols>
          <w:pgMar w:left="320" w:top="454" w:right="479" w:bottom="1440" w:gutter="0" w:footer="0" w:header="0"/>
        </w:sectPr>
      </w:pPr>
    </w:p>
    <w:bookmarkStart w:id="572" w:name="page573"/>
    <w:bookmarkEnd w:id="5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attributable to the CVR Product(s);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following shall be excluded from Gross Proceeds: (a) any amount paid by a Supportive-Care Product Counterparty or Legacy Product Counterparty, as applicable, for the conduct of research, development or manufacturing activities pursuant to a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research or development plan or supply agreement or amounts to reimburse or pay third parties for the cost of research, development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manufacturing activities being conducted by a third party on behalf of Parent, Galera or any other Affiliate of Parent; (b) loan proceeds paid to any Payment Obligor by a Supportive-Care Product Counterparty or Legacy Product Counterparty; (c) any amounts paid by a Supportive-Care Product Counterparty or a Legacy Product Counterparty for payment or reimbursement of patent prosecution, defense, enforcement and maintenance and other related expenses and (d) any consideration received by a Payment Obligor under a CVR Product Agreement after the applicable Expiration Date. For the avoidance of doubt, the value of any securities (whether debt or equity) or other non-cash property received by any Payment Obligor shall not constitute Gross Proceeds unless and until converted into Cash and Cash Equivalents.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 Person in whose name a CVR is registered in the CVR Register at the applicable time.</w:t>
      </w:r>
    </w:p>
    <w:p>
      <w:pPr>
        <w:spacing w:after="0" w:line="225" w:lineRule="exact"/>
        <w:rPr>
          <w:sz w:val="20"/>
          <w:szCs w:val="20"/>
          <w:color w:val="auto"/>
        </w:rPr>
      </w:pPr>
    </w:p>
    <w:p>
      <w:pPr>
        <w:ind w:left="120"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IP Rights</w:t>
      </w:r>
      <w:r>
        <w:rPr>
          <w:rFonts w:ascii="Times New Roman" w:cs="Times New Roman" w:eastAsia="Times New Roman" w:hAnsi="Times New Roman"/>
          <w:sz w:val="18"/>
          <w:szCs w:val="18"/>
          <w:color w:val="auto"/>
        </w:rPr>
        <w:t>” means all Galera IP Rights that (i) are necessary or reasonably useful to develop, commercialize or otherwise exploit any Legacy Product and (ii) were not divested pursuant to the Supportive-Care Product Agreement.</w:t>
      </w:r>
    </w:p>
    <w:p>
      <w:pPr>
        <w:spacing w:after="0" w:line="15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Product</w:t>
      </w:r>
      <w:r>
        <w:rPr>
          <w:rFonts w:ascii="Times New Roman" w:cs="Times New Roman" w:eastAsia="Times New Roman" w:hAnsi="Times New Roman"/>
          <w:sz w:val="18"/>
          <w:szCs w:val="18"/>
          <w:color w:val="auto"/>
        </w:rPr>
        <w:t>” means any pharmaceutical product containing the small molecule known as tilarginine (“</w:t>
      </w:r>
      <w:r>
        <w:rPr>
          <w:rFonts w:ascii="Times New Roman" w:cs="Times New Roman" w:eastAsia="Times New Roman" w:hAnsi="Times New Roman"/>
          <w:sz w:val="18"/>
          <w:szCs w:val="18"/>
          <w:b w:val="1"/>
          <w:bCs w:val="1"/>
          <w:color w:val="auto"/>
        </w:rPr>
        <w:t>tilarginine</w:t>
      </w:r>
      <w:r>
        <w:rPr>
          <w:rFonts w:ascii="Times New Roman" w:cs="Times New Roman" w:eastAsia="Times New Roman" w:hAnsi="Times New Roman"/>
          <w:sz w:val="18"/>
          <w:szCs w:val="18"/>
          <w:color w:val="auto"/>
        </w:rPr>
        <w:t>”) and any pharmaceutically acceptable salt, polymorph, crystal form, prodrug or solvate thereof that the manufacture, use or sale of which would, absent a license thereto, infringe the claim of any patent right within the Legacy IP Rights that covers the composition of matter for tilarginine.</w:t>
      </w:r>
    </w:p>
    <w:p>
      <w:pPr>
        <w:spacing w:after="0" w:line="171"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Product Agreement</w:t>
      </w:r>
      <w:r>
        <w:rPr>
          <w:rFonts w:ascii="Times New Roman" w:cs="Times New Roman" w:eastAsia="Times New Roman" w:hAnsi="Times New Roman"/>
          <w:sz w:val="18"/>
          <w:szCs w:val="18"/>
          <w:color w:val="auto"/>
        </w:rPr>
        <w:t>” means any agreement or series of agreements entered into during the Legacy Product CVR Period between, on the one hand, Parent, Galera, Obsidian or any other Affiliate of Parent, and, on the other hand, any other Person, under which Parent, Galera, Obsidian or any other Affiliate of Parent exclusively licenses, sells, assigns, transfers or otherwise divests any Legacy IP Rights to develop and commercialize any Legacy Product(s). For clarity, a Legacy Product Agreement does not include an agreement or series of agreements entered into following the Closing between Parent, Galera, Obsidian or any other Affiliate of Parent, on the one hand, and a counterparty to an Legacy Product Agreement, on the other hand, to acquire Parent or a successor-in-interest to Parent.</w:t>
      </w:r>
    </w:p>
    <w:p>
      <w:pPr>
        <w:spacing w:after="0" w:line="182"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Product Counterparty</w:t>
      </w:r>
      <w:r>
        <w:rPr>
          <w:rFonts w:ascii="Times New Roman" w:cs="Times New Roman" w:eastAsia="Times New Roman" w:hAnsi="Times New Roman"/>
          <w:sz w:val="18"/>
          <w:szCs w:val="18"/>
          <w:color w:val="auto"/>
        </w:rPr>
        <w:t>” means any Person that is party to any Legacy Product Agreement, other than Parent, Galera, Obsidian or any other Affiliate of Parent.</w:t>
      </w:r>
    </w:p>
    <w:p>
      <w:pPr>
        <w:spacing w:after="0" w:line="15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Product CVRs</w:t>
      </w:r>
      <w:r>
        <w:rPr>
          <w:rFonts w:ascii="Times New Roman" w:cs="Times New Roman" w:eastAsia="Times New Roman" w:hAnsi="Times New Roman"/>
          <w:sz w:val="18"/>
          <w:szCs w:val="18"/>
          <w:color w:val="auto"/>
        </w:rPr>
        <w:t>” means the right to receive contingent cash payments with respect to a Legacy Product Agreement pursuant to this Agreement and the Merger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Product CVR Period</w:t>
      </w:r>
      <w:r>
        <w:rPr>
          <w:rFonts w:ascii="Times New Roman" w:cs="Times New Roman" w:eastAsia="Times New Roman" w:hAnsi="Times New Roman"/>
          <w:sz w:val="18"/>
          <w:szCs w:val="18"/>
          <w:color w:val="auto"/>
        </w:rPr>
        <w:t>” means the period beginning on the Closing Date and ending on the Legacy Product Expiration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Legacy Product Expiration Date</w:t>
      </w:r>
      <w:r>
        <w:rPr>
          <w:rFonts w:ascii="Times New Roman" w:cs="Times New Roman" w:eastAsia="Times New Roman" w:hAnsi="Times New Roman"/>
          <w:sz w:val="18"/>
          <w:szCs w:val="18"/>
          <w:color w:val="auto"/>
        </w:rPr>
        <w:t>” means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Closing Date.</w:t>
      </w:r>
    </w:p>
    <w:p>
      <w:pPr>
        <w:spacing w:after="0" w:line="133"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for each CVR Product Agreement for each Calendar Quarter during the applicable CVR Period, the Gross Proceeds minus Permitted Deductions, as calculated in a manner consistent with GAAP. For clarity, if any of the applicable Gross Proceeds or Permitted Deduction are not in U.S. dollars, currency conversion to U.S. dollars shall be made by using the exchange rate prevailing at the Depositary or its successor entity on the date of receipt of such Gross Proceeds or date of payment of relevant Permitted Deductions, as applicable.</w:t>
      </w:r>
    </w:p>
    <w:p>
      <w:pPr>
        <w:spacing w:after="0" w:line="176" w:lineRule="exact"/>
        <w:rPr>
          <w:sz w:val="20"/>
          <w:szCs w:val="20"/>
          <w:color w:val="auto"/>
        </w:rPr>
      </w:pPr>
    </w:p>
    <w:p>
      <w:pPr>
        <w:ind w:left="120"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means a certificate signed by the chief executive officer, president, chief financial officer, any vice president, the controller, the treasurer or the secretary, in each case of Parent, in his or her capacity as such an officer, and delivered to the Rights Agent.</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4" w:right="459" w:bottom="1440" w:gutter="0" w:footer="0" w:header="0"/>
        </w:sectPr>
      </w:pPr>
    </w:p>
    <w:bookmarkStart w:id="573" w:name="page574"/>
    <w:bookmarkEnd w:id="5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Obligor</w:t>
      </w:r>
      <w:r>
        <w:rPr>
          <w:rFonts w:ascii="Times New Roman" w:cs="Times New Roman" w:eastAsia="Times New Roman" w:hAnsi="Times New Roman"/>
          <w:sz w:val="18"/>
          <w:szCs w:val="18"/>
          <w:color w:val="auto"/>
        </w:rPr>
        <w:t>” means Parent or any other Affiliate of Parent, or any of their respective successors (including any Assignee) or Affiliates.</w:t>
      </w:r>
    </w:p>
    <w:p>
      <w:pPr>
        <w:spacing w:after="0" w:line="22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Deductions</w:t>
      </w:r>
      <w:r>
        <w:rPr>
          <w:rFonts w:ascii="Times New Roman" w:cs="Times New Roman" w:eastAsia="Times New Roman" w:hAnsi="Times New Roman"/>
          <w:sz w:val="18"/>
          <w:szCs w:val="18"/>
          <w:color w:val="auto"/>
        </w:rPr>
        <w:t>” means the sum of, without duplication of any deductions listed below or exclusions from Gross Proceeds, the following costs or expenses with respect to a particular Calendar Quarter, for each CVR Product Agreement, to the extent actually paid or remitted by, and not otherwise reimbursed to, a Payment Obligor:</w:t>
      </w:r>
    </w:p>
    <w:p>
      <w:pPr>
        <w:spacing w:after="0" w:line="67" w:lineRule="exact"/>
        <w:rPr>
          <w:sz w:val="20"/>
          <w:szCs w:val="20"/>
          <w:color w:val="auto"/>
        </w:rPr>
      </w:pPr>
    </w:p>
    <w:p>
      <w:pPr>
        <w:ind w:left="120" w:right="40" w:firstLine="436"/>
        <w:spacing w:after="0" w:line="254" w:lineRule="auto"/>
        <w:tabs>
          <w:tab w:leader="none" w:pos="80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Taxes (including any applicable value added or sales taxes) imposed on Gross Proceeds and payable by Parent or any of its Affiliates and any income or other Taxes payable by Parent or any of its Affiliates that would not have been incurred by Parent or its Affiliates but for the Gross Proceeds having been received or accrued by Parent or its Affiliates (in each case, regardless of the due date of such Taxes); provided that for purposes of calculating income Taxes payable by Parent or its Affiliates in respect of the Gross Proceeds, any such income Taxes shall be computed after taking into account any net operating loss carryforwards or other Tax attributes (including Tax credits) of Galera or its Affiliates as of the Closing Date prior to the Galera Effective Time that are available to offset such gain after taking into account any limits of the usability of such attributes, including under Section 382 of the Code as reasonably determined by a nationally recognized tax advisor (and for the sake of clarity such income Taxes shall be calculated without taking into account any net operating losses or other Tax attributes generated by Parent or its Affiliates after the Galera Effective Time);</w:t>
      </w:r>
    </w:p>
    <w:p>
      <w:pPr>
        <w:spacing w:after="0" w:line="188"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documented internal and out-of-pocket costs and expenses incurred by Parent or any of its Affiliates reasonably allocable to the applicable CVR Product(s) in respect of a CVR Product Agreement, including technology transfer costs, litigation costs, contractual expenses or any costs in respect of head licenses for sublicensed technology and the development or prosecution, maintenance or enforcement by Parent or any of its Subsidiaries of intellectual property rights but excluding any costs related to a breach of this Agreement, including costs incurred in litigation in respect of the same; provided that internal costs for a particular activity shall only include the direct personnel and other incremental costs actually incurred by Parent or its Affiliates in performing such activity under such CVR Product Agreement, determined in accordance with GAAP, and shall exclude (i) all general and administrative expenses, corporate overhead, shared services costs and any indirect or allocated costs (including finance, executive management, legal, human resources, IT, facilities, insurance and similar corporate functions), (ii) depreciation, amortization and other non-cash expenses and (iii) any recovery or allocation of capital expenditures or capitalized costs;</w:t>
      </w:r>
    </w:p>
    <w:p>
      <w:pPr>
        <w:spacing w:after="0" w:line="188" w:lineRule="exact"/>
        <w:rPr>
          <w:rFonts w:ascii="Times New Roman" w:cs="Times New Roman" w:eastAsia="Times New Roman" w:hAnsi="Times New Roman"/>
          <w:sz w:val="18"/>
          <w:szCs w:val="18"/>
          <w:color w:val="auto"/>
        </w:rPr>
      </w:pPr>
    </w:p>
    <w:p>
      <w:pPr>
        <w:ind w:left="120" w:firstLine="436"/>
        <w:spacing w:after="0" w:line="258" w:lineRule="auto"/>
        <w:tabs>
          <w:tab w:leader="none" w:pos="80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the Legacy Products, any reasonable and documented out-of-pocket costs and expenses incurred by Parent or any of its Affiliates in connection with business development related efforts with respect to the Legacy Product(s), including any Right’s Agent fee, any brokerage fee, finder’s fee, opinion fee, success fee, transaction fee, service fee or other fee, commission or expense owed to any broker, finder, investment bank, auditor, accountant, counsel, advisor or other third party in relation thereto (but excluding any costs or expenses previously deducted from Gross Proceeds); and</w:t>
      </w:r>
    </w:p>
    <w:p>
      <w:pPr>
        <w:spacing w:after="0" w:line="183"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1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reasonable and documented out-of-pocket maintenance costs related to the relevant CVRs or the relevant CVR Product(s) (including fees and expenses related to the Rights Agent).</w:t>
      </w:r>
    </w:p>
    <w:p>
      <w:pPr>
        <w:spacing w:after="0" w:line="15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w:t>
      </w:r>
      <w:r>
        <w:rPr>
          <w:rFonts w:ascii="Times New Roman" w:cs="Times New Roman" w:eastAsia="Times New Roman" w:hAnsi="Times New Roman"/>
          <w:sz w:val="18"/>
          <w:szCs w:val="18"/>
          <w:color w:val="auto"/>
        </w:rPr>
        <w:t>” means a transfer of CVRs (a) on death of a Holder by will or intestacy; (b) by instrument to an inter vivos or testamentary trust in which the CVRs are to be passed to beneficiaries upon the death of the trustee; (c) pursuant to a court order; (d) made by operation of law (including a consolidation or merger) or without consideration in connection with the dissolution, liquidation or termination of any corporation, limited liability company, partnership or other entity; (e) in the case of CVRs held in nominee form, from a nominee to the applicable beneficial owner (through an intermediary if applicable) or from a nominee to another nominee for the same beneficial owner, to the extent allowable by the Rights Agent; (f) or a transfer from a participant’s account in a tax-qualified employee benefit plan to the participant or to such participant’s account in a different tax-qualified employee benefit plan or to a tax-qualified individual retirement account for the benefit of such participant; or (g) to Parent for any or no consideration.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00"/>
          </w:cols>
          <w:pgMar w:left="320" w:top="454" w:right="479" w:bottom="1440" w:gutter="0" w:footer="0" w:header="0"/>
        </w:sectPr>
      </w:pPr>
    </w:p>
    <w:bookmarkStart w:id="574" w:name="page575"/>
    <w:bookmarkEnd w:id="5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Requisite Holders</w:t>
      </w:r>
      <w:r>
        <w:rPr>
          <w:rFonts w:ascii="Times New Roman" w:cs="Times New Roman" w:eastAsia="Times New Roman" w:hAnsi="Times New Roman"/>
          <w:sz w:val="18"/>
          <w:szCs w:val="18"/>
          <w:color w:val="auto"/>
        </w:rPr>
        <w:t>” means the Holders holding not less than fifty percent (50%) of the then-outstanding CVRs.</w:t>
      </w:r>
    </w:p>
    <w:p>
      <w:pPr>
        <w:spacing w:after="0" w:line="225"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 means the Rights Agent named in the first paragraph of this Agreement, until a successor Rights Agent will have become such pursuant to the applicable provisions of this Agreement, and thereafter “Rights Agent” will mean such successor Rights Agent.</w:t>
      </w:r>
    </w:p>
    <w:p>
      <w:pPr>
        <w:spacing w:after="0" w:line="15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Supportive-Care Compounds</w:t>
      </w:r>
      <w:r>
        <w:rPr>
          <w:rFonts w:ascii="Times New Roman" w:cs="Times New Roman" w:eastAsia="Times New Roman" w:hAnsi="Times New Roman"/>
          <w:sz w:val="17"/>
          <w:szCs w:val="17"/>
          <w:color w:val="auto"/>
        </w:rPr>
        <w:t>” means (a) the small molecule known as GC4419 (“</w:t>
      </w:r>
      <w:r>
        <w:rPr>
          <w:rFonts w:ascii="Times New Roman" w:cs="Times New Roman" w:eastAsia="Times New Roman" w:hAnsi="Times New Roman"/>
          <w:sz w:val="17"/>
          <w:szCs w:val="17"/>
          <w:b w:val="1"/>
          <w:bCs w:val="1"/>
          <w:color w:val="auto"/>
        </w:rPr>
        <w:t>GC4419</w:t>
      </w:r>
      <w:r>
        <w:rPr>
          <w:rFonts w:ascii="Times New Roman" w:cs="Times New Roman" w:eastAsia="Times New Roman" w:hAnsi="Times New Roman"/>
          <w:sz w:val="17"/>
          <w:szCs w:val="17"/>
          <w:color w:val="auto"/>
        </w:rPr>
        <w:t>”), (b) the small molecule known as GC4711 (“</w:t>
      </w:r>
      <w:r>
        <w:rPr>
          <w:rFonts w:ascii="Times New Roman" w:cs="Times New Roman" w:eastAsia="Times New Roman" w:hAnsi="Times New Roman"/>
          <w:sz w:val="17"/>
          <w:szCs w:val="17"/>
          <w:b w:val="1"/>
          <w:bCs w:val="1"/>
          <w:color w:val="auto"/>
        </w:rPr>
        <w:t>GC4711</w:t>
      </w:r>
      <w:r>
        <w:rPr>
          <w:rFonts w:ascii="Times New Roman" w:cs="Times New Roman" w:eastAsia="Times New Roman" w:hAnsi="Times New Roman"/>
          <w:sz w:val="17"/>
          <w:szCs w:val="17"/>
          <w:color w:val="auto"/>
        </w:rPr>
        <w:t>”), and (c) any other small molecule owned or controlled by Galera prior to the execution of the Supportive-Care Product Agreement, the manufacture, use or sale of which would, absent a license thereto, infringe the claim of any patent right that covers the composition of matter for GC4419 or GC4711, and with respect to (a), (b) and (c), any pharmaceutically acceptable salt, polymorph, crystal form, prodrug or solvate thereof.</w:t>
      </w:r>
    </w:p>
    <w:p>
      <w:pPr>
        <w:spacing w:after="0" w:line="161"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Supportive-Care Product</w:t>
      </w:r>
      <w:r>
        <w:rPr>
          <w:rFonts w:ascii="Times New Roman" w:cs="Times New Roman" w:eastAsia="Times New Roman" w:hAnsi="Times New Roman"/>
          <w:sz w:val="18"/>
          <w:szCs w:val="18"/>
          <w:color w:val="auto"/>
        </w:rPr>
        <w:t>” means any pharmaceutical product owned and controlled by the Supportive-Care Product Counterparty containing any Supportive-Care Compound.</w:t>
      </w:r>
    </w:p>
    <w:p>
      <w:pPr>
        <w:spacing w:after="0" w:line="155" w:lineRule="exact"/>
        <w:rPr>
          <w:sz w:val="20"/>
          <w:szCs w:val="20"/>
          <w:color w:val="auto"/>
        </w:rPr>
      </w:pPr>
    </w:p>
    <w:p>
      <w:pPr>
        <w:ind w:left="120"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Supportive-Care Product Agreement</w:t>
      </w:r>
      <w:r>
        <w:rPr>
          <w:rFonts w:ascii="Times New Roman" w:cs="Times New Roman" w:eastAsia="Times New Roman" w:hAnsi="Times New Roman"/>
          <w:sz w:val="18"/>
          <w:szCs w:val="18"/>
          <w:color w:val="auto"/>
        </w:rPr>
        <w:t>” means that certain Asset Purchase and Sale Agreement, dated as of October 15, 2025, by and among Galera and its Affiliate named therein and the Supportive-Care Product Counterparty, as may be amended from time to time, pursuant to which Galera sold, transferred and assigned to Supportive-Care Product Counterparty all right, title and interest in and to the assets exclusively related to the Supportive-Care Compounds.</w:t>
      </w:r>
    </w:p>
    <w:p>
      <w:pPr>
        <w:spacing w:after="0" w:line="176"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Supportive-Care Product Counterparty</w:t>
      </w:r>
      <w:r>
        <w:rPr>
          <w:rFonts w:ascii="Times New Roman" w:cs="Times New Roman" w:eastAsia="Times New Roman" w:hAnsi="Times New Roman"/>
          <w:sz w:val="18"/>
          <w:szCs w:val="18"/>
          <w:color w:val="auto"/>
        </w:rPr>
        <w:t>” means Biossil Inc., its Affiliate and its or their successors, or any assignee, transferee or acquirer of the Supportive-Care Products following the date hereof.</w:t>
      </w:r>
    </w:p>
    <w:p>
      <w:pPr>
        <w:spacing w:after="0" w:line="155" w:lineRule="exact"/>
        <w:rPr>
          <w:sz w:val="20"/>
          <w:szCs w:val="20"/>
          <w:color w:val="auto"/>
        </w:rPr>
      </w:pPr>
    </w:p>
    <w:p>
      <w:pPr>
        <w:ind w:left="120"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Supportive-Care Product CVRs</w:t>
      </w:r>
      <w:r>
        <w:rPr>
          <w:rFonts w:ascii="Times New Roman" w:cs="Times New Roman" w:eastAsia="Times New Roman" w:hAnsi="Times New Roman"/>
          <w:sz w:val="18"/>
          <w:szCs w:val="18"/>
          <w:color w:val="auto"/>
        </w:rPr>
        <w:t>” means the right to receive contingent cash payments with respect to the Supportive-Care Product Agreement pursuant to this Agreement and the Merger Agreement.</w:t>
      </w:r>
    </w:p>
    <w:p>
      <w:pPr>
        <w:spacing w:after="0" w:line="155" w:lineRule="exact"/>
        <w:rPr>
          <w:sz w:val="20"/>
          <w:szCs w:val="20"/>
          <w:color w:val="auto"/>
        </w:rPr>
      </w:pPr>
    </w:p>
    <w:p>
      <w:pPr>
        <w:ind w:left="120" w:right="7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Supportive-Care Product CVR Period</w:t>
      </w:r>
      <w:r>
        <w:rPr>
          <w:rFonts w:ascii="Times New Roman" w:cs="Times New Roman" w:eastAsia="Times New Roman" w:hAnsi="Times New Roman"/>
          <w:sz w:val="18"/>
          <w:szCs w:val="18"/>
          <w:color w:val="auto"/>
        </w:rPr>
        <w:t>” means the period beginning on the Closing Date and ending on the Supportive-Care Product Expiration Date.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Supportive-Care Product Expiration Date</w:t>
      </w:r>
      <w:r>
        <w:rPr>
          <w:rFonts w:ascii="Times New Roman" w:cs="Times New Roman" w:eastAsia="Times New Roman" w:hAnsi="Times New Roman"/>
          <w:sz w:val="18"/>
          <w:szCs w:val="18"/>
          <w:color w:val="auto"/>
        </w:rPr>
        <w:t>” means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Closing Date.</w:t>
      </w:r>
    </w:p>
    <w:p>
      <w:pPr>
        <w:spacing w:after="0" w:line="13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Except as otherwise explicitly specified to the contrary, (a) references to a Section means a Section of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 singular or plural form include the plural and singular form, respectively, (e) references to a particular Person include such Person’s successors and assigns to the extent not prohibited by this Agreement, (f) all references to dollars or “$” refer to United States dollars and (g) the word “or” shall not be exclusive (i.e., “or” shall be deemed to mean “and/or”) unless the subjects of the conjunction are mutually exclusive. For clarity, the Parties agree that the phrase “adverse” when used in this Agreement with respect to the Holders includes any amendment or other action, as applicable, that does or would be reasonably expected to reduce, eliminate, or delay (y) any payment to the Holders under this Agreement by more than de minimis amounts, or (z) any payment to Parent, Galera or its or their successor or their Affiliates under any Legacy Product Agreement or Supportive-Care Product Agreement that would constitute a CVR Payment Amount by more than de minimis amounts.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54" w:right="459" w:bottom="1440" w:gutter="0" w:footer="0" w:header="0"/>
        </w:sectPr>
      </w:pPr>
    </w:p>
    <w:bookmarkStart w:id="575" w:name="page576"/>
    <w:bookmarkEnd w:id="5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CONTINGENT VALUE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CVRs; Appointment of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4" w:lineRule="auto"/>
        <w:tabs>
          <w:tab w:leader="none" w:pos="135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the Merger Agreement, each Holder is entitled to (i) one Legacy Product CVR for each share of Galera Common Stock issued and outstanding immediately prior to the Galera Effective Time and (ii) one Supportive-Care Product CVR for each share of Galera Common Stock issued and outstanding immediately prior to the Galera Effective Time (in each case, less applicable withholding Taxes). Each Legacy Product CVR represents the contingent right of a Holder to receive the CVR Payment Amount with respect to the Legacy Product Agreement, divided by the number of then-outstanding Legacy Product CVRs pursuant to this Agreement, to be paid in accordance with this Agreement. Each Supportive-Care Product CVR represents the contingent right of a Holder to receive the CVR Payment Amount with respect to the Supportive-Care Product CVR with respect to the Supportive-Care Product Agreement, divided by the number of then-outstanding Legacy Product CVRs pursuant to this Agreement, to be paid in accordance with this Agreement. The initial Holders will be determined in accordance with the Merger Agreement.</w:t>
      </w:r>
    </w:p>
    <w:p>
      <w:pPr>
        <w:spacing w:after="0" w:line="191"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hereby appoints the Rights Agent to act as rights agent for Parent as contemplated hereby in accordance with the express terms and conditions set forth in this Agreement (and no implied terms or conditions), and the Rights Agent hereby accepts such appointment.</w:t>
      </w:r>
    </w:p>
    <w:p>
      <w:pPr>
        <w:spacing w:after="0" w:line="162"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Nontransferable</w:t>
      </w:r>
      <w:r>
        <w:rPr>
          <w:rFonts w:ascii="Times New Roman" w:cs="Times New Roman" w:eastAsia="Times New Roman" w:hAnsi="Times New Roman"/>
          <w:sz w:val="18"/>
          <w:szCs w:val="18"/>
          <w:color w:val="auto"/>
        </w:rPr>
        <w:t xml:space="preserve">. The CVRs will not be sold, assigned, transferred, pledged, encumbered or in any other manner transferred or disposed of, in whole or in part, other than through a Permitted Transfer. Any attempted transfer that is not a Permitted Transfer, in whole or in part, will be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initio </w:t>
      </w:r>
      <w:r>
        <w:rPr>
          <w:rFonts w:ascii="Times New Roman" w:cs="Times New Roman" w:eastAsia="Times New Roman" w:hAnsi="Times New Roman"/>
          <w:sz w:val="18"/>
          <w:szCs w:val="18"/>
          <w:color w:val="auto"/>
        </w:rPr>
        <w:t>and of no effect. The CVRs will not be listed on any quotation system or traded on any securities exchange.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No Certificate; Registration; Registration of Transfer; Change of Address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be issued in book entry format and will not be evidenced by a certificate or other instrument.</w:t>
      </w:r>
    </w:p>
    <w:p>
      <w:pPr>
        <w:spacing w:after="0" w:line="221" w:lineRule="exact"/>
        <w:rPr>
          <w:rFonts w:ascii="Times New Roman" w:cs="Times New Roman" w:eastAsia="Times New Roman" w:hAnsi="Times New Roman"/>
          <w:sz w:val="18"/>
          <w:szCs w:val="18"/>
          <w:color w:val="auto"/>
        </w:rPr>
      </w:pPr>
    </w:p>
    <w:p>
      <w:pPr>
        <w:ind w:left="120" w:right="100" w:firstLine="987"/>
        <w:spacing w:after="0" w:line="257" w:lineRule="auto"/>
        <w:tabs>
          <w:tab w:leader="none" w:pos="136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keep a register (the “</w:t>
      </w:r>
      <w:r>
        <w:rPr>
          <w:rFonts w:ascii="Times New Roman" w:cs="Times New Roman" w:eastAsia="Times New Roman" w:hAnsi="Times New Roman"/>
          <w:sz w:val="18"/>
          <w:szCs w:val="18"/>
          <w:b w:val="1"/>
          <w:bCs w:val="1"/>
          <w:color w:val="auto"/>
        </w:rPr>
        <w:t>CVR Register</w:t>
      </w:r>
      <w:r>
        <w:rPr>
          <w:rFonts w:ascii="Times New Roman" w:cs="Times New Roman" w:eastAsia="Times New Roman" w:hAnsi="Times New Roman"/>
          <w:sz w:val="18"/>
          <w:szCs w:val="18"/>
          <w:color w:val="auto"/>
        </w:rPr>
        <w:t xml:space="preserve">”) for the purpose of registering CVRs and transfers of CVRs as permitted herein. The CVR Register will initially show one position for Cede &amp; Co. representing all the shares of Galera Common Stock held by DTC on behalf of the street name holders or beneficial owners of the shares of Galera Common Stock held by or beneficially owned by such holders as of immediately prior to the Effective Time. The Rights Agent will have no responsibility whatsoever directly to the street name holders or beneficial owners with respect to transfers of CVRs unless and until such CVRs are transferred into the name of such street name holders or beneficial owners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on transferability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every request made to transfer a CVR must be in writing and accompanied by a written instrument of transfer in form reasonably satisfactory to the Rights Agent, duly executed by the Holder thereof or the Holder’s attorney duly authorized in writing, personal representative or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register the transfer of the CVRs in the CVR Register. No service charge shall be made for any registration of transfer of a CVR, but Parent or the Rights Agent, as applicable, may require payment of a sum sufficient to cover any stamp or other tax or governmental charge that is imposed in connection with any such registration of transfer. The Rights Agent shall have no duty or obligation to take any action under any section of this Agreement that requires the payment by a Holder of applicable taxes or charges unless and until the Rights Agent is satisfied that all such taxes or charges have been paid or will be paid. All duly transferred CVRs registered in the CVR Register will be the valid obligations of Parent and will entitle the transferee to the same benefits and rights under this Agreement as those held immediately prior to the transfer by the transferor. No transfer of a CVR will be valid until registered in the CVR Register, and any transfer not duly registered in the CVR Register will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40"/>
          </w:cols>
          <w:pgMar w:left="320" w:top="454" w:right="439" w:bottom="1440" w:gutter="0" w:footer="0" w:header="0"/>
        </w:sectPr>
      </w:pPr>
    </w:p>
    <w:bookmarkStart w:id="576" w:name="page577"/>
    <w:bookmarkEnd w:id="5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987"/>
        <w:spacing w:after="0" w:line="266" w:lineRule="auto"/>
        <w:tabs>
          <w:tab w:leader="none" w:pos="136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66" w:lineRule="auto"/>
        <w:tabs>
          <w:tab w:leader="none" w:pos="135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Legacy Product Agreement is entered into during the Legacy Product CVR Period, then Parent shall promptly deliver to the Rights Agent written notice indicating that a Legacy Product Agreement has been entered into and a copy of the Legacy Product Agreement and any ancillary agreements thereto.</w:t>
      </w:r>
    </w:p>
    <w:p>
      <w:pPr>
        <w:spacing w:after="0" w:line="17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each CVR Payment Date, with respect to any CVR Product Agreement, Parent will deliver to the Rights Agent (i) a notice (in each case, a “</w:t>
      </w:r>
      <w:r>
        <w:rPr>
          <w:rFonts w:ascii="Times New Roman" w:cs="Times New Roman" w:eastAsia="Times New Roman" w:hAnsi="Times New Roman"/>
          <w:sz w:val="18"/>
          <w:szCs w:val="18"/>
          <w:b w:val="1"/>
          <w:bCs w:val="1"/>
          <w:color w:val="auto"/>
        </w:rPr>
        <w:t>CVR Payment Notice</w:t>
      </w:r>
      <w:r>
        <w:rPr>
          <w:rFonts w:ascii="Times New Roman" w:cs="Times New Roman" w:eastAsia="Times New Roman" w:hAnsi="Times New Roman"/>
          <w:sz w:val="18"/>
          <w:szCs w:val="18"/>
          <w:color w:val="auto"/>
        </w:rPr>
        <w:t xml:space="preserve">”) indicating (A) that the Holders are entitled to receive one or more payments with respect to Net Proceeds from the applicable CVR Product Agreement, (B) the source and trigger event for such payment of such Net Proceeds under the applicable CVR Product Agreement, and (C) a detailed calculation of such Gross Proceeds, Net Proceeds and any Permitted Deductions, with reasonable supporting detail for such Permitted Deductions, as applicable, (ii) an Officer’s Certificate certifying such calculation and (iii) any letter of instruction reasonably required by the Rights Agent. On or before any CVR Payment Date, Parent shall, in accordance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transfer to the Rights Agent by wire transfer of immediately available funds to an account designated by the Rights Agent an amount of cash equal to the applicable CVR Payment Amount for such CVR Payment Date payable to the Holders on account of all CVRs in respect of such Net Proceeds under the applicable CVR Product Agreement. All payments made by Parent hereunder shall be made in U.S. dollars. For the avoidance of doubt, Parent shall have no further liability in respect of the relevant CVR Payment Amount upon delivery of such CVR Payment Amount in accordance with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and the satisfaction of each of Parent’s obligations set forth in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120" w:right="140" w:firstLine="987"/>
        <w:spacing w:after="0" w:line="254" w:lineRule="auto"/>
        <w:tabs>
          <w:tab w:leader="none" w:pos="135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promptly, and in any event within ten (10) Business Days of receipt of any CVR Payment Notice (each such date, a “</w:t>
      </w:r>
      <w:r>
        <w:rPr>
          <w:rFonts w:ascii="Times New Roman" w:cs="Times New Roman" w:eastAsia="Times New Roman" w:hAnsi="Times New Roman"/>
          <w:sz w:val="18"/>
          <w:szCs w:val="18"/>
          <w:b w:val="1"/>
          <w:bCs w:val="1"/>
          <w:color w:val="auto"/>
        </w:rPr>
        <w:t>CVR Notice Date</w:t>
      </w:r>
      <w:r>
        <w:rPr>
          <w:rFonts w:ascii="Times New Roman" w:cs="Times New Roman" w:eastAsia="Times New Roman" w:hAnsi="Times New Roman"/>
          <w:sz w:val="18"/>
          <w:szCs w:val="18"/>
          <w:color w:val="auto"/>
        </w:rPr>
        <w:t xml:space="preserve">”), send each Holder at its registered address a copy of the applicable CVR Payment Notice. At the time the Rights Agent sends a copy of such CVR Payment Notice to the Holders, the Rights Agent will also pay the applicable CVR Payment Amount to the Holders, with each Holder receiving an amount equal to the product of A * B where “A” equals the quotient of (i) the applicable CVR Payment Amount in respect of the applicable Net Proceeds under the applicable CVR Product Agreement,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then-outstanding number of Legacy Product CVRs or Supportive-Care Product CVRs, as applicable, held by all Holders, and “B” equals the number of Legacy Product CVRs or Supportive-Care Product CVRs, as applicable, held by such Holder as reflected on the CVR Register, by check mailed to the address of each Holder as reflected in the CVR Register, in each case, as of the close of business on the last Business Day prior to such CVR Notice Date.</w:t>
      </w:r>
    </w:p>
    <w:p>
      <w:pPr>
        <w:spacing w:after="0" w:line="191"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Permitted Deductions, Parent and its Affiliates and the Rights Agent shall be entitled to deduct or withhold, from any CVR Payment Amount otherwise payable or otherwise deliverable pursuant to this Agreement, in each case directly or through an authorized payroll agent, such amounts as are reasonably determined to be required to be deducted or withheld therefrom under the Code or any other provision of any applicable federal, state, local or non-U.S. Tax Law. To the extent such amounts are so deducted or withheld and paid over or deposited with the relevant Tax authority, such amounts shall be treated for all purposes under this Agreement as having been paid to the Holder(s) to whom such amounts would otherwise have been paid or delivered. Parent shall instruct the Rights Agent to use commercially reasonable efforts to solicit from such Holder any necessary Tax forms (including an IRS Form W-9 or an applicable IRS Form W-8) a reasonable amount of time prior to making any such Tax withholdings or causing any such Tax withholdings to be made with respect to any Holder in order to provide the opportunity for the Holder to provide such Tax forms in order to avoid or reduce such withholding amounts.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20"/>
          </w:cols>
          <w:pgMar w:left="320" w:top="454" w:right="459" w:bottom="1440" w:gutter="0" w:footer="0" w:header="0"/>
        </w:sectPr>
      </w:pPr>
    </w:p>
    <w:bookmarkStart w:id="577" w:name="page578"/>
    <w:bookmarkEnd w:id="5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firstLine="987"/>
        <w:spacing w:after="0" w:line="266" w:lineRule="auto"/>
        <w:tabs>
          <w:tab w:leader="none" w:pos="135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any CVR Payment Amount that remains undistributed to the Holders six (6) months after an applicable CVR Notice Date will be delivered by the Rights Agent to Parent, upon demand, and any Holder will thereafter look only to Parent for payment of such CVR Payment Amount, without interest.</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3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the Rights Agent will be liable to any person in respect of any CVR Payment Amount delivered to a public official pursuant to any applicable abandoned property, escheat or similar Law. If, despite Parent’s and the Rights Agent’s reasonable best efforts to deliver a CVR Payment Amount to the applicable Holder, any CVR Payment Amount has not been paid prior to one (1) year after an applicable CVR Notice Date, as applicable (or immediately prior to such earlier date on which the CVR Payment Amount would otherwise escheat to or become the property of any Governmental Authority), any such CVR Payment Amount will, to the extent permitted by applicable Law, become the property of Parent, free and clear of all claims or interest of any person previously entitled thereto.</w:t>
      </w:r>
    </w:p>
    <w:p>
      <w:pPr>
        <w:spacing w:after="0" w:line="187"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Parties agree to treat the CVRs received with respect to the Galera Common Stock pursuant to the Merger Agreement for all U.S. federal and applicable state and local income Tax purposes as a distribution treated as a dividend (within the meaning of Section 301 of the Code) paid on the last Business Day prior to the Galera Effective Time for such Galera Common Stock pursuant to the Mergers. Each of the Parties shall, and shall cause their respective Affiliates to, report such treatment consistently on all U.S. federal and applicable state and local income Tax Returns and shall not take any position inconsistent therewith for such Tax purposes, except as otherwise required by a final determination within the meaning of Section 1313(a) of the Code or applicable Law.</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 Voting, Dividends or Interest; No Equity or Ownership Interest in Parent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not have any voting or dividend rights, and interest will not accrue on any amounts payable on the CVRs to any Holder.</w:t>
      </w:r>
    </w:p>
    <w:p>
      <w:pPr>
        <w:spacing w:after="0" w:line="22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CVRs will not represent any equity or ownership interest in Parent or in any constituent company to the Merger. The sole right of the Holders to receive property hereunder is the right to receive CVR Payment Amount, if any, in accordance with the terms hereof.</w:t>
      </w:r>
    </w:p>
    <w:p>
      <w:pPr>
        <w:spacing w:after="0" w:line="161"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5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or its directors and officers nor Obsidian or its directors and officers will be deemed to have any fiduciary or similar duties to any Holder by virtue of this Agreement or the CVRs.</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66"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further acknowledged and agreed that neither Obsidian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is an essential and material term of this Agreement.</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Ability to Abandon CVR</w:t>
      </w:r>
      <w:r>
        <w:rPr>
          <w:rFonts w:ascii="Times New Roman" w:cs="Times New Roman" w:eastAsia="Times New Roman" w:hAnsi="Times New Roman"/>
          <w:sz w:val="18"/>
          <w:szCs w:val="18"/>
          <w:color w:val="auto"/>
        </w:rPr>
        <w:t>. A Holder may at any time, at such Holder’s option, abandon all of such Holder’s remaining rights in a CVR by transferring such CVR to Parent without consideration therefor. Nothing in this Agreement is intended to prohibit Parent or any of its Affiliates from offering to acquire or acquiring CVRs for consideration from the Holders, in private transactions or otherwise, in its sole discretion. Any CVRs acquired by Parent or any of its Affiliates (including Obsidian) shall be automatically deemed extinguished and no longer outstanding or entitled to the CVR Payment Amount for purposes of this Agreement, or to count for the purpose of any vote or determination of the Holders for purposes of this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THE RIGHTS AGENT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Certain Duties and Responsibilities</w:t>
      </w:r>
    </w:p>
    <w:p>
      <w:pPr>
        <w:spacing w:after="0" w:line="225" w:lineRule="exact"/>
        <w:rPr>
          <w:sz w:val="20"/>
          <w:szCs w:val="20"/>
          <w:color w:val="auto"/>
        </w:rPr>
      </w:pPr>
    </w:p>
    <w:p>
      <w:pPr>
        <w:ind w:left="120" w:right="120" w:firstLine="987"/>
        <w:spacing w:after="0" w:line="282" w:lineRule="auto"/>
        <w:tabs>
          <w:tab w:leader="none" w:pos="1356"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and after the curing or waiving of all such Events of Default which may have occurred, the Rights Agent will not have any liability for any actions taken or not taken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40"/>
          </w:cols>
          <w:pgMar w:left="320" w:top="454" w:right="439" w:bottom="1440" w:gutter="0" w:footer="0" w:header="0"/>
        </w:sectPr>
      </w:pPr>
    </w:p>
    <w:bookmarkStart w:id="578" w:name="page579"/>
    <w:bookmarkEnd w:id="5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connection with this Agreement, except to the extent of its willful or intentional misconduct, bad faith or gross negligence. If an Event of Default has occurred (which has not been cured or waived), the Rights Agent shall exercise such of the rights and powers vested in it by this Agreement, and use the same degree of care and skill in their exercise, as a reasonably prudent person would exercise or use under the circumstances in the conduct of his or her own affairs. No provision of this Agreement will require the Rights Agent to expend or risk its own funds or otherwise incur any financial liability in the performance of any of its duties hereunder or in the exercise of any of its rights or powers if there shall be reasonable grounds for believing that repayment of such funds or adequate indemnification against such risk or liability is not reasonably assured to it.</w:t>
      </w:r>
    </w:p>
    <w:p>
      <w:pPr>
        <w:spacing w:after="0" w:line="187" w:lineRule="exact"/>
        <w:rPr>
          <w:sz w:val="20"/>
          <w:szCs w:val="20"/>
          <w:color w:val="auto"/>
        </w:rPr>
      </w:pPr>
    </w:p>
    <w:p>
      <w:pPr>
        <w:ind w:left="120" w:right="120" w:firstLine="987"/>
        <w:spacing w:after="0" w:line="255" w:lineRule="auto"/>
        <w:tabs>
          <w:tab w:leader="none" w:pos="1366"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acting by the written consent of the Requisite Holders, may direct the Rights Agent to act on behalf of the Holders in enforcing any of their rights hereunder. The Rights Agent shall be under no obligation to institute any action, suit or proceeding, or to take any other action likely to result in the incurrence of material expenses by the Rights Agent, unless such acting Holders (on behalf of all Holders) shall furnish the Rights Agent with reasonable security and indemnity for all reasonable, necessary and documented out-of-pocket costs and expenses that may be incurred. All rights of action under this Agreement may be enforced by the Rights Agent, any action, suit or proceeding instituted by the Rights Agent shall be brought in its name as the Rights Agent and any recovery in connection therewith shall be for the proportionate benefit of all the Holders, as their respective rights or interests may appear.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Certain Rights of Rights Agent</w:t>
      </w:r>
      <w:r>
        <w:rPr>
          <w:rFonts w:ascii="Times New Roman" w:cs="Times New Roman" w:eastAsia="Times New Roman" w:hAnsi="Times New Roman"/>
          <w:sz w:val="18"/>
          <w:szCs w:val="18"/>
          <w:color w:val="auto"/>
        </w:rPr>
        <w:t>. The Rights Agent undertakes to perform such duties and only such duties as are specifically set forth in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and no implied covenants or obligations will be read into this Agreement against the Rights Agent. In addition:</w:t>
      </w:r>
    </w:p>
    <w:p>
      <w:pPr>
        <w:spacing w:after="0" w:line="99" w:lineRule="exact"/>
        <w:rPr>
          <w:sz w:val="20"/>
          <w:szCs w:val="20"/>
          <w:color w:val="auto"/>
        </w:rPr>
      </w:pPr>
    </w:p>
    <w:p>
      <w:pPr>
        <w:ind w:left="120" w:right="220" w:firstLine="987"/>
        <w:spacing w:after="0" w:line="266" w:lineRule="auto"/>
        <w:tabs>
          <w:tab w:leader="none" w:pos="135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Rights Agent will deem it desirable that a matter be proved or established prior to taking, suffering or omitting any action hereunder, the Rights Agent may, in the absence of bad faith, gross negligence or willful or intentional misconduct on its part, request and rely upon an Officer’s Certificate with respect to such matter;</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5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engage and consult with counsel of its selection and the written advice of such counsel or any opinion of counsel will be full and complete authorization and protection in respect of any action taken, suffered or omitted by it hereunder in good faith and in reliance thereon;</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Rights Agent to do things enumerated in this Agreement will not be construed as a duty;</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not be required to give any note or surety in respect of the execution of such powers or otherwise in respect of the</w:t>
      </w:r>
    </w:p>
    <w:p>
      <w:pPr>
        <w:spacing w:after="0" w:line="38" w:lineRule="exact"/>
        <w:rPr>
          <w:rFonts w:ascii="Times New Roman" w:cs="Times New Roman" w:eastAsia="Times New Roman" w:hAnsi="Times New Roman"/>
          <w:sz w:val="17"/>
          <w:szCs w:val="17"/>
          <w:color w:val="auto"/>
        </w:rPr>
      </w:pPr>
    </w:p>
    <w:p>
      <w:pPr>
        <w:ind w:left="1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premises;</w:t>
      </w:r>
    </w:p>
    <w:p>
      <w:pPr>
        <w:spacing w:after="0" w:line="206" w:lineRule="exact"/>
        <w:rPr>
          <w:rFonts w:ascii="Times New Roman" w:cs="Times New Roman" w:eastAsia="Times New Roman" w:hAnsi="Times New Roman"/>
          <w:sz w:val="17"/>
          <w:szCs w:val="17"/>
          <w:color w:val="auto"/>
        </w:rPr>
      </w:pPr>
    </w:p>
    <w:p>
      <w:pPr>
        <w:ind w:left="120" w:right="280" w:firstLine="987"/>
        <w:spacing w:after="0" w:line="261" w:lineRule="auto"/>
        <w:tabs>
          <w:tab w:leader="none" w:pos="133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agrees to indemnify Rights Agent for, and hold Rights Agent harmless against, any loss, liability, claim, demands, suits or expense arising out of or in connection with Rights Agent’s duties under this Agreement, including the reasonable, necessary and out-of-pocket costs and expenses of defending Rights Agent against any claims, charges, demands, suits or loss, unless such loss has been determined by a court of competent jurisdiction to be a result of Rights Agent’s gross negligence, bad faith or willful or intentional misconduct; and</w:t>
      </w:r>
    </w:p>
    <w:p>
      <w:pPr>
        <w:spacing w:after="0" w:line="179" w:lineRule="exact"/>
        <w:rPr>
          <w:rFonts w:ascii="Times New Roman" w:cs="Times New Roman" w:eastAsia="Times New Roman" w:hAnsi="Times New Roman"/>
          <w:sz w:val="18"/>
          <w:szCs w:val="18"/>
          <w:color w:val="auto"/>
        </w:rPr>
      </w:pPr>
    </w:p>
    <w:p>
      <w:pPr>
        <w:ind w:left="120" w:right="400" w:firstLine="987"/>
        <w:spacing w:after="0" w:line="266" w:lineRule="auto"/>
        <w:tabs>
          <w:tab w:leader="none" w:pos="1366"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agrees (i) to pay the fees and expenses of the Rights Agent in connection with this Agreement as agreed upon in writing by Rights Agent and Parent on or prior to the date hereof, and (ii) to reimburse the Rights Agent for all taxes and governmental charges, reasonable expenses and other charges of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4" w:right="459" w:bottom="1440" w:gutter="0" w:footer="0" w:header="0"/>
        </w:sectPr>
      </w:pPr>
    </w:p>
    <w:bookmarkStart w:id="579" w:name="page580"/>
    <w:bookmarkEnd w:id="5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kind and nature incurred by the Rights Agent in the execution of this Agreement (other than taxes imposed on or measured by the Rights Agent’s net income and franchise or similar taxes imposed on it (in lieu of net income taxes)). The Rights Agent will also be entitled to reimbursement from Parent for all reasonable, necessary and documented out-of-pocket expenses paid or incurred by it in connection with the administration by the Rights Agent of its duties hereunder.</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Resignation and Removal; Appointment of Successor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6" w:lineRule="auto"/>
        <w:tabs>
          <w:tab w:leader="none" w:pos="135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may resign at any time by giving written notice thereof to Parent and the Holders specifying a date when such resignation will take effect, which notice will be sent at least sixty (60) days prior to the date so specified, but in no event shall such resignation become effective until a successor Rights Agent has been appointed and accepted such appointment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Parent has the right to remove Rights Agent at any time by a Board Resolution specifying a date when such removal will take effect. Notice of such removal will be given by Parent to Rights Agent, which notice will be sent at least sixty (60) days prior to the date so specified, but no such removal shall become effective until a successor Rights Agent has been appointed and accepted such appointment in accordance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74" w:lineRule="auto"/>
        <w:tabs>
          <w:tab w:leader="none" w:pos="1366"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Rights Agent provides notice of its intent to resign, is removed or becomes incapable of acting, Parent, by a Board Resolution, will promptly appoint a qualified successor Rights Agent in accordance with </w:t>
      </w:r>
      <w:r>
        <w:rPr>
          <w:rFonts w:ascii="Times New Roman" w:cs="Times New Roman" w:eastAsia="Times New Roman" w:hAnsi="Times New Roman"/>
          <w:sz w:val="17"/>
          <w:szCs w:val="17"/>
          <w:u w:val="single" w:color="auto"/>
          <w:color w:val="auto"/>
        </w:rPr>
        <w:t>Section 3.3(d)</w:t>
      </w:r>
      <w:r>
        <w:rPr>
          <w:rFonts w:ascii="Times New Roman" w:cs="Times New Roman" w:eastAsia="Times New Roman" w:hAnsi="Times New Roman"/>
          <w:sz w:val="17"/>
          <w:szCs w:val="17"/>
          <w:color w:val="auto"/>
        </w:rPr>
        <w:t xml:space="preserve"> and who may not be an Affiliate (including a director or officer) of Parent. Notwithstanding the foregoing, if Parent shall fail to make such appointment within a period of sixty (60)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in accordance with this </w:t>
      </w:r>
      <w:r>
        <w:rPr>
          <w:rFonts w:ascii="Times New Roman" w:cs="Times New Roman" w:eastAsia="Times New Roman" w:hAnsi="Times New Roman"/>
          <w:sz w:val="17"/>
          <w:szCs w:val="17"/>
          <w:u w:val="single" w:color="auto"/>
          <w:color w:val="auto"/>
        </w:rPr>
        <w:t>Section 3.3(b)</w:t>
      </w:r>
      <w:r>
        <w:rPr>
          <w:rFonts w:ascii="Times New Roman" w:cs="Times New Roman" w:eastAsia="Times New Roman" w:hAnsi="Times New Roman"/>
          <w:sz w:val="17"/>
          <w:szCs w:val="17"/>
          <w:color w:val="auto"/>
        </w:rPr>
        <w:t xml:space="preserve"> will, upon its acceptance of such appointment in accordance with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become the successor Rights Agent.</w:t>
      </w:r>
    </w:p>
    <w:p>
      <w:pPr>
        <w:spacing w:after="0" w:line="172" w:lineRule="exact"/>
        <w:rPr>
          <w:rFonts w:ascii="Times New Roman" w:cs="Times New Roman" w:eastAsia="Times New Roman" w:hAnsi="Times New Roman"/>
          <w:sz w:val="17"/>
          <w:szCs w:val="17"/>
          <w:color w:val="auto"/>
        </w:rPr>
      </w:pPr>
    </w:p>
    <w:p>
      <w:pPr>
        <w:ind w:left="120" w:right="220" w:firstLine="987"/>
        <w:spacing w:after="0" w:line="256" w:lineRule="auto"/>
        <w:tabs>
          <w:tab w:leader="none" w:pos="135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will give notice to each Holder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Parent fails to send such notice within ten (10) days after acceptance of appointment by a successor Rights Agent, the successor Rights Agent will cause the notice to be mailed at the expense of Parent. Failure to give any notice provided for in this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however, shall not affect the legality or validity of the resignation or removal of the Rights Agent or the appointment of the successor Rights Agent, as the case may be.</w:t>
      </w:r>
    </w:p>
    <w:p>
      <w:pPr>
        <w:spacing w:after="0" w:line="187"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66"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unless consented to in writing by the Requisite Holders, Parent shall not appoint as a successor Rights Agent any Person that is not a stock transfer agent of national reputation or the corporate trust department of a commercial bank.</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Acceptance of Appointment by Successor</w:t>
      </w:r>
      <w:r>
        <w:rPr>
          <w:rFonts w:ascii="Times New Roman" w:cs="Times New Roman" w:eastAsia="Times New Roman" w:hAnsi="Times New Roman"/>
          <w:sz w:val="18"/>
          <w:szCs w:val="18"/>
          <w:color w:val="auto"/>
        </w:rPr>
        <w:t>. Every successor Rights Agent appointed hereunder will execute, acknowledge and deliver to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Parent or the successor Rights Agent, the retiring Rights Agent will execute and deliver an instrument transferring to the successor Rights Agent all the rights, powers and trusts and duties of the retiring Rights Agent.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COVENANTS</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List of Holders</w:t>
      </w:r>
      <w:r>
        <w:rPr>
          <w:rFonts w:ascii="Times New Roman" w:cs="Times New Roman" w:eastAsia="Times New Roman" w:hAnsi="Times New Roman"/>
          <w:sz w:val="18"/>
          <w:szCs w:val="18"/>
          <w:color w:val="auto"/>
        </w:rPr>
        <w:t>. Parent will furnish or cause to be furnished to the Rights Agent in such form as Parent receives from the Parent’s transfer agent (or other agent performing similar services for the Parent) and in a form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20"/>
          </w:cols>
          <w:pgMar w:left="320" w:top="454" w:right="459" w:bottom="1440" w:gutter="0" w:footer="0" w:header="0"/>
        </w:sectPr>
      </w:pPr>
    </w:p>
    <w:bookmarkStart w:id="580" w:name="page581"/>
    <w:bookmarkEnd w:id="5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reasonably satisfactory to the Rights Agent, the names and addresses of the Holders within fifteen (15) Business Days after the Effective Time.</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Payment of CVR Payment Amounts</w:t>
      </w:r>
      <w:r>
        <w:rPr>
          <w:rFonts w:ascii="Times New Roman" w:cs="Times New Roman" w:eastAsia="Times New Roman" w:hAnsi="Times New Roman"/>
          <w:sz w:val="18"/>
          <w:szCs w:val="18"/>
          <w:color w:val="auto"/>
        </w:rPr>
        <w:t>. Parent will promptly deposit with the Rights Agent, for payment to each Holder, the applicable CVR Payment Amount, if any, prior to or on the applicable CVR Notice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89" w:lineRule="auto"/>
        <w:tabs>
          <w:tab w:leader="none" w:pos="1356" w:val="left"/>
        </w:tabs>
        <w:numPr>
          <w:ilvl w:val="0"/>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Closing and during the Legacy Product CVR Period, Parent shall, and it shall cause its Affiliates to, use Commercially Reasonable Efforts to enter into a Legacy Product Agreement. Neither Parent nor Obsidian shall, and they shall cause their Affiliates not to, take any action or forego taking any action for the primary purpose of delaying, preventing or minimizing the CVR Payment Amounts contemplated hereunder.</w:t>
      </w:r>
    </w:p>
    <w:p>
      <w:pPr>
        <w:spacing w:after="0" w:line="157" w:lineRule="exact"/>
        <w:rPr>
          <w:rFonts w:ascii="Times New Roman" w:cs="Times New Roman" w:eastAsia="Times New Roman" w:hAnsi="Times New Roman"/>
          <w:sz w:val="17"/>
          <w:szCs w:val="17"/>
          <w:color w:val="auto"/>
        </w:rPr>
      </w:pPr>
    </w:p>
    <w:p>
      <w:pPr>
        <w:ind w:left="120" w:right="140" w:firstLine="987"/>
        <w:spacing w:after="0" w:line="282" w:lineRule="auto"/>
        <w:tabs>
          <w:tab w:leader="none" w:pos="136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and for two (2) years thereafter, Parent shall, and it shall cause its Affiliates to, use Commercially Reasonable Efforts to continue to develop and seek regulatory approval for tilarginine.</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foregoing, Parent may appoint an advisor reasonably acceptable to the Requisite Holders to assist in (i) the marketing or sale of the Galera Legacy Assets, (ii) the performance of any obligations or enforcement of any rights under any agreement relating to the sale of the Galera Legacy Assets or (iii) the conversion of non-cash proceeds into Cash or Cash Equivalents.</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During the applicable CVR Period for each CVRs, Parent shall maintain (and shall cause the other Payment Obligors to maintain) true, complete and accurate books and records in sufficient detail to enable the Holders and their consultants, Independent Accountants (as defined below) or professional advisors to determine the amounts payable hereunder (including books and records relating to any CVR Product Agreement for such CVRs in sufficient detail to permit the Holders to confirm all CVR Payment Amounts in the applicable CVR Period).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Audit and Information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8" w:lineRule="auto"/>
        <w:tabs>
          <w:tab w:leader="none" w:pos="135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thirty (30) days after June 30 and December 31 each Calendar Year during the applicable CVR Period for each CVRs, Parent shall prepare and deliver to the Rights Agent a high-level written report summarizing (i) the performance of, and significant activity related to, the CVR Product Agreements (including status updates on negotiations related to potential Legacy Product Agreements not yet executed and the conduct of any material development and commercialization activities pertaining to the Legacy Products following the Closing Date) and (ii) any CVR Payment Amounts paid or payable (including expectations around upcoming payments and the timing thereof).</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during the term of this Agreement or the three (3)-year period following the date of the termination of this Agreement, upon reasonable advance written notice from the Requisite Holders, Parent shall permit an independent certified public accounting firm of nationally recognized standing selected by such Holders and reasonably acceptable to Parent (the “</w:t>
      </w:r>
      <w:r>
        <w:rPr>
          <w:rFonts w:ascii="Times New Roman" w:cs="Times New Roman" w:eastAsia="Times New Roman" w:hAnsi="Times New Roman"/>
          <w:sz w:val="18"/>
          <w:szCs w:val="18"/>
          <w:b w:val="1"/>
          <w:bCs w:val="1"/>
          <w:color w:val="auto"/>
        </w:rPr>
        <w:t>Independent Accountant</w:t>
      </w:r>
      <w:r>
        <w:rPr>
          <w:rFonts w:ascii="Times New Roman" w:cs="Times New Roman" w:eastAsia="Times New Roman" w:hAnsi="Times New Roman"/>
          <w:sz w:val="18"/>
          <w:szCs w:val="18"/>
          <w:color w:val="auto"/>
        </w:rPr>
        <w:t xml:space="preserve">”) to have access at reasonable times during normal business hours to the books and records of Parent and its Affiliates as may be reasonably necessary to evaluate and verify any of the Payment Obligor’s receipt, categorization and accuracy of payments received under any CVR Product Agreement and the CVR Payment Amounts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such Holders (and, if applicable, the Independent Accountant) enter into customary confidentiality agreements reasonably satisfactory to Parent with respect to the confidential information of Parent or its Affiliates to be furnished pursuant to this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and (y) such access does not unreasonably interfere with the conduct of the business of Parent or any of its Affiliates. The Independent Accountant shall act only as an expert and not as an arbitrator. The fees charged by the Independent Accountant shall be borne by such Holders, unless such audit identifies an aggregate underpayment by Parent of the CVR Payment Amounts owed to Holders by more than five percent (5%), in which case such fees shall be paid by Parent. The Independent Accountant shall provide</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B-11</w:t>
      </w:r>
    </w:p>
    <w:p>
      <w:pPr>
        <w:sectPr>
          <w:pgSz w:w="11900" w:h="16838" w:orient="portrait"/>
          <w:cols w:equalWidth="0" w:num="1">
            <w:col w:w="11060"/>
          </w:cols>
          <w:pgMar w:left="320" w:top="454" w:right="519" w:bottom="1440" w:gutter="0" w:footer="0" w:header="0"/>
        </w:sectPr>
      </w:pPr>
    </w:p>
    <w:bookmarkStart w:id="581" w:name="page582"/>
    <w:bookmarkEnd w:id="5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Parent with a copy of all disclosures made to such Holders. The decision of the Independent Accountant shall be final, conclusive and binding on Parent and the Holders, shall be nonappealable and shall not be subject to further review, absent manifest error. Parent shall promptly pay, or cause the Rights Agent to promptly pay, the Holders the amount of any underpayment identified in such audit, with each Holder receiving their proportionate share of such underpayment based on the number of CVRs held by such Holder as of the date such CVR Payment Amount was initially due, plus interest at the thirty (30) day U.S. dollar “prime rate” effective for the date such payment was due, as reported by Bloomberg, from when such CVR Payment Amount should have been paid, to the date of actual payment. An audit shall not be requested more frequently than once each calendar year and no Calendar Quarter shall be subject to more than one audit;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audit may be requested more than three (3) years following expiration of the CVR Period for the applicable CVRs.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AMENDMENTS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Amendments without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66" w:lineRule="auto"/>
        <w:tabs>
          <w:tab w:leader="none" w:pos="135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the consent of any Holders or the Rights Agent, Parent, when authorized by a Board Resolution, at any time and from time to time, may enter into one or more amendments hereto, to evidence any successor to or permitted assignee of Parent and the assumption by any such successor or permitted assignee of the covenants of Parent herein as provided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any Holders, Parent, when authorized by a Board Resolution, and the Rights Agent, in the Rights Agent’s sole and absolute discretion, at any time and from time to time, may enter into one or more amendments hereto, for any of the following purposes:</w:t>
      </w:r>
    </w:p>
    <w:p>
      <w:pPr>
        <w:spacing w:after="0" w:line="53" w:lineRule="exact"/>
        <w:rPr>
          <w:rFonts w:ascii="Times New Roman" w:cs="Times New Roman" w:eastAsia="Times New Roman" w:hAnsi="Times New Roman"/>
          <w:sz w:val="18"/>
          <w:szCs w:val="18"/>
          <w:color w:val="auto"/>
        </w:rPr>
      </w:pPr>
    </w:p>
    <w:p>
      <w:pPr>
        <w:ind w:left="120" w:firstLine="1428"/>
        <w:spacing w:after="0" w:line="282" w:lineRule="auto"/>
        <w:tabs>
          <w:tab w:leader="none" w:pos="1767"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evidence the succession of another Person as a successor Rights Agent in accordance with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the assumption by any successor of the covenants and obligations of the Rights Agent herein;</w:t>
      </w:r>
    </w:p>
    <w:p>
      <w:pPr>
        <w:spacing w:after="0" w:line="161" w:lineRule="exact"/>
        <w:rPr>
          <w:rFonts w:ascii="Times New Roman" w:cs="Times New Roman" w:eastAsia="Times New Roman" w:hAnsi="Times New Roman"/>
          <w:sz w:val="18"/>
          <w:szCs w:val="18"/>
          <w:color w:val="auto"/>
        </w:rPr>
      </w:pPr>
    </w:p>
    <w:p>
      <w:pPr>
        <w:ind w:left="120" w:right="280" w:firstLine="1428"/>
        <w:spacing w:after="0" w:line="312" w:lineRule="auto"/>
        <w:tabs>
          <w:tab w:leader="none" w:pos="1817" w:val="left"/>
        </w:tabs>
        <w:numPr>
          <w:ilvl w:val="1"/>
          <w:numId w:val="4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add to the covenants of Parent such further covenants, restrictions, conditions or provisions as Parent and the Rights Agent will consider to be for the protection of the Holders;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such provisions do not adversely affect the interests of the Holders;</w:t>
      </w:r>
    </w:p>
    <w:p>
      <w:pPr>
        <w:spacing w:after="0" w:line="139" w:lineRule="exact"/>
        <w:rPr>
          <w:rFonts w:ascii="Times New Roman" w:cs="Times New Roman" w:eastAsia="Times New Roman" w:hAnsi="Times New Roman"/>
          <w:sz w:val="17"/>
          <w:szCs w:val="17"/>
          <w:color w:val="auto"/>
        </w:rPr>
      </w:pPr>
    </w:p>
    <w:p>
      <w:pPr>
        <w:ind w:left="120" w:right="300" w:firstLine="1428"/>
        <w:spacing w:after="0" w:line="266" w:lineRule="auto"/>
        <w:tabs>
          <w:tab w:leader="none" w:pos="1867"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w:t>
      </w:r>
    </w:p>
    <w:p>
      <w:pPr>
        <w:spacing w:after="0" w:line="175" w:lineRule="exact"/>
        <w:rPr>
          <w:rFonts w:ascii="Times New Roman" w:cs="Times New Roman" w:eastAsia="Times New Roman" w:hAnsi="Times New Roman"/>
          <w:sz w:val="18"/>
          <w:szCs w:val="18"/>
          <w:color w:val="auto"/>
        </w:rPr>
      </w:pPr>
    </w:p>
    <w:p>
      <w:pPr>
        <w:jc w:val="both"/>
        <w:ind w:left="120" w:firstLine="1428"/>
        <w:spacing w:after="0" w:line="266" w:lineRule="auto"/>
        <w:tabs>
          <w:tab w:leader="none" w:pos="1857"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may be necessary or appropriate to ensure that the CVRs are not subject to registration under the Securities Act, the Exchange Act or any applicable state securities or “blue sky”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such provisions do not adversely affect the interests of the Holders; or</w:t>
      </w:r>
    </w:p>
    <w:p>
      <w:pPr>
        <w:spacing w:after="0" w:line="175" w:lineRule="exact"/>
        <w:rPr>
          <w:rFonts w:ascii="Times New Roman" w:cs="Times New Roman" w:eastAsia="Times New Roman" w:hAnsi="Times New Roman"/>
          <w:sz w:val="18"/>
          <w:szCs w:val="18"/>
          <w:color w:val="auto"/>
        </w:rPr>
      </w:pPr>
    </w:p>
    <w:p>
      <w:pPr>
        <w:ind w:left="120" w:right="160" w:firstLine="1428"/>
        <w:spacing w:after="0" w:line="282" w:lineRule="auto"/>
        <w:tabs>
          <w:tab w:leader="none" w:pos="1807"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hereto for the purpose of adding, eliminating or changing any provisions of this Agreement, unless such addition, elimination or change is adverse to the interests of the Holders.</w:t>
      </w:r>
    </w:p>
    <w:p>
      <w:pPr>
        <w:spacing w:after="0" w:line="161" w:lineRule="exact"/>
        <w:rPr>
          <w:rFonts w:ascii="Times New Roman" w:cs="Times New Roman" w:eastAsia="Times New Roman" w:hAnsi="Times New Roman"/>
          <w:sz w:val="18"/>
          <w:szCs w:val="18"/>
          <w:color w:val="auto"/>
        </w:rPr>
      </w:pPr>
    </w:p>
    <w:p>
      <w:pPr>
        <w:ind w:left="120" w:right="220" w:firstLine="987"/>
        <w:spacing w:after="0" w:line="266" w:lineRule="auto"/>
        <w:tabs>
          <w:tab w:leader="none" w:pos="135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Parent and the Rights Agent of any amendment pursuant to the provisions of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Parent will mail (or cause the Rights Agent to mail) a notice thereof by first class mail to the Holders at their addresses as they appear on the CVR Register, setting forth in general terms the substance of such amendment.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Amendments 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82" w:lineRule="auto"/>
        <w:tabs>
          <w:tab w:leader="none" w:pos="135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(which amendments pursuant to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may be made without the consent of the Holders), with the consent of the Requisite Holders, whether evidenced in writing or taken at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120"/>
          </w:cols>
          <w:pgMar w:left="320" w:top="454" w:right="459" w:bottom="1440" w:gutter="0" w:footer="0" w:header="0"/>
        </w:sectPr>
      </w:pPr>
    </w:p>
    <w:bookmarkStart w:id="582" w:name="page583"/>
    <w:bookmarkEnd w:id="5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meeting of the Holders, Parent, when authorized by a Board Resolution, and the Rights Agent may enter into one or more amendments hereto for the purpose of adding, eliminating or changing any provisions of this Agreement, even if such addition, elimination or change is adverse to the interest of the Holders.</w:t>
      </w:r>
    </w:p>
    <w:p>
      <w:pPr>
        <w:spacing w:after="0" w:line="176" w:lineRule="exact"/>
        <w:rPr>
          <w:sz w:val="20"/>
          <w:szCs w:val="20"/>
          <w:color w:val="auto"/>
        </w:rPr>
      </w:pPr>
    </w:p>
    <w:p>
      <w:pPr>
        <w:ind w:left="120" w:right="200" w:firstLine="987"/>
        <w:spacing w:after="0" w:line="266" w:lineRule="auto"/>
        <w:tabs>
          <w:tab w:leader="none" w:pos="136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execution by Parent and the Rights Agent of any amendment pursuant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Parent will mail (or cause the Rights Agent to mail) a notice thereof by first class mail to the Holders at their addresses as they appear on the CVR Register, setting forth in general terms the substance of such amendment.</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Execution of Amendments</w:t>
      </w:r>
      <w:r>
        <w:rPr>
          <w:rFonts w:ascii="Times New Roman" w:cs="Times New Roman" w:eastAsia="Times New Roman" w:hAnsi="Times New Roman"/>
          <w:sz w:val="18"/>
          <w:szCs w:val="18"/>
          <w:color w:val="auto"/>
        </w:rPr>
        <w:t xml:space="preserve">. Upon the execution of any amendment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this Agreement will be modified in accordance therewith, such amendment will form a part of this Agreement for all purposes and every Holder will be bound thereby. As a condition precedent to the execution of any supplement or amendment to this Agreement, the Parent shall deliver the Rights Agent a certificate from an appropriate officer of the Parent which states that the proposed supplement or amendment is in compliance with the terms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and the Rights Agent shall execute such supplement or amendment. No supplement or amendment to this Agreement shall be effective unless duly executed by the Rights Agent.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Effect of Amendments</w:t>
      </w:r>
      <w:r>
        <w:rPr>
          <w:rFonts w:ascii="Times New Roman" w:cs="Times New Roman" w:eastAsia="Times New Roman" w:hAnsi="Times New Roman"/>
          <w:sz w:val="18"/>
          <w:szCs w:val="18"/>
          <w:color w:val="auto"/>
        </w:rPr>
        <w:t xml:space="preserve">. Upon the execution of any amendment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this Agreement will be modified in accordance therewith, such amendment will form a part of this Agreement for all purposes and every Holder will be bound thereby.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REMEDIES OF THE HOLDERS; OTHER CONSENT REQUIREMENTS</w:t>
      </w:r>
    </w:p>
    <w:p>
      <w:pPr>
        <w:spacing w:after="0" w:line="117"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a CVR means each one of the following events which shall have occurred and be continuing (whatever the reason for such Event of Default and whether it shall be voluntary or involuntary or be effected by operation of applicable Law or pursuant to any judgment, decree or order of any court or any order, rule or regulation of any Governmental Authority):</w:t>
      </w:r>
    </w:p>
    <w:p>
      <w:pPr>
        <w:spacing w:after="0" w:line="175" w:lineRule="exact"/>
        <w:rPr>
          <w:sz w:val="20"/>
          <w:szCs w:val="20"/>
          <w:color w:val="auto"/>
        </w:rPr>
      </w:pPr>
    </w:p>
    <w:p>
      <w:pPr>
        <w:ind w:left="120" w:right="440" w:firstLine="987"/>
        <w:spacing w:after="0" w:line="282" w:lineRule="auto"/>
        <w:tabs>
          <w:tab w:leader="none" w:pos="135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in the performance by Parent of its obligation to transfer cash equal to the applicable CVR Payment Amount to the Rights Agent in accordance with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jc w:val="both"/>
        <w:ind w:left="120" w:right="200" w:firstLine="987"/>
        <w:spacing w:after="0" w:line="266" w:lineRule="auto"/>
        <w:tabs>
          <w:tab w:leader="none" w:pos="1366"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material default in the performance, or breach in any material respect, of any covenant or warranty of Parent hereunder (other than a default in whose performance or whose breach is elsewhere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specifically dealt with), and continuance of such default or breach for a period of ninety (90) days after a written notice specifying such default or breach and requiring it to be remedied is given by the Requisite 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80" w:firstLine="987"/>
        <w:spacing w:after="0" w:line="258" w:lineRule="auto"/>
        <w:tabs>
          <w:tab w:leader="none" w:pos="135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has occurred and is continuing (i.e., has not been cured or waived), then, and in each and every such case, the Rights Agent, upon the written request of the Requisite Holders, shall commence a legal proceeding to protect the rights of the Holders, including to seek damages or obtain payment for any amounts then due and payable;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Agent shall provide to Parent and the Holders reasonably concurrent notice of such commencement. For the avoidance of doubt, any legal proceeding commenced in accordance with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be subject to the provisions of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 Event of Default has occurred and is continuing (i.e., has not been cured or waived), the Rights Agent may in its discretion proceed to protect and enforce the rights vested in it by this Agreement by commencing a legal proceeding;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Rights Agent shall provide to Parent and the Holders reasonably concurrent notice of such commencement. For the avoidance of doubt, any legal proceeding commenced in accordance with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be subject to the provisions of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B-13</w:t>
      </w:r>
    </w:p>
    <w:p>
      <w:pPr>
        <w:sectPr>
          <w:pgSz w:w="11900" w:h="16838" w:orient="portrait"/>
          <w:cols w:equalWidth="0" w:num="1">
            <w:col w:w="11120"/>
          </w:cols>
          <w:pgMar w:left="320" w:top="454" w:right="45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OTHER PROVISIONS OF GENERAL APPLICATION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Notices to Rights Agent and Parent</w:t>
      </w:r>
      <w:r>
        <w:rPr>
          <w:rFonts w:ascii="Times New Roman" w:cs="Times New Roman" w:eastAsia="Times New Roman" w:hAnsi="Times New Roman"/>
          <w:sz w:val="18"/>
          <w:szCs w:val="18"/>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5:00 p.m. Eastern Time, otherwise on the next succeeding Business Day, in each case to the intended recipient as set forth below:</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the Rights Agent, to it at:</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Email Address: [•]</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Parent, to it at:</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Email Address: [•]</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Email Address: [•]</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to Obsidian, to it at:</w:t>
      </w:r>
    </w:p>
    <w:p>
      <w:pPr>
        <w:spacing w:after="0" w:line="1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Email Address: [•]</w:t>
      </w:r>
    </w:p>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Address: [•]</w:t>
      </w:r>
    </w:p>
    <w:p>
      <w:pPr>
        <w:spacing w:after="0" w:line="20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Rights Agent, Obsidian or Parent may specify a different address or email address by giving notice to each other in accordance with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to the Holders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 to Holders</w:t>
      </w:r>
      <w:r>
        <w:rPr>
          <w:rFonts w:ascii="Times New Roman" w:cs="Times New Roman" w:eastAsia="Times New Roman" w:hAnsi="Times New Roman"/>
          <w:sz w:val="18"/>
          <w:szCs w:val="18"/>
          <w:color w:val="auto"/>
        </w:rPr>
        <w:t>. Where this Agreement provides for notice to Holders, such notice will be sufficiently given (unless otherwise herein expressly provided) if in writing and mailed, first-class postage prepaid, to each Holder affected by such event, at the Holder’s address as it appears in the CVR Register, not later than the latest</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B-14</w:t>
      </w:r>
    </w:p>
    <w:p>
      <w:pPr>
        <w:sectPr>
          <w:pgSz w:w="11900" w:h="16838" w:orient="portrait"/>
          <w:cols w:equalWidth="0" w:num="1">
            <w:col w:w="10920"/>
          </w:cols>
          <w:pgMar w:left="320" w:top="454" w:right="65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Parent may assign, in its sole discretion and without the consent of any other party, any or all of its rights, interests and obligations hereunder to one or more direct or indirect wholly-owned subsidiaries of Parent for so long as they remain wholly owned subsidiaries of Parent or to an assignee of all of Parent’s (on a consolidated basis) rights under any CVR Product Agreement (each, an “</w:t>
      </w:r>
      <w:r>
        <w:rPr>
          <w:rFonts w:ascii="Times New Roman" w:cs="Times New Roman" w:eastAsia="Times New Roman" w:hAnsi="Times New Roman"/>
          <w:sz w:val="18"/>
          <w:szCs w:val="18"/>
          <w:b w:val="1"/>
          <w:bCs w:val="1"/>
          <w:color w:val="auto"/>
        </w:rPr>
        <w:t>Assignee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remain liable for the performance by any such Assignee of, and shall not be relieved of, its obligations, duties and covenants hereunder. Any such Assignee may thereafter assign, in its sole discretion and without the consent of any other party, any or all of its rights, interests and obligations hereunder to one or more additional Assignees satisfying the conditions of the preceding sentence;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shall remain liable for the performance by any such Assignee of, and shall not be relieved of, its obligations, duties and covenants hereunder. This Agreement will be binding upon, inure to the benefit of and be enforceable by the parties and their respective successors and permitted assignees. Parent (or any of its successors) shall not consolidate or merge with or into any other Person (other than a merger or consolidation where Parent is the surviving corporation) other than pursuant to a Change of Control of Parent and provided that Parent shall cause the acquirer to assume Parent’s obligations, duties and covenants under this Agreement. Except as otherwise permitted herein, Parent may not assign this Agreement without the prior written consent of the Requisite Holders. Any attempted assignment of this Agreement or any of such rights in violation of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void and of no effect. The Rights Agent may not assign this Agreement without Parent’s written consent.</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Benefits of Agreement</w:t>
      </w:r>
      <w:r>
        <w:rPr>
          <w:rFonts w:ascii="Times New Roman" w:cs="Times New Roman" w:eastAsia="Times New Roman" w:hAnsi="Times New Roman"/>
          <w:sz w:val="18"/>
          <w:szCs w:val="18"/>
          <w:color w:val="auto"/>
        </w:rPr>
        <w:t>. Parent and the Rights Agent hereby agree that the respective covenants and agreements set forth herein are intended to be for the benefit of, and shall be enforceable by, the Holders, acting by the written consent of the Requisite Holders, all of whom are intended third party beneficiaries hereof. Nothing in this Agreement, express or implied, will give to any Person (other than the Rights Agent, Parent, Parent’s successors and permitted assignees, and the Holders and their respective successors and permitted assignees) any benefit or any legal or equitable right, remedy or claim under this Agreement or under any covenant or provision herein contained, all such covenants and provisions being for the sole benefit of the Rights Agent, Parent, Parent’s successors and permitted assignees, and the Holders and their respective successors and permitted assignees. The rights of Holders are limited to those expressly provided in this Agreement.</w:t>
      </w:r>
    </w:p>
    <w:p>
      <w:pPr>
        <w:spacing w:after="0" w:line="189"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xml:space="preserve">. Nothing in this Agreement, express or implied, shall give to any Person (other than the Rights Agent, Parent, Parent’s successors and Assignees, each of whom is intended to be, and is, a third party beneficiary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Holders shall be considered third party beneficiaries solely to the extent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any benefit or any legal or equitable right, remedy or claim under this Agreement or under any covenant or provision herein contained, all such covenants and provisions being for the sole benefit of the Rights Agent, Parent, Parent’s successors and Assignees, and the Holders (solely to the extent set forth in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The Holders of CVRs shall have no rights except the contractual rights as are expressly set forth in this Agreement acting through the Rights Agent and subject to the provisions of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above unless</w:t>
      </w:r>
    </w:p>
    <w:p>
      <w:pPr>
        <w:spacing w:after="0" w:line="5" w:lineRule="exact"/>
        <w:rPr>
          <w:sz w:val="20"/>
          <w:szCs w:val="20"/>
          <w:color w:val="auto"/>
        </w:rPr>
      </w:pPr>
    </w:p>
    <w:p>
      <w:pPr>
        <w:ind w:left="120" w:right="20" w:hanging="4"/>
        <w:spacing w:after="0" w:line="251" w:lineRule="auto"/>
        <w:tabs>
          <w:tab w:leader="none" w:pos="33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Holder previously shall have given to the Rights Agent written notice of default, (ii) the Requisite Holders shall have made written request upon the Rights Agent to commence such proceeding in its own name as Rights Agent hereunder and shall have offered to the Rights Agent such reasonable indemnity as it may require against the costs, expenses and liabilities to be incurred therein or thereby and (iii) the Rights Agent for fifteen (15) days after its receipt of such notice, request and offer of indemnity shall have failed to commence any such proceeding and no direction inconsistent with such written request shall have been given to the Rights Agent pursuant to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Notwithstanding any other provision in this Agreement, the right of any Holder of any CVR to receive payment of the amounts that a CVR Payment Notice indicates are payable in respect of such CVR on or after the applicable due date, or to commence proceedings for the enforcement of any such payment on or after such due date, shall not be impaired or affected without the consent of such Holder. Notwithstanding any other provision in this Agreement, in the event of an insolvency proceeding of the Parent, individual Holders shall be entitled to assert claims in such insolvency proceeding and take related actions in pursuit of such claims with respect to any payment that may be claimed by or on behalf of the Parent or by any creditor of the Parent.</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B-15</w:t>
      </w:r>
    </w:p>
    <w:p>
      <w:pPr>
        <w:sectPr>
          <w:pgSz w:w="11900" w:h="16838" w:orient="portrait"/>
          <w:cols w:equalWidth="0" w:num="1">
            <w:col w:w="11120"/>
          </w:cols>
          <w:pgMar w:left="320" w:top="454" w:right="459" w:bottom="1440" w:gutter="0" w:footer="0" w:header="0"/>
        </w:sectPr>
      </w:pPr>
    </w:p>
    <w:bookmarkStart w:id="585" w:name="page586"/>
    <w:bookmarkEnd w:id="5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any Holder may at any time agree to renounce, in whole or in part, whether or not for consideration, such Holder’s rights under this Agreement by written notice to the Rights Agent and Parent, which notice, if given, shall be irrevocable, and Parent may, in its sole discretion, at any time offer consideration to Holders in exchange for their agreement to irrevocably renounce their rights, in whole or in part, hereunder.</w:t>
      </w:r>
    </w:p>
    <w:p>
      <w:pPr>
        <w:spacing w:after="0" w:line="180"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THE INTERNAL LAWS OF THE STATE OF DELAWARE APPLICABLE TO AGREEMENTS MADE AND TO BE PERFORMED ENTIRELY WITHIN SUCH STATE, WITHOUT REGARDS TO THE CONFLICTS OF LAW PRINCIPLES OF SUCH STATE,.</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each of the Parties hereto (a) consents to submit itself to the personal and exclusive jurisdiction of any Delaware state court or any federal court located in State of Delaware in the event any dispute arises out of this Agreement, (b) agrees that it will not attempt to deny or defeat such personal jurisdiction by motion or other request for leave from any such court, (c) agrees that it will not bring any action relating to this Agreement in any court other than any Delaware state court or any federal court located in State of Delaware and (d) waives any right to trial by jury with respect to any action related to or arising out of this Agreement.</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Sections 2.4(f)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this Agreement will be terminated and of no force or effect, the parties hereto will have no liability hereunder, and no payments will be required to be made, upon the earlier to occur of (a) the termination of the Merger Agreement in accordance with its terms and (b) forty-five (45) days after the applicable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affect or limit the obligations of Parent or the Rights Agent to pay or otherwise with respect to any CVR Payment Amount payable during the applicable CVR Period, and the provisions of this Agreement applicable thereto shall survive any expiration or termination of this Agreement). In no event will any CVR Payment Amount become payable for any consideration received by the Parent, Obsidian, Galera or any of its other Affiliates, under a CVR Product Agreement after the applicable Expiration Date and any such consideration shall not be Gross Proceeds under this Agreement. Notwithstanding the foregoing, no such termination shall affect any rights or obligations accrued prior to the effective date of such termination or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which shall survive the termination of this Agreement, or the resignation, replacement or removal of the Rights Agent.</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Entire Agreement; Counterparts; Exchanges by Electronic Transmission</w:t>
      </w:r>
      <w:r>
        <w:rPr>
          <w:rFonts w:ascii="Times New Roman" w:cs="Times New Roman" w:eastAsia="Times New Roman" w:hAnsi="Times New Roman"/>
          <w:sz w:val="18"/>
          <w:szCs w:val="18"/>
          <w:color w:val="auto"/>
        </w:rPr>
        <w:t>. This Agreement, the Merger Agreement, and the other schedules, exhibits, certificates, instruments and agreements referred to in this Agreement and the Merger Agreement constitute the entire agreement and supersede all prior agreements and understandings, both written and oral, among or between any of the parties hereto and thereto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B-16</w:t>
      </w:r>
    </w:p>
    <w:p>
      <w:pPr>
        <w:sectPr>
          <w:pgSz w:w="11900" w:h="16838" w:orient="portrait"/>
          <w:cols w:equalWidth="0" w:num="1">
            <w:col w:w="11120"/>
          </w:cols>
          <w:pgMar w:left="320" w:top="454" w:right="45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caused this Agreement to be executed on its behalf by its duly authorized officers as of the day and year first above written.</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GAZELLE PARENT,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OBSIDIAN THERAPEUTICS, INC.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1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 Page to Contingent Value Rights Agreement]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B-17</w:t>
      </w:r>
    </w:p>
    <w:p>
      <w:pPr>
        <w:sectPr>
          <w:pgSz w:w="11900" w:h="16838" w:orient="portrait"/>
          <w:cols w:equalWidth="0" w:num="1">
            <w:col w:w="11020"/>
          </w:cols>
          <w:pgMar w:left="320" w:top="454" w:right="559" w:bottom="1440" w:gutter="0" w:footer="0" w:header="0"/>
        </w:sectPr>
      </w:pPr>
    </w:p>
    <w:bookmarkStart w:id="587" w:name="page588"/>
    <w:bookmarkEnd w:id="5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173990</wp:posOffset>
            </wp:positionV>
            <wp:extent cx="1903095" cy="3943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9030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 Lindenwood Drive, Suite 225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J. Mel Sorensen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225" w:lineRule="exact"/>
        <w:rPr>
          <w:sz w:val="20"/>
          <w:szCs w:val="20"/>
          <w:color w:val="auto"/>
        </w:rPr>
      </w:pPr>
    </w:p>
    <w:p>
      <w:pPr>
        <w:ind w:left="120" w:right="100"/>
        <w:spacing w:after="0" w:line="252" w:lineRule="auto"/>
        <w:rPr>
          <w:sz w:val="20"/>
          <w:szCs w:val="20"/>
          <w:color w:val="auto"/>
        </w:rPr>
      </w:pPr>
      <w:r>
        <w:rPr>
          <w:rFonts w:ascii="Times New Roman" w:cs="Times New Roman" w:eastAsia="Times New Roman" w:hAnsi="Times New Roman"/>
          <w:sz w:val="18"/>
          <w:szCs w:val="18"/>
          <w:color w:val="auto"/>
        </w:rPr>
        <w:t>We have been advised that Galera Therapeutics Inc., a Delaware corporation (“Galera” or “Gazelle”), proposes to enter into an Agreement and Plan of Merger (the “Agreement”), by and among Galera, Obsidian Therapeutics, Inc., a Delaware Corporation (“Obsidian” or “Onyx”), Gazelle Parent, Inc., a Delaware Corporation (“Parent”), Onyx MergerSub, Inc., a Delaware corporation and a direct, wholly owned subsidiary of Parent (“Onyx Merger Sub”), and Gazelle Merger Subsidiary, Inc., a Delaware corporation and a direct, wholly owned subsidiary of Parent (“Gazelle Merger Sub”). Upon the terms and subject to the conditions set forth in the Agreement, Onyx and Parent intend, upon the terms and subject to the conditions set forth in the Agreement and in accordance with Delaware law, to effect a merger of Onyx Merger Sub with and into Onyx (the “Onyx Merger”). Upon consummation of the Onyx Merger, Onyx Merger Sub will cease to exist and Onyx will become a direct wholly owned Subsidiary of Parent. Upon the terms and subject to the conditions set forth in the Agreement, Gazelle and Parent intend, upon the terms and subject to the conditions set forth in the Agreement and in accordance with Delaware law, to effect a merger of Gazelle Merger Sub with and into Gazelle (the “Gazelle Merger” and together with the Onyx Merger, the “Mergers”) as soon as reasonably practicable following the Obsidian Effective Time. Upon consummation of the Gazelle Merger, Gazelle Merger Sub will cease to exist, and Gazelle will become a direct wholly owned Subsidiary of Parent. Upon the terms and subject to the conditions set forth in the Agreement, Onyx and Gazelle intend to effect a strategic combination of their businesses in accordance with the Agreement and Delaware law whereby Parent shall act as the parent company for Obsidian and Galera. Capitalized terms used but not defined in our Opinion have the meanings assigned in the Agreement.</w:t>
      </w:r>
    </w:p>
    <w:p>
      <w:pPr>
        <w:spacing w:after="0" w:line="197"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 Agreement also contemplates that concurrently with the execution and delivery of the Agreement, certain investors will execute a Subscription Agreement representing an aggregate commitment of $350 million pursuant to which such Persons will agree to purchase shares of Galera Series C Preferred Stock immediately prior to the Closing (as defined in the Agreement) (the “Concurrent PIPE Financing”).</w:t>
      </w:r>
    </w:p>
    <w:p>
      <w:pPr>
        <w:spacing w:after="0" w:line="176"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For purposes of rendering our Opinion we have, with your consent, assumed that (i) prior to the closing of the Mergers, Gazelle will receive approximately $350 million in proceeds from the Concurrent PIPE Financing, (ii) at the Galera Effective Time, each share of Galera Common Stock outstanding shall be converted to the right to receive a number of shares of Parent Common Stock determined using the Galera Exchange Ratio, (iii) at the Obsidian Effective Time, each share of Obsidian Common Stock outstanding shall be converted to the right to receive a number of shares of Parent Common Stock determined using the Obsidian Exchange Ratio, (iv) for the purpose of its Opinion, Lucid has assumed the Exchange Ratio to be comprised of the Galera Exchange Ratio and the Obsidian Exchange Ratio, (v) Lucid, with the approval of Gazelle and its advisors, understood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LUCID CAPITAL MARKETS, LLC</w:t>
      </w:r>
    </w:p>
    <w:p>
      <w:pPr>
        <w:jc w:val="center"/>
        <w:ind w:right="-119"/>
        <w:spacing w:after="0" w:line="199" w:lineRule="auto"/>
        <w:rPr>
          <w:sz w:val="20"/>
          <w:szCs w:val="20"/>
          <w:color w:val="auto"/>
        </w:rPr>
      </w:pPr>
      <w:r>
        <w:rPr>
          <w:rFonts w:ascii="Times New Roman" w:cs="Times New Roman" w:eastAsia="Times New Roman" w:hAnsi="Times New Roman"/>
          <w:sz w:val="18"/>
          <w:szCs w:val="18"/>
          <w:color w:val="auto"/>
        </w:rPr>
        <w:t>570 Lexington Ave.,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140"/>
          </w:cols>
          <w:pgMar w:left="320" w:top="454" w:right="439" w:bottom="1440" w:gutter="0" w:footer="0" w:header="0"/>
        </w:sectPr>
      </w:pPr>
    </w:p>
    <w:bookmarkStart w:id="588" w:name="page589"/>
    <w:bookmarkEnd w:id="5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2 of 4</w:t>
      </w:r>
    </w:p>
    <w:p>
      <w:pPr>
        <w:spacing w:after="0" w:line="1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Ratio would be determined post-signing and utilized the implied Exchange Ratio set forth in its presentation (the “Exchange Ratio”) and</w:t>
      </w:r>
    </w:p>
    <w:p>
      <w:pPr>
        <w:spacing w:after="0" w:line="27" w:lineRule="exact"/>
        <w:rPr>
          <w:sz w:val="20"/>
          <w:szCs w:val="20"/>
          <w:color w:val="auto"/>
        </w:rPr>
      </w:pPr>
    </w:p>
    <w:p>
      <w:pPr>
        <w:ind w:left="120" w:hanging="4"/>
        <w:spacing w:after="0" w:line="253" w:lineRule="auto"/>
        <w:tabs>
          <w:tab w:leader="none" w:pos="42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Mergers, former Galera securityholders (other than investors in the Concurrent PIPE Financing, former Obsidian securityholders and investors in the Concurrent PIPE Financing (assuming proceeds from the Concurrent PIPE Financing of $350 million)) will own approximately 1.8%, 53.2% and 45.0% of the outstanding shares of Parent Common Stock, respectively, in each case, calculated on a fully diluted basis, using the treasury stock method.</w:t>
      </w:r>
    </w:p>
    <w:p>
      <w:pPr>
        <w:spacing w:after="0" w:line="18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We have, with your consent, relied upon the assumption that all information provided to us by Galera and Obsidian is accurate and complete in all material respects. We expressly disclaim any undertaking or obligation to advise any person of any change in any fact or matter affecting our Opinion of which we become aware after the date hereof. We have assumed there were no material changes in the assets, liabilities, financial condition, results of operations, business or prospects of Galera or Obsidian since the date of the last financial statements made available to us. We have not obtained any independent evaluations, valuations or appraisals of the assets or liabilities of Galera or Obsidian, nor have we been furnished with such materials. In addition, we have not evaluated the solvency or fair value of Galera or Obsidian under any state or federal laws relating to bankruptcy, insolvency or similar matters.</w:t>
      </w:r>
    </w:p>
    <w:p>
      <w:pPr>
        <w:spacing w:after="0" w:line="189"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Our Opinion does not address any legal, regulatory, tax or accounting matters related to the Mergers, as to which we have assumed that Galera and the Board of Directors have received such advice from legal, tax and accounting advisors as each has determined appropriate. Our Opinion addresses only the fairness from a financial point of view of the Exchange Ratio as set forth in the Agreement to the holders of Galera Common Stock.</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express no view as to any other aspect or implication of the Mergers or any other agreement or arrangement entered into in connection with the Mergers. Our Opinion is necessarily based upon economic and market conditions and other circumstances as they exist and can be evaluated by us on the date hereof. It should be understood that although subsequent developments may affect our Opinion, we do not have any obligation to update, revise or reaffirm our Opinion and we expressly disclaim any responsibility to do so.</w:t>
      </w:r>
    </w:p>
    <w:p>
      <w:pPr>
        <w:spacing w:after="0" w:line="180"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have not considered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Securities and Exchange Commission (the “SEC”), the Financial Accounting Standards Board, or any similar foreign regulatory body or board.</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In your capacity as members of the Board of Directors of Galera (the “Board of Directors”), you have requested our opinion (our “Opinion”) as to the fairness, from a financial point of view and as of the date hereof, of the Exchange Ratio as set forth in the Agreement to the holders of Galera Common Stock.</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In connection with our Opinion, we took into account an assessment of general economic, market and financial conditions as well as our experience in connection with similar transactions and securities valuations generally and, among other things:</w:t>
      </w:r>
    </w:p>
    <w:p>
      <w:pPr>
        <w:spacing w:after="0" w:line="67" w:lineRule="exact"/>
        <w:rPr>
          <w:sz w:val="20"/>
          <w:szCs w:val="20"/>
          <w:color w:val="auto"/>
        </w:rPr>
      </w:pPr>
    </w:p>
    <w:p>
      <w:pPr>
        <w:ind w:left="1080" w:hanging="424"/>
        <w:spacing w:after="0"/>
        <w:tabs>
          <w:tab w:leader="none" w:pos="10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 draft of the Merger Agreement dated April 13, 2026;</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publicly available financial and other information for each of Galera and Obsidian;</w:t>
      </w:r>
    </w:p>
    <w:p>
      <w:pPr>
        <w:spacing w:after="0" w:line="1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LUCID CAPITAL MARKETS, LLC</w:t>
      </w:r>
    </w:p>
    <w:p>
      <w:pPr>
        <w:jc w:val="center"/>
        <w:ind w:right="-119"/>
        <w:spacing w:after="0" w:line="199" w:lineRule="auto"/>
        <w:rPr>
          <w:sz w:val="20"/>
          <w:szCs w:val="20"/>
          <w:color w:val="auto"/>
        </w:rPr>
      </w:pPr>
      <w:r>
        <w:rPr>
          <w:rFonts w:ascii="Times New Roman" w:cs="Times New Roman" w:eastAsia="Times New Roman" w:hAnsi="Times New Roman"/>
          <w:sz w:val="18"/>
          <w:szCs w:val="18"/>
          <w:color w:val="auto"/>
        </w:rPr>
        <w:t>570 Lexington Ave.,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20"/>
          </w:cols>
          <w:pgMar w:left="320" w:top="454" w:right="459" w:bottom="1440" w:gutter="0" w:footer="0" w:header="0"/>
        </w:sectPr>
      </w:pPr>
    </w:p>
    <w:bookmarkStart w:id="589" w:name="page590"/>
    <w:bookmarkEnd w:id="5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3 of 4</w:t>
      </w:r>
    </w:p>
    <w:p>
      <w:pPr>
        <w:spacing w:after="0" w:line="139" w:lineRule="exact"/>
        <w:rPr>
          <w:sz w:val="20"/>
          <w:szCs w:val="20"/>
          <w:color w:val="auto"/>
        </w:rPr>
      </w:pPr>
    </w:p>
    <w:p>
      <w:pPr>
        <w:ind w:left="1080" w:right="520" w:hanging="424"/>
        <w:spacing w:after="0" w:line="282" w:lineRule="auto"/>
        <w:tabs>
          <w:tab w:leader="none" w:pos="10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certain members of the management of Galera the historical and current business operations, financial condition and prospects of Galera and Obsidian;</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operating results of Obsidian as compared to operating results and the reported price and trading histories of certain publicly traded companies that Lucid deemed relevant;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financial terms of the Agreement as compared to the publicly available financial terms of certain selected business combinations that Lucid deemed relevant;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certain financial terms of completed initial public offerings for certain companies that Lucid deemed relevant;</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analyzed such other information and such other factors, and conducted such other financial studies, analyses and investigations, as Lucid deemed relevant for purposes of this Opinion.</w:t>
      </w:r>
    </w:p>
    <w:p>
      <w:pPr>
        <w:spacing w:after="0" w:line="162"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For purposes of rendering our Opinion we have assumed, with your consent, that except as would not be in any way meaningful to our analysis: (i) the final form of the Agreement will not differ from the draft Agreement that we have reviewed; (ii) the representations and warranties of each party contained in the Agreement are true and correct in all respects; (iii) each party will perform all of the covenants and agreements required to be performed by such party under the Agreement; (iv) the implied Exchange Ratio as used in the presentation is not materially different from the actual Exchange Ratio for the transactions and (v) the transactions contemplated by the Agreement will be consummated in accordance with the terms of the Agreement, without any waiver or amendment of any term or condition thereof. We have also assumed that all governmental, regulatory and other consents and approvals contemplated by the Agreement or otherwise required for the transactions contemplated by the Agreement will be obtained and that in the course of obtaining any of those consents no restrictions will be imposed, or waivers made that would have an adverse effect on Galera, Obsidian, or the contemplated benefits of the Mergers. We have assumed that the Mergers will be consummated in a manner that complies with the applicable provisions of the Securities Act of 1933, as amended, the Securities Exchange Act of 1934, as amended, and all other applicable federal and state statutes and the rules and regulations promulgated thereunder.</w:t>
      </w:r>
    </w:p>
    <w:p>
      <w:pPr>
        <w:spacing w:after="0" w:line="19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It is understood that this letter is intended for the benefit and use of the Board of Directors (in its capacity as such) in its consideration of the financial terms of the Mergers and, except as set forth in our engagement letter with Galera, dated as of April 8, 2026 (the “Engagement Letter”), may not be used for any other purpose or reproduced, disseminated, quoted or referred to at any time, in any manner or for any purpose without our prior written consent, except that this Opinion may be included in its entirety in any filing related to the Mergers required to be filed with the SEC and any proxy or information statement to be mailed to holders of Galera Common Stock. This letter does not constitute a recommendation to the Board of Directors of whether to approve the Mergers or to any stockholder of Galera or any other person as to how to vote or act with respect to the transactions contemplated by the Agreement (including the Mergers) or any other matter. Our Opinion does not address Galera’s underlying business decision to proceed with the Mergers or the relative merits of the Mergers compared to other alternatives available to Galera. We express no opinion as to the prices or ranges of prices at which shares or the securities of any person, including Galera, will trade at any time, including following the announcement or consummation of the Mergers, or as to the potential effects of volatility in the credit, financial, and stock markets on Galera, Obsidian or the transactions contemplated by the Agreement. We have not been requested to opine as to, and our Opinion does not in any manner address, the amount or nature of compensation to any of the officers, directors or employees of any party to the Mergers, or any class of such</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LUCID CAPITAL MARKETS, LLC</w:t>
      </w:r>
    </w:p>
    <w:p>
      <w:pPr>
        <w:jc w:val="center"/>
        <w:ind w:right="-139"/>
        <w:spacing w:after="0" w:line="199" w:lineRule="auto"/>
        <w:rPr>
          <w:sz w:val="20"/>
          <w:szCs w:val="20"/>
          <w:color w:val="auto"/>
        </w:rPr>
      </w:pPr>
      <w:r>
        <w:rPr>
          <w:rFonts w:ascii="Times New Roman" w:cs="Times New Roman" w:eastAsia="Times New Roman" w:hAnsi="Times New Roman"/>
          <w:sz w:val="18"/>
          <w:szCs w:val="18"/>
          <w:color w:val="auto"/>
        </w:rPr>
        <w:t>570 Lexington Ave.,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20"/>
          </w:cols>
          <w:pgMar w:left="320" w:top="454" w:right="459" w:bottom="1440" w:gutter="0" w:footer="0" w:header="0"/>
        </w:sectPr>
      </w:pPr>
    </w:p>
    <w:bookmarkStart w:id="590" w:name="page591"/>
    <w:bookmarkEnd w:id="5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April 13, 2026</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Page 4 of 4</w:t>
      </w:r>
    </w:p>
    <w:p>
      <w:pPr>
        <w:spacing w:after="0" w:line="13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persons, relative to the compensation to be paid to the holders of Galera Common Stock or Obsidian Common Stock in connection with the Mergers or with respect to the fairness of any such compensation.</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Lucid is an investment bank providing investment banking, brokerage, equity research, institutional sales and trading services. As part of our investment banking services, we are regularly engaged in the valuation of businesses and their securities in connection with mergers, negotiated underwritings, secondary distributions of listed and unlisted securities, private placements and valuations for corporate and other purposes. Lucid will receive a fee for rendering our Opinion set forth below pursuant to the Engagement Letter, which is not contingent upon consummation of the Mergers. In addition, Galera has agreed to reimburse our expenses and indemnify us for certain liabilities that may arise out of our engagement. In the two years preceding the date hereof, Lucid has received a Fairness Opinion fee from Galera in connection to its previously announced merger with Nova Pharmaceuticals, Inc. on December 30, 2024. In the two years preceding the date hereof, Lucid has not had a relationship with Obsidian or any of its affiliates and has not received any fees from Obsidian or any of its affiliates. Lucid and its affiliates may in the future seek to provide investment banking or financial advisory services to Galera and Obsidian and/or their respective affiliates and expect to receive fees for the rendering of these services.</w:t>
      </w:r>
    </w:p>
    <w:p>
      <w:pPr>
        <w:spacing w:after="0" w:line="188"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Lucid or certain of our affiliates, as well as investment funds in which we or our affiliates may have financial interests, may acquire, hold or sell long or short positions, or trade or otherwise effect transactions in debt, equity, and other securities and financial instruments (including bank loans and other obligations) of, or investments in, Galera, Obsidian or any other party that may be involved in the Mergers and/or their respective affiliates.</w:t>
      </w:r>
    </w:p>
    <w:p>
      <w:pPr>
        <w:spacing w:after="0" w:line="180"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Consistent with applicable legal and regulatory requirements, Lucid has adopted policies and procedures to establish and maintain the independence of our research department and personnel. As a result, our research analysts may hold views, make statements or investment recommendations and/or publish research reports with respect to Galera and the proposed Merger that may differ from the views of Lucid’s investment banking personnel.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Opinion set forth below was reviewed and approved by a fairness opinion committee of Lucid.</w:t>
      </w:r>
    </w:p>
    <w:p>
      <w:pPr>
        <w:spacing w:after="0" w:line="22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including the various assumptions and limitations set forth herein and such other factors that we deem relevant, it is our opinion that, as of the date hereof, the Exchange Ratio is fair, from a financial point of view, to the holders of Galera Common Stock.</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611630" cy="2057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61163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Lucid Capital Markets, LLC</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LUCID CAPITAL MARKETS, LLC</w:t>
      </w:r>
    </w:p>
    <w:p>
      <w:pPr>
        <w:jc w:val="center"/>
        <w:ind w:right="-139"/>
        <w:spacing w:after="0" w:line="199" w:lineRule="auto"/>
        <w:rPr>
          <w:sz w:val="20"/>
          <w:szCs w:val="20"/>
          <w:color w:val="auto"/>
        </w:rPr>
      </w:pPr>
      <w:r>
        <w:rPr>
          <w:rFonts w:ascii="Times New Roman" w:cs="Times New Roman" w:eastAsia="Times New Roman" w:hAnsi="Times New Roman"/>
          <w:sz w:val="18"/>
          <w:szCs w:val="18"/>
          <w:color w:val="auto"/>
        </w:rPr>
        <w:t>570 Lexington Ave., 40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20"/>
          </w:cols>
          <w:pgMar w:left="320" w:top="454" w:right="459" w:bottom="1440" w:gutter="0" w:footer="0" w:header="0"/>
        </w:sectPr>
      </w:pPr>
    </w:p>
    <w:bookmarkStart w:id="591" w:name="page592"/>
    <w:bookmarkEnd w:id="5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 SUPPORT AGREEMENT</w:t>
      </w:r>
    </w:p>
    <w:p>
      <w:pPr>
        <w:spacing w:after="0" w:line="225" w:lineRule="exact"/>
        <w:rPr>
          <w:sz w:val="20"/>
          <w:szCs w:val="20"/>
          <w:color w:val="auto"/>
        </w:rPr>
      </w:pPr>
    </w:p>
    <w:p>
      <w:pPr>
        <w:ind w:left="120" w:right="460" w:firstLine="440"/>
        <w:spacing w:after="0" w:line="268"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is being delivered on [•], 2026 by the person or persons named on the signature pages hereto (collectively,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the holder of Galera Shares (as defined below) of Galera, a Delaware corporation (“</w:t>
      </w:r>
      <w:r>
        <w:rPr>
          <w:rFonts w:ascii="Times New Roman" w:cs="Times New Roman" w:eastAsia="Times New Roman" w:hAnsi="Times New Roman"/>
          <w:sz w:val="18"/>
          <w:szCs w:val="18"/>
          <w:b w:val="1"/>
          <w:bCs w:val="1"/>
          <w:color w:val="auto"/>
        </w:rPr>
        <w:t>Galera</w:t>
      </w:r>
      <w:r>
        <w:rPr>
          <w:rFonts w:ascii="Times New Roman" w:cs="Times New Roman" w:eastAsia="Times New Roman" w:hAnsi="Times New Roman"/>
          <w:sz w:val="18"/>
          <w:szCs w:val="18"/>
          <w:color w:val="auto"/>
        </w:rPr>
        <w:t>”), to Obsidian Therapeutics, Inc., a Delaware corporation (“</w:t>
      </w:r>
      <w:r>
        <w:rPr>
          <w:rFonts w:ascii="Times New Roman" w:cs="Times New Roman" w:eastAsia="Times New Roman" w:hAnsi="Times New Roman"/>
          <w:sz w:val="18"/>
          <w:szCs w:val="18"/>
          <w:b w:val="1"/>
          <w:bCs w:val="1"/>
          <w:color w:val="auto"/>
        </w:rPr>
        <w:t>Obsidian</w:t>
      </w:r>
      <w:r>
        <w:rPr>
          <w:rFonts w:ascii="Times New Roman" w:cs="Times New Roman" w:eastAsia="Times New Roman" w:hAnsi="Times New Roman"/>
          <w:sz w:val="18"/>
          <w:szCs w:val="18"/>
          <w:color w:val="auto"/>
        </w:rPr>
        <w:t>”) and to Galera.</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Reference is made to that certain Agreement and Plan of 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as amended from time to time, dated as of April 14, 2026, by and among Obsidian, Galera, Gazelle Parent,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Obsidian MergerSub, Inc., a Delaware corporation (“</w:t>
      </w:r>
      <w:r>
        <w:rPr>
          <w:rFonts w:ascii="Times New Roman" w:cs="Times New Roman" w:eastAsia="Times New Roman" w:hAnsi="Times New Roman"/>
          <w:sz w:val="18"/>
          <w:szCs w:val="18"/>
          <w:b w:val="1"/>
          <w:bCs w:val="1"/>
          <w:color w:val="auto"/>
        </w:rPr>
        <w:t>Obsidian Merger Sub</w:t>
      </w:r>
      <w:r>
        <w:rPr>
          <w:rFonts w:ascii="Times New Roman" w:cs="Times New Roman" w:eastAsia="Times New Roman" w:hAnsi="Times New Roman"/>
          <w:sz w:val="18"/>
          <w:szCs w:val="18"/>
          <w:color w:val="auto"/>
        </w:rPr>
        <w:t>”), and Gazelle Merger Subsidiary, Inc., a Delaware corporation (“</w:t>
      </w:r>
      <w:r>
        <w:rPr>
          <w:rFonts w:ascii="Times New Roman" w:cs="Times New Roman" w:eastAsia="Times New Roman" w:hAnsi="Times New Roman"/>
          <w:sz w:val="18"/>
          <w:szCs w:val="18"/>
          <w:b w:val="1"/>
          <w:bCs w:val="1"/>
          <w:color w:val="auto"/>
        </w:rPr>
        <w:t>Galera Merger Sub</w:t>
      </w:r>
      <w:r>
        <w:rPr>
          <w:rFonts w:ascii="Times New Roman" w:cs="Times New Roman" w:eastAsia="Times New Roman" w:hAnsi="Times New Roman"/>
          <w:sz w:val="18"/>
          <w:szCs w:val="18"/>
          <w:color w:val="auto"/>
        </w:rPr>
        <w:t>”). All capitalized terms that are used but not defined herein shall have the respective meanings ascribed to them in the Merger Agreement.</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of the date hereof, the Holder is the record (as defined in Rule 12g5-1 promulgated under the Exchange Act) or beneficial owner (as defined in Rule 13d-3 promulgated under the Exchange Act) of the number of shares of Galera Common Stock, Galera Preferred Stock, Galera Options and Galera Warrants and other securities convertible into, or exercisable or exchangeable for, shares of Galera Common Stock,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Galera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a condition and inducement to Obsidian’s and Galera’s willingness to enter into the Merger Agreement, the Holder has agreed to enter into this Support Agreement.</w:t>
      </w:r>
    </w:p>
    <w:p>
      <w:pPr>
        <w:spacing w:after="0" w:line="162" w:lineRule="exact"/>
        <w:rPr>
          <w:sz w:val="20"/>
          <w:szCs w:val="20"/>
          <w:color w:val="auto"/>
        </w:rPr>
      </w:pPr>
    </w:p>
    <w:p>
      <w:pPr>
        <w:ind w:left="120" w:right="20" w:firstLine="436"/>
        <w:spacing w:after="0" w:line="256" w:lineRule="auto"/>
        <w:tabs>
          <w:tab w:leader="none" w:pos="7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From the date hereof until the Termination Date (as defined below), the Holder agrees to vote (or cause to be voted), or deliver (or cause to be delivered) a written consent with respect to, and shall not enter into any agreement or otherwise give instructions to any person to vote in any manner inconsistent with this Support Agreement, at every meeting of the Galera shareholders (or any class or series of stockholders, as applicable) convened in connection with the matters related to the Merger Agreement, and at every adjournment or postponement thereof, and in connection with any action proposed to be taken by written consent of the stockholders of Galera, all Galera Shares it beneficially owns and is entitled to vote at such meeting:</w:t>
      </w:r>
    </w:p>
    <w:p>
      <w:pPr>
        <w:spacing w:after="0" w:line="93" w:lineRule="exact"/>
        <w:rPr>
          <w:sz w:val="20"/>
          <w:szCs w:val="20"/>
          <w:color w:val="auto"/>
        </w:rPr>
      </w:pPr>
    </w:p>
    <w:p>
      <w:pPr>
        <w:ind w:left="1080" w:right="100" w:hanging="532"/>
        <w:spacing w:after="0" w:line="261" w:lineRule="auto"/>
        <w:tabs>
          <w:tab w:leader="none" w:pos="10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(i) the adoption and approval of the Merger Agreement and the terms thereof, including the Contemplated Transactions and the other actions contemplated by the Merger Agreement, (ii) the Galera Merger, (iii) all of the matters set forth in the Galera Stockholder Written Consent, and (iv) each of the items recommended by the Galera Board set forth in Galera’s preliminary proxy statement filed with the SEC on April 10, 2026 in connection with the Annual Meeting of Stockholders of Galera on May 8, 2026; and</w:t>
      </w:r>
    </w:p>
    <w:p>
      <w:pPr>
        <w:spacing w:after="0" w:line="85"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Galera in the Merger Agreement (clauses (a) and (b) collectively, the “</w:t>
      </w:r>
      <w:r>
        <w:rPr>
          <w:rFonts w:ascii="Times New Roman" w:cs="Times New Roman" w:eastAsia="Times New Roman" w:hAnsi="Times New Roman"/>
          <w:sz w:val="18"/>
          <w:szCs w:val="18"/>
          <w:b w:val="1"/>
          <w:bCs w:val="1"/>
          <w:color w:val="auto"/>
        </w:rPr>
        <w:t>Supported Matters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00" w:firstLine="440"/>
        <w:spacing w:after="0" w:line="269" w:lineRule="auto"/>
        <w:rPr>
          <w:sz w:val="20"/>
          <w:szCs w:val="20"/>
          <w:color w:val="auto"/>
        </w:rPr>
      </w:pPr>
      <w:r>
        <w:rPr>
          <w:rFonts w:ascii="Times New Roman" w:cs="Times New Roman" w:eastAsia="Times New Roman" w:hAnsi="Times New Roman"/>
          <w:sz w:val="17"/>
          <w:szCs w:val="17"/>
          <w:color w:val="auto"/>
        </w:rPr>
        <w:t>Nothing in this Support Agreement shall require the Holder to vote in any manner, or deliver a written consent, with respect to any amendment to the Merger Agreement or the taking of any action that would reasonably be expected to result in the amendment, modification or waiver of a provision of the Merger Agreement in a manner that (1) decreases the Galera Exchange Ratio or changes the form or reduces the amount of the consideration payable to shareholders of Galera in the Contemplated Transactions; (2) increases the Obsidian Exchange Ratio or changes the form or increases the amount of the consideration payable to shareholders of Obsidian in the Contemplated Transactions, (3) is material and adverse to the Holder, or</w:t>
      </w:r>
    </w:p>
    <w:p>
      <w:pPr>
        <w:spacing w:after="0" w:line="3" w:lineRule="exact"/>
        <w:rPr>
          <w:sz w:val="20"/>
          <w:szCs w:val="20"/>
          <w:color w:val="auto"/>
        </w:rPr>
      </w:pPr>
    </w:p>
    <w:p>
      <w:pPr>
        <w:ind w:left="5480" w:right="2860" w:hanging="5364"/>
        <w:spacing w:after="0" w:line="433" w:lineRule="auto"/>
        <w:tabs>
          <w:tab w:leader="none" w:pos="367"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any restrictions or any additional conditions on the consummation of the Contemplated Transactions. D-1</w:t>
      </w:r>
    </w:p>
    <w:p>
      <w:pPr>
        <w:sectPr>
          <w:pgSz w:w="11900" w:h="16838" w:orient="portrait"/>
          <w:cols w:equalWidth="0" w:num="1">
            <w:col w:w="11140"/>
          </w:cols>
          <w:pgMar w:left="320" w:top="454" w:right="439" w:bottom="1440" w:gutter="0" w:footer="0" w:header="0"/>
        </w:sectPr>
      </w:pPr>
    </w:p>
    <w:bookmarkStart w:id="592" w:name="page593"/>
    <w:bookmarkEnd w:id="5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20"/>
        <w:spacing w:after="0" w:line="266" w:lineRule="auto"/>
        <w:rPr>
          <w:sz w:val="20"/>
          <w:szCs w:val="20"/>
          <w:color w:val="auto"/>
        </w:rPr>
      </w:pPr>
      <w:r>
        <w:rPr>
          <w:rFonts w:ascii="Times New Roman" w:cs="Times New Roman" w:eastAsia="Times New Roman" w:hAnsi="Times New Roman"/>
          <w:sz w:val="18"/>
          <w:szCs w:val="18"/>
          <w:color w:val="auto"/>
        </w:rPr>
        <w:t>For the avoidance of doubt, other than with respect to the Supported Matters, the Holder does not have any obligation to vote, or deliver a written consent with respect to, the Galera Shares in any particular manner and, with respect to such other matters (other than the Supported Matters), the Holder shall be entitled to vote, or deliver a written consent with respect to, the Galera Shares in its sole discretion.</w:t>
      </w:r>
    </w:p>
    <w:p>
      <w:pPr>
        <w:spacing w:after="0" w:line="176" w:lineRule="exact"/>
        <w:rPr>
          <w:sz w:val="20"/>
          <w:szCs w:val="20"/>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7"/>
          <w:szCs w:val="17"/>
          <w:color w:val="auto"/>
        </w:rPr>
        <w:t>From the date hereof until the Termination Date, in the event of (i) a stock split, stock dividend or distribution, or any change in the capital stock of Galera by reason of any split-up, reverse stock split, recapitalization, combination, reclassification, reincorporation, exchange of shares or the like or</w:t>
      </w:r>
    </w:p>
    <w:p>
      <w:pPr>
        <w:spacing w:after="0" w:line="1" w:lineRule="exact"/>
        <w:rPr>
          <w:sz w:val="20"/>
          <w:szCs w:val="20"/>
          <w:color w:val="auto"/>
        </w:rPr>
      </w:pPr>
    </w:p>
    <w:p>
      <w:pPr>
        <w:ind w:left="120" w:hanging="4"/>
        <w:spacing w:after="0" w:line="252" w:lineRule="auto"/>
        <w:tabs>
          <w:tab w:leader="none" w:pos="385"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of sole or shared voting power by the Holder of additional shares of capital stock or other equity securities of Galera, whether by the exercise of Galera Options, conversion of Galera Preferred Stock or otherwise, including, without limitation, by gift or succession, then the term “Galera Shares” shall be deemed to refer to and include such shares as well as all such stock dividends and distributions and any securities into which or for which any or all of such shares may be changed or exchanged or which are received in such transaction, and such Galera Shares shall be subject to the terms and conditions of this Support Agreement to the same extent as if they constituted Galera Shares as of the date of the execution of this Support Agreement, without the need for any further action by the parties (including, for the avoidance of doubt, with respect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120" w:right="180" w:firstLine="436"/>
        <w:spacing w:after="0" w:line="258" w:lineRule="auto"/>
        <w:tabs>
          <w:tab w:leader="none" w:pos="74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Written Consent</w:t>
      </w:r>
      <w:r>
        <w:rPr>
          <w:rFonts w:ascii="Times New Roman" w:cs="Times New Roman" w:eastAsia="Times New Roman" w:hAnsi="Times New Roman"/>
          <w:sz w:val="18"/>
          <w:szCs w:val="18"/>
          <w:color w:val="auto"/>
        </w:rPr>
        <w:t>. Promptly after the Registration Statement is declared effective under the Securities Act, the Holder agrees to irrevocably execute and deliver, or cause to be delivered, to Obsidian and Galera its duly executed counterpart to the Galera Stockholder Written Consent. The Galera Stockholder Written Consent shall be given in accordance with such procedures relating thereto, including pursuant to the Delaware General Corporation Law and each of Galera’s organizational documents so as to ensure that it is duly counted for purposes of recording the results of the Galera Stockholder Written Consent and otherwise effective for all purposes, including under the DGCL.</w:t>
      </w:r>
    </w:p>
    <w:p>
      <w:pPr>
        <w:spacing w:after="0" w:line="183" w:lineRule="exact"/>
        <w:rPr>
          <w:rFonts w:ascii="Times New Roman" w:cs="Times New Roman" w:eastAsia="Times New Roman" w:hAnsi="Times New Roman"/>
          <w:sz w:val="18"/>
          <w:szCs w:val="18"/>
          <w:color w:val="auto"/>
        </w:rPr>
      </w:pPr>
    </w:p>
    <w:p>
      <w:pPr>
        <w:ind w:left="120" w:right="20" w:firstLine="436"/>
        <w:spacing w:after="0" w:line="268" w:lineRule="auto"/>
        <w:tabs>
          <w:tab w:leader="none" w:pos="740" w:val="left"/>
        </w:tabs>
        <w:numPr>
          <w:ilvl w:val="1"/>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Transfer</w:t>
      </w:r>
      <w:r>
        <w:rPr>
          <w:rFonts w:ascii="Times New Roman" w:cs="Times New Roman" w:eastAsia="Times New Roman" w:hAnsi="Times New Roman"/>
          <w:sz w:val="17"/>
          <w:szCs w:val="17"/>
          <w:color w:val="auto"/>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xml:space="preserve">”) or enter into any contract, option or other arrangement or understanding with respect to any Transfer of, any of the Galera Shares. Any Transfer or purported Transfer of Galera Shares in breach or violation of this Support Agreement shall be void and of no force or effect. Notwithstanding the foregoing, the restrictions set forth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w:t>
      </w:r>
    </w:p>
    <w:p>
      <w:pPr>
        <w:spacing w:after="0" w:line="2" w:lineRule="exact"/>
        <w:rPr>
          <w:rFonts w:ascii="Times New Roman" w:cs="Times New Roman" w:eastAsia="Times New Roman" w:hAnsi="Times New Roman"/>
          <w:sz w:val="17"/>
          <w:szCs w:val="17"/>
          <w:color w:val="auto"/>
        </w:rPr>
      </w:pPr>
    </w:p>
    <w:p>
      <w:pPr>
        <w:ind w:left="360" w:hanging="244"/>
        <w:spacing w:after="0"/>
        <w:tabs>
          <w:tab w:leader="none" w:pos="36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operation of law or pursuant to a court order, such as a qualified domestic relations order, divorce decree or separation agreement;</w:t>
      </w:r>
    </w:p>
    <w:p>
      <w:pPr>
        <w:spacing w:after="0" w:line="9" w:lineRule="exact"/>
        <w:rPr>
          <w:rFonts w:ascii="Times New Roman" w:cs="Times New Roman" w:eastAsia="Times New Roman" w:hAnsi="Times New Roman"/>
          <w:sz w:val="18"/>
          <w:szCs w:val="18"/>
          <w:color w:val="auto"/>
        </w:rPr>
      </w:pPr>
    </w:p>
    <w:p>
      <w:pPr>
        <w:ind w:left="120" w:right="140" w:hanging="4"/>
        <w:spacing w:after="0" w:line="270" w:lineRule="auto"/>
        <w:tabs>
          <w:tab w:leader="none" w:pos="372" w:val="left"/>
        </w:tabs>
        <w:numPr>
          <w:ilvl w:val="0"/>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Transfers to a partnership, limited liability company or other entity of which the Holder and/or the immediate family of the Holder are the legal and beneficial owner of all of the outstanding equity securities or similar interests; (e) Transfers to a trustor or beneficiary of the trust, 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Galera Options or Galera Warrants, including in order to (i) pay the exercise price thereof or (ii) satisfy taxes applicable thereto; (h) the conversion of the Galera Preferred Stock into Galera Common Stock; and (i) Transfers to any Affiliate, equityholder, partner or member of such Holder;</w:t>
      </w:r>
    </w:p>
    <w:p>
      <w:pPr>
        <w:spacing w:after="0" w:line="17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fullest extent permitted by applicable Law, for any permitted Transfers pursuant clauses (a) to (i) (other than clause (g)),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Galera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the restrictions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shall have the same rights and benefits under this Support Agreement.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120"/>
          </w:cols>
          <w:pgMar w:left="320" w:top="454" w:right="459" w:bottom="1440" w:gutter="0" w:footer="0" w:header="0"/>
        </w:sectPr>
      </w:pPr>
    </w:p>
    <w:bookmarkStart w:id="593" w:name="page594"/>
    <w:bookmarkEnd w:id="5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Holder</w:t>
      </w:r>
      <w:r>
        <w:rPr>
          <w:rFonts w:ascii="Times New Roman" w:cs="Times New Roman" w:eastAsia="Times New Roman" w:hAnsi="Times New Roman"/>
          <w:sz w:val="18"/>
          <w:szCs w:val="18"/>
          <w:color w:val="auto"/>
        </w:rPr>
        <w:t>. The Holder hereby represents and warrants to Obsidian and Galera as follows:</w:t>
      </w:r>
    </w:p>
    <w:p>
      <w:pPr>
        <w:spacing w:after="0" w:line="117" w:lineRule="exact"/>
        <w:rPr>
          <w:sz w:val="20"/>
          <w:szCs w:val="20"/>
          <w:color w:val="auto"/>
        </w:rPr>
      </w:pPr>
    </w:p>
    <w:p>
      <w:pPr>
        <w:ind w:left="120" w:right="60" w:firstLine="436"/>
        <w:spacing w:after="0" w:line="282" w:lineRule="auto"/>
        <w:tabs>
          <w:tab w:leader="none" w:pos="80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full power and authority (or legal capacity, if the Holder is a natural person) to execute and deliver this Support Agreement and to perform the Holder’s obligations hereunder;</w:t>
      </w:r>
    </w:p>
    <w:p>
      <w:pPr>
        <w:spacing w:after="0" w:line="161"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Support Agreement has been duly executed and delivered by the Holder, and, assuming this Support Agreement constitutes a valid and binding obligation of Obsidian and Galera,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Obsidian and Galera is entering into the Merger Agreement in reliance upon the Holder’s execution and delivery of this Support Agreement;</w:t>
      </w:r>
    </w:p>
    <w:p>
      <w:pPr>
        <w:spacing w:after="0" w:line="183" w:lineRule="exact"/>
        <w:rPr>
          <w:rFonts w:ascii="Times New Roman" w:cs="Times New Roman" w:eastAsia="Times New Roman" w:hAnsi="Times New Roman"/>
          <w:sz w:val="18"/>
          <w:szCs w:val="18"/>
          <w:color w:val="auto"/>
        </w:rPr>
      </w:pPr>
    </w:p>
    <w:p>
      <w:pPr>
        <w:ind w:left="120" w:right="160" w:firstLine="436"/>
        <w:spacing w:after="0" w:line="282" w:lineRule="auto"/>
        <w:tabs>
          <w:tab w:leader="none" w:pos="80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is the record or beneficial owner of the Galera Shares and does not beneficially own any securities of Galera other than the shares of Galera Common Stock and rights to purchase or otherwise acquire shares of Galera Common Stock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w:t>
      </w:r>
    </w:p>
    <w:p>
      <w:pPr>
        <w:spacing w:after="0" w:line="175"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0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w:t>
      </w:r>
    </w:p>
    <w:p>
      <w:pPr>
        <w:spacing w:after="0" w:line="175"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78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Holder does not have any agreement, arrangement, or understanding, whether written or oral, formal or informal, with any other holder of Galera Common Stock to act together for the purpose of acquiring, holding, voting, or disposing of shares of Galera Common Stock, nor does the Holder otherwise act in concert with any other holder of Galera Common Stock in connection with the exercise of any rights or powers arising from the ownership of Galera Common Stock and (ii) without limiting the generality of the foregoing, the Holder is not a member of a “group” (as such term is used in Section 13(d)(3) of the Exchange Act) with any other holder of any equity securities of Galera for the purpose of acquiring, holding, voting, or disposing of equity securities of Galera; and</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54" w:lineRule="auto"/>
        <w:tabs>
          <w:tab w:leader="none" w:pos="81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had the opportunity to review the Merger Agreement, including the provisions relating to the payment and allocation of the consideration to be paid to the stockholders of Galera, and this Agreement with counsel of the Holder’s own choosing. The Holder has had an opportunity to review with its own tax advisors the tax consequences of the Mergers and the Contemplated Transactions. The Holder understands that it must rely solely on its advisors and not on any statements or representations made by Obsidian or Galera, or any of their respective agents or representatives. The Holder understands that the Holder (and not Obsidian, Galera or Parent) shall be responsible for the Holder’s tax liability that may arise as a result of the Galera Merger or the transactions contemplated by the Merger Agreement. The Holder understands and acknowledges that Obsidian, Galera, Parent, Obsidian Merger Sub and Galera Merger Sub are entering into the Merger Agreement in reliance upon the Holder’s execution, delivery and performance of this Agreement.</w:t>
      </w:r>
    </w:p>
    <w:p>
      <w:pPr>
        <w:spacing w:after="0" w:line="192" w:lineRule="exact"/>
        <w:rPr>
          <w:sz w:val="20"/>
          <w:szCs w:val="20"/>
          <w:color w:val="auto"/>
        </w:rPr>
      </w:pPr>
    </w:p>
    <w:p>
      <w:pPr>
        <w:jc w:val="both"/>
        <w:ind w:left="120" w:right="20" w:firstLine="436"/>
        <w:spacing w:after="0" w:line="289" w:lineRule="auto"/>
        <w:tabs>
          <w:tab w:leader="none" w:pos="740" w:val="left"/>
        </w:tabs>
        <w:numPr>
          <w:ilvl w:val="0"/>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Impact on Directors’ or Officers’ Duties</w:t>
      </w:r>
      <w:r>
        <w:rPr>
          <w:rFonts w:ascii="Times New Roman" w:cs="Times New Roman" w:eastAsia="Times New Roman" w:hAnsi="Times New Roman"/>
          <w:sz w:val="17"/>
          <w:szCs w:val="17"/>
          <w:color w:val="auto"/>
        </w:rPr>
        <w:t>. Notwithstanding any provision of this Support Agreement to the contrary, the parties acknowledge that (a) the Holder is entering into this Support Agreement solely in the Holder’s capacity as a record or beneficial owner of Galera Common Stock and not in such Holder’s capacity as a director, officer or employee of Galera or in the Holder’s capacity as a trustee or fiduciary of any Galera Equity</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00"/>
          </w:cols>
          <w:pgMar w:left="320" w:top="454" w:right="479" w:bottom="1440" w:gutter="0" w:footer="0" w:header="0"/>
        </w:sectPr>
      </w:pPr>
    </w:p>
    <w:bookmarkStart w:id="594" w:name="page595"/>
    <w:bookmarkEnd w:id="5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Plans and (b) nothing in this Support Agreement is intended to limit or restrict the Holder, or a designee of the Holder, who is a director or officer of Galera from taking any action or inaction or voting in favor in the Holder’s sole discretion on any matter in his or her capacity as a director of Galera or in the Holder’s capacity as a trustee or fiduciary of any Galera Equity Plans (if applicable), or fulfilling the obligations of such office, and none of such actions in such capacity shall be deemed to constitute a breach of this Support Agreement.</w:t>
      </w:r>
    </w:p>
    <w:p>
      <w:pPr>
        <w:spacing w:after="0" w:line="180" w:lineRule="exact"/>
        <w:rPr>
          <w:sz w:val="20"/>
          <w:szCs w:val="20"/>
          <w:color w:val="auto"/>
        </w:rPr>
      </w:pPr>
    </w:p>
    <w:p>
      <w:pPr>
        <w:ind w:left="120" w:right="20" w:firstLine="436"/>
        <w:spacing w:after="0" w:line="276" w:lineRule="auto"/>
        <w:tabs>
          <w:tab w:leader="none" w:pos="740" w:val="left"/>
        </w:tabs>
        <w:numPr>
          <w:ilvl w:val="2"/>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w:t>
      </w:r>
    </w:p>
    <w:p>
      <w:pPr>
        <w:ind w:left="120" w:hanging="4"/>
        <w:spacing w:after="0" w:line="255" w:lineRule="auto"/>
        <w:tabs>
          <w:tab w:leader="none" w:pos="37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21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Obsidian,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Obsidian Therapeutics,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1030 Massachusetts Avenue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Cambridge, MA 02138</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Boston, MA 02210 Attention: William Collins; Gabriela Morales-Rivera; Tevia K. Pollard</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WCollins@goodwinlaw.com; GMoralesRivera@goodwinlaw.com;</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TPollard@goodwinlaw.com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if to Galera,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101 Lindenwood Drive, Suite 225</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Attn: Mel Sorensen; Joel Sussman</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1540" w:right="7940" w:firstLine="8"/>
        <w:spacing w:after="0" w:line="265" w:lineRule="auto"/>
        <w:tabs>
          <w:tab w:leader="none" w:pos="1855" w:val="left"/>
        </w:tabs>
        <w:numPr>
          <w:ilvl w:val="1"/>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Seventh Ave New York, NY 10019</w:t>
      </w: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Attn: Asher Rubin, John Butler</w:t>
      </w:r>
    </w:p>
    <w:p>
      <w:pPr>
        <w:spacing w:after="0" w:line="9"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Phone: (410) 559-2881, (212) 839-8513</w:t>
      </w:r>
    </w:p>
    <w:p>
      <w:pPr>
        <w:spacing w:after="0" w:line="9"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arubin@sidley.com, john.butler@sidley.com</w:t>
      </w:r>
    </w:p>
    <w:p>
      <w:pPr>
        <w:spacing w:after="0" w:line="98" w:lineRule="exact"/>
        <w:rPr>
          <w:rFonts w:ascii="Times New Roman" w:cs="Times New Roman" w:eastAsia="Times New Roman" w:hAnsi="Times New Roman"/>
          <w:sz w:val="17"/>
          <w:szCs w:val="17"/>
          <w:color w:val="auto"/>
        </w:rPr>
      </w:pPr>
    </w:p>
    <w:p>
      <w:pPr>
        <w:ind w:left="720" w:hanging="164"/>
        <w:spacing w:after="0"/>
        <w:tabs>
          <w:tab w:leader="none" w:pos="72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at the e-mail address on the signature page hereto.</w:t>
      </w:r>
    </w:p>
    <w:p>
      <w:pPr>
        <w:spacing w:after="0" w:line="225" w:lineRule="exact"/>
        <w:rPr>
          <w:sz w:val="20"/>
          <w:szCs w:val="20"/>
          <w:color w:val="auto"/>
        </w:rPr>
      </w:pPr>
    </w:p>
    <w:p>
      <w:pPr>
        <w:ind w:left="120" w:firstLine="436"/>
        <w:spacing w:after="0" w:line="276" w:lineRule="auto"/>
        <w:tabs>
          <w:tab w:leader="none" w:pos="740" w:val="left"/>
        </w:tabs>
        <w:numPr>
          <w:ilvl w:val="1"/>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Support Agreement shall automatically terminate upon the earliest to occur of (a) such date and time as the Merger Agreement shall have been validly terminated, (b) such date and time as there is any amendment of any term or provision of the Merger Agreement that</w:t>
      </w:r>
    </w:p>
    <w:p>
      <w:pPr>
        <w:ind w:left="120" w:right="100" w:hanging="4"/>
        <w:spacing w:after="0" w:line="253" w:lineRule="auto"/>
        <w:tabs>
          <w:tab w:leader="none" w:pos="33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the Galera Exchange Ratio or changes the form or reduces the amount of the consideration payable to shareholders of Galera in the Contemplated Transactions or (ii) increases the Obsidian Exchange Ratio or changes the form or increases the amount of the consideration payable to shareholders of Obsidian in the Contemplated Transactions, (c) the Outside Date, unless the Outside Date is extended for an additional ninety (90) day period as set forth in the</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060"/>
          </w:cols>
          <w:pgMar w:left="320" w:top="454" w:right="519" w:bottom="1440" w:gutter="0" w:footer="0" w:header="0"/>
        </w:sectPr>
      </w:pPr>
    </w:p>
    <w:bookmarkStart w:id="595" w:name="page596"/>
    <w:bookmarkEnd w:id="5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Merger Agreement (but without taking into account any extension thereof agreed by the parties following the date of this Support Agreement), (d) the Galera Effective Time and (e) such date and time as a written agreement executed by the parties hereto to terminate this Support Agreement is effective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300" w:firstLine="436"/>
        <w:spacing w:after="0" w:line="261" w:lineRule="auto"/>
        <w:tabs>
          <w:tab w:leader="none" w:pos="74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Transfer Instructions</w:t>
      </w:r>
      <w:r>
        <w:rPr>
          <w:rFonts w:ascii="Times New Roman" w:cs="Times New Roman" w:eastAsia="Times New Roman" w:hAnsi="Times New Roman"/>
          <w:sz w:val="18"/>
          <w:szCs w:val="18"/>
          <w:color w:val="auto"/>
        </w:rPr>
        <w:t>. At all times commencing with the execution and delivery of this Support Agreement and continuing until the Termination Date, in furtherance of this Support Agreement, the Holder hereby authorizes Galera or its counsel to notify Galera’s transfer agent that there is a stop transfer order with respect to all of the Galera Shares (and that this Support Agreement places limits on the voting and transfer of such Galera Shares).</w:t>
      </w:r>
    </w:p>
    <w:p>
      <w:pPr>
        <w:spacing w:after="0" w:line="179"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By execution of this Agreement, the Holder does hereby appoint Galera and any of its designees with full power of</w:t>
      </w:r>
    </w:p>
    <w:p>
      <w:pPr>
        <w:spacing w:after="0" w:line="27" w:lineRule="exact"/>
        <w:rPr>
          <w:rFonts w:ascii="Times New Roman" w:cs="Times New Roman" w:eastAsia="Times New Roman" w:hAnsi="Times New Roman"/>
          <w:sz w:val="18"/>
          <w:szCs w:val="18"/>
          <w:color w:val="auto"/>
        </w:rPr>
      </w:pPr>
    </w:p>
    <w:p>
      <w:pPr>
        <w:ind w:lef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substitution and resubstitution, as the Holder’s true and lawful attorney and irrevocable proxy, to the fullest extent of the Holder’s rights with respect to the Galera Shares, to vote and exercise all voting and related rights, including the right to sign the Holder’s name (solely in its capacity as a stockholder) to any stockholder consent, if the Holder fails to vote his, her or its Galera Shares, or otherwise fails to perform or comply with such Stockholder’s obligations under this Agreement, solely with respect to the matters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hereof by 5:00 p.m. (Eastern Time) on the day immediately preceding the meeting date (or date upon which written consents are requested to be submitted), provided the Holder has received information regarding the meeting or request for written consent at least five (5) Business Days before such shareholder meeting or any consent solicitation or other vote taken of Galera’s stockholders. The Holder intends this proxy to be irrevocable and coupled with an interest hereunder until the Termination Date, hereby revokes (or agrees to cause to be revoked) any proxy previously granted by the Holder with respect to the Galera Shares and represents that none of such previously-granted proxies are irrevocable. The Holder hereby affirms that the proxy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is given in connection with, and granted in consideration of, and as an inducement to Obsidian, Galera, Parent, Obsidian Merger Sub and Galera Merger Sub to enter into the Merger Agreement and that such proxy is given to secure the obligations of the Holder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Galera Shares with respect to the matters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until after the Termination Date. With respect to any Galera Shares that are owned beneficially by the Holder but are not held of record by the Holder (other than shares beneficially owned by the Holder that are held in the name of a bank, broker or nominee), the Holder shall take all action necessary to cause the record holder of such Galera Shares to grant the irrevocable proxy and take all other actions provided for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with respect to such Galera Shares. Notwithstanding anything contained herein to the contrary, this irrevocable proxy shall automatically terminate upon the Termination Date.</w:t>
      </w:r>
    </w:p>
    <w:p>
      <w:pPr>
        <w:spacing w:after="0" w:line="189" w:lineRule="exact"/>
        <w:rPr>
          <w:rFonts w:ascii="Times New Roman" w:cs="Times New Roman" w:eastAsia="Times New Roman" w:hAnsi="Times New Roman"/>
          <w:sz w:val="18"/>
          <w:szCs w:val="18"/>
          <w:color w:val="auto"/>
        </w:rPr>
      </w:pPr>
    </w:p>
    <w:p>
      <w:pPr>
        <w:ind w:left="120" w:right="100" w:firstLine="436"/>
        <w:spacing w:after="0" w:line="256" w:lineRule="auto"/>
        <w:tabs>
          <w:tab w:leader="none" w:pos="83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Galera Board Adverse Recommendation Change</w:t>
      </w:r>
      <w:r>
        <w:rPr>
          <w:rFonts w:ascii="Times New Roman" w:cs="Times New Roman" w:eastAsia="Times New Roman" w:hAnsi="Times New Roman"/>
          <w:sz w:val="18"/>
          <w:szCs w:val="18"/>
          <w:color w:val="auto"/>
        </w:rPr>
        <w:t>. In the event of a Galera Board Adverse Recommendation Change made in compliance with the terms of the Merger Agreement, then the aggregate number of Galera Shares hereunder shall be reduced (with such reduction applying to each Holder, subject to a similar voting agreement, on a pro rata basis in accordance with each Holder’s relative Galera Shares and rounded up to the nearest whole Galera Share) without any action by Galera or the Holders such that the number of Galera Shares held, collectively, by all Holders, subject to a similar voting agreement, shall represent in the aggregate that number of shares (after such reduction) equal to twenty-five percent (25%) of the outstanding shares of Galera Common Stock.</w:t>
      </w:r>
    </w:p>
    <w:p>
      <w:pPr>
        <w:spacing w:after="0" w:line="187" w:lineRule="exact"/>
        <w:rPr>
          <w:rFonts w:ascii="Times New Roman" w:cs="Times New Roman" w:eastAsia="Times New Roman" w:hAnsi="Times New Roman"/>
          <w:sz w:val="18"/>
          <w:szCs w:val="18"/>
          <w:color w:val="auto"/>
        </w:rPr>
      </w:pPr>
    </w:p>
    <w:p>
      <w:pPr>
        <w:ind w:left="120" w:right="600" w:firstLine="436"/>
        <w:spacing w:after="0" w:line="282" w:lineRule="auto"/>
        <w:tabs>
          <w:tab w:leader="none" w:pos="823"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The Holder hereby waives, and agrees not to exercise or assert, any appraisal rights under applicable Law, including Section 262 of Delaware Law, in connection with the Galera Merger.</w:t>
      </w:r>
    </w:p>
    <w:p>
      <w:pPr>
        <w:spacing w:after="0" w:line="161"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3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Actions</w:t>
      </w:r>
      <w:r>
        <w:rPr>
          <w:rFonts w:ascii="Times New Roman" w:cs="Times New Roman" w:eastAsia="Times New Roman" w:hAnsi="Times New Roman"/>
          <w:sz w:val="18"/>
          <w:szCs w:val="18"/>
          <w:color w:val="auto"/>
        </w:rPr>
        <w:t>. The Holder will not in its capacity as a stockholder of Galera bring, commence, institute, maintain, prosecute or voluntarily aid any Legal Proceeding which (i) challenges the validity or seeks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20"/>
          </w:cols>
          <w:pgMar w:left="320" w:top="454" w:right="45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Galera Board, constitutes a breach of any fiduciary duty of the Galera Board or any member thereof.</w:t>
      </w:r>
    </w:p>
    <w:p>
      <w:pPr>
        <w:spacing w:after="0" w:line="180" w:lineRule="exact"/>
        <w:rPr>
          <w:sz w:val="20"/>
          <w:szCs w:val="20"/>
          <w:color w:val="auto"/>
        </w:rPr>
      </w:pPr>
    </w:p>
    <w:p>
      <w:pPr>
        <w:ind w:left="120" w:right="380" w:firstLine="436"/>
        <w:spacing w:after="0" w:line="282" w:lineRule="auto"/>
        <w:tabs>
          <w:tab w:leader="none" w:pos="83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Support Agreement constitutes the entire agreement, and supersedes all prior agreements and understanding, both written and oral, among the parties hereto with respect to the subject matter hereof and is fully binding on the parties hereto.</w:t>
      </w:r>
    </w:p>
    <w:p>
      <w:pPr>
        <w:spacing w:after="0" w:line="161" w:lineRule="exact"/>
        <w:rPr>
          <w:rFonts w:ascii="Times New Roman" w:cs="Times New Roman" w:eastAsia="Times New Roman" w:hAnsi="Times New Roman"/>
          <w:sz w:val="18"/>
          <w:szCs w:val="18"/>
          <w:color w:val="auto"/>
        </w:rPr>
      </w:pPr>
    </w:p>
    <w:p>
      <w:pPr>
        <w:ind w:left="120" w:firstLine="436"/>
        <w:spacing w:after="0" w:line="254" w:lineRule="auto"/>
        <w:tabs>
          <w:tab w:leader="none" w:pos="83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fax or .pdf, .tif, .gif, .jpg or similar attachment to electronic mail (any such delivery, an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91" w:lineRule="exact"/>
        <w:rPr>
          <w:rFonts w:ascii="Times New Roman" w:cs="Times New Roman" w:eastAsia="Times New Roman" w:hAnsi="Times New Roman"/>
          <w:sz w:val="18"/>
          <w:szCs w:val="18"/>
          <w:color w:val="auto"/>
        </w:rPr>
      </w:pPr>
    </w:p>
    <w:p>
      <w:pPr>
        <w:jc w:val="both"/>
        <w:ind w:left="120" w:right="80" w:firstLine="436"/>
        <w:spacing w:after="0" w:line="261" w:lineRule="auto"/>
        <w:tabs>
          <w:tab w:leader="none" w:pos="83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Support Agreement nor any of the rights, interests or obligations under this Support Agreement shall be assigned, in whole or in part, by operation of law or otherwise by any of the parties without the prior written consent of the other parties. Any purported assignment without such consent shall be void. Subject to the preceding sentences, the terms of this Support Agreement shall be binding upon and shall inure to the benefit of each of the parties hereto and their respective successors and assigns.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Support Agreement may not be amended or modified except in writing signed by each of the parties hereto.</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53" w:lineRule="auto"/>
        <w:tabs>
          <w:tab w:leader="none" w:pos="83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w:t>
      </w:r>
    </w:p>
    <w:p>
      <w:pPr>
        <w:spacing w:after="0" w:line="194" w:lineRule="exact"/>
        <w:rPr>
          <w:rFonts w:ascii="Times New Roman" w:cs="Times New Roman" w:eastAsia="Times New Roman" w:hAnsi="Times New Roman"/>
          <w:sz w:val="18"/>
          <w:szCs w:val="18"/>
          <w:color w:val="auto"/>
        </w:rPr>
      </w:pPr>
    </w:p>
    <w:p>
      <w:pPr>
        <w:ind w:left="120" w:firstLine="436"/>
        <w:spacing w:after="0" w:line="261" w:lineRule="auto"/>
        <w:tabs>
          <w:tab w:leader="none" w:pos="83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w:t>
      </w:r>
    </w:p>
    <w:p>
      <w:pPr>
        <w:spacing w:after="0" w:line="179"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3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costs and expenses incurred in connection with this Support Agreement and the transactions contemplated hereby shall be paid by the party hereto incurring such fees, costs and expenses.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120"/>
          </w:cols>
          <w:pgMar w:left="320" w:top="454" w:right="45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53" w:lineRule="auto"/>
        <w:tabs>
          <w:tab w:leader="none" w:pos="83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Obsidian or Galera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remainder of the page is intentionally left blank.]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D-7</w:t>
      </w:r>
    </w:p>
    <w:p>
      <w:pPr>
        <w:sectPr>
          <w:pgSz w:w="11900" w:h="16838" w:orient="portrait"/>
          <w:cols w:equalWidth="0" w:num="1">
            <w:col w:w="11080"/>
          </w:cols>
          <w:pgMar w:left="320" w:top="454" w:right="49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hereto have executed this Support Agreement as of the date first set forth above.</w:t>
      </w:r>
    </w:p>
    <w:p>
      <w:pPr>
        <w:spacing w:after="0" w:line="248" w:lineRule="exact"/>
        <w:rPr>
          <w:sz w:val="20"/>
          <w:szCs w:val="20"/>
          <w:color w:val="auto"/>
        </w:rPr>
      </w:pPr>
    </w:p>
    <w:p>
      <w:pPr>
        <w:jc w:val="right"/>
        <w:ind w:right="2559"/>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74265"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Support Agreement</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0139"/>
          </w:cols>
          <w:pgMar w:left="320" w:top="454" w:right="1440" w:bottom="1440" w:gutter="0" w:footer="0" w:header="0"/>
        </w:sectPr>
      </w:pPr>
    </w:p>
    <w:bookmarkStart w:id="599" w:name="page600"/>
    <w:bookmarkEnd w:id="5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Agreed to and Acknowledged as of the date first set forth above:</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OBSIDIAN: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OBSIDIAN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240030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GALERA:</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24003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0139"/>
          </w:cols>
          <w:pgMar w:left="320" w:top="454" w:right="1440" w:bottom="1440" w:gutter="0" w:footer="0" w:header="0"/>
        </w:sectPr>
      </w:pPr>
    </w:p>
    <w:bookmarkStart w:id="600" w:name="page601"/>
    <w:bookmarkEnd w:id="6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Galera Shares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2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Holder</w:t>
            </w:r>
          </w:p>
        </w:tc>
        <w:tc>
          <w:tcPr>
            <w:tcW w:w="140" w:type="dxa"/>
            <w:vAlign w:val="bottom"/>
            <w:vMerge w:val="restart"/>
          </w:tcPr>
          <w:p>
            <w:pPr>
              <w:spacing w:after="0"/>
              <w:rPr>
                <w:sz w:val="13"/>
                <w:szCs w:val="13"/>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Galera</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Galera Preferred</w:t>
            </w:r>
          </w:p>
        </w:tc>
        <w:tc>
          <w:tcPr>
            <w:tcW w:w="1740" w:type="dxa"/>
            <w:vAlign w:val="bottom"/>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Galera Options</w:t>
            </w:r>
          </w:p>
        </w:tc>
        <w:tc>
          <w:tcPr>
            <w:tcW w:w="120" w:type="dxa"/>
            <w:vAlign w:val="bottom"/>
            <w:vMerge w:val="restart"/>
          </w:tcPr>
          <w:p>
            <w:pPr>
              <w:spacing w:after="0"/>
              <w:rPr>
                <w:sz w:val="13"/>
                <w:szCs w:val="13"/>
                <w:color w:val="auto"/>
              </w:rPr>
            </w:pPr>
          </w:p>
        </w:tc>
        <w:tc>
          <w:tcPr>
            <w:tcW w:w="176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Galera Warrants</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D-10</w:t>
      </w:r>
    </w:p>
    <w:p>
      <w:pPr>
        <w:sectPr>
          <w:pgSz w:w="11900" w:h="16838" w:orient="portrait"/>
          <w:cols w:equalWidth="0" w:num="1">
            <w:col w:w="11140"/>
          </w:cols>
          <w:pgMar w:left="320" w:top="454" w:right="439" w:bottom="1440" w:gutter="0" w:footer="0" w:header="0"/>
        </w:sectPr>
      </w:pPr>
    </w:p>
    <w:bookmarkStart w:id="601" w:name="page602"/>
    <w:bookmarkEnd w:id="6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STOCKHOLDER SUPPORT AGREEMENT</w:t>
      </w:r>
    </w:p>
    <w:p>
      <w:pPr>
        <w:spacing w:after="0" w:line="225" w:lineRule="exact"/>
        <w:rPr>
          <w:sz w:val="20"/>
          <w:szCs w:val="20"/>
          <w:color w:val="auto"/>
        </w:rPr>
      </w:pPr>
    </w:p>
    <w:p>
      <w:pPr>
        <w:ind w:left="120" w:right="460" w:firstLine="440"/>
        <w:spacing w:after="0" w:line="268" w:lineRule="auto"/>
        <w:rPr>
          <w:sz w:val="20"/>
          <w:szCs w:val="20"/>
          <w:color w:val="auto"/>
        </w:rPr>
      </w:pPr>
      <w:r>
        <w:rPr>
          <w:rFonts w:ascii="Times New Roman" w:cs="Times New Roman" w:eastAsia="Times New Roman" w:hAnsi="Times New Roman"/>
          <w:sz w:val="18"/>
          <w:szCs w:val="18"/>
          <w:color w:val="auto"/>
        </w:rPr>
        <w:t>This Support Agreement (this “</w:t>
      </w:r>
      <w:r>
        <w:rPr>
          <w:rFonts w:ascii="Times New Roman" w:cs="Times New Roman" w:eastAsia="Times New Roman" w:hAnsi="Times New Roman"/>
          <w:sz w:val="18"/>
          <w:szCs w:val="18"/>
          <w:b w:val="1"/>
          <w:bCs w:val="1"/>
          <w:color w:val="auto"/>
        </w:rPr>
        <w:t>Support Agreement</w:t>
      </w:r>
      <w:r>
        <w:rPr>
          <w:rFonts w:ascii="Times New Roman" w:cs="Times New Roman" w:eastAsia="Times New Roman" w:hAnsi="Times New Roman"/>
          <w:sz w:val="18"/>
          <w:szCs w:val="18"/>
          <w:color w:val="auto"/>
        </w:rPr>
        <w:t>”) is being delivered on [•], 2026 by the person or persons named on the signature pages hereto (collectively, the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as the holder of Obsidian Shares (as defined below) of Obsidian Therapeutics, Inc., a Delaware corporation (“</w:t>
      </w:r>
      <w:r>
        <w:rPr>
          <w:rFonts w:ascii="Times New Roman" w:cs="Times New Roman" w:eastAsia="Times New Roman" w:hAnsi="Times New Roman"/>
          <w:sz w:val="18"/>
          <w:szCs w:val="18"/>
          <w:b w:val="1"/>
          <w:bCs w:val="1"/>
          <w:color w:val="auto"/>
        </w:rPr>
        <w:t>Obsidian</w:t>
      </w:r>
      <w:r>
        <w:rPr>
          <w:rFonts w:ascii="Times New Roman" w:cs="Times New Roman" w:eastAsia="Times New Roman" w:hAnsi="Times New Roman"/>
          <w:sz w:val="18"/>
          <w:szCs w:val="18"/>
          <w:color w:val="auto"/>
        </w:rPr>
        <w:t>”), to Galera Therapeutics, Inc., a Delaware corporation (“</w:t>
      </w:r>
      <w:r>
        <w:rPr>
          <w:rFonts w:ascii="Times New Roman" w:cs="Times New Roman" w:eastAsia="Times New Roman" w:hAnsi="Times New Roman"/>
          <w:sz w:val="18"/>
          <w:szCs w:val="18"/>
          <w:b w:val="1"/>
          <w:bCs w:val="1"/>
          <w:color w:val="auto"/>
        </w:rPr>
        <w:t>Galera</w:t>
      </w:r>
      <w:r>
        <w:rPr>
          <w:rFonts w:ascii="Times New Roman" w:cs="Times New Roman" w:eastAsia="Times New Roman" w:hAnsi="Times New Roman"/>
          <w:sz w:val="18"/>
          <w:szCs w:val="18"/>
          <w:color w:val="auto"/>
        </w:rPr>
        <w:t>”) and to Obsidian.</w:t>
      </w:r>
    </w:p>
    <w:p>
      <w:pPr>
        <w:spacing w:after="0" w:line="171"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color w:val="auto"/>
        </w:rPr>
        <w:t>Reference is made to that certain Agreement and Plan of Merger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as amended from time to time, dated as of [•], 2026, by and among Obsidian, Galera, Gazelle Parent,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Onyx MergerSub, Inc., a Delaware corporation and a direct, wholly owned subsidiary of Parent (“</w:t>
      </w:r>
      <w:r>
        <w:rPr>
          <w:rFonts w:ascii="Times New Roman" w:cs="Times New Roman" w:eastAsia="Times New Roman" w:hAnsi="Times New Roman"/>
          <w:sz w:val="18"/>
          <w:szCs w:val="18"/>
          <w:b w:val="1"/>
          <w:bCs w:val="1"/>
          <w:color w:val="auto"/>
        </w:rPr>
        <w:t>Obsidian Merger Sub</w:t>
      </w:r>
      <w:r>
        <w:rPr>
          <w:rFonts w:ascii="Times New Roman" w:cs="Times New Roman" w:eastAsia="Times New Roman" w:hAnsi="Times New Roman"/>
          <w:sz w:val="18"/>
          <w:szCs w:val="18"/>
          <w:color w:val="auto"/>
        </w:rPr>
        <w:t>”) and Gazelle Merger Subsidiary, Inc., a Delaware corporation and direct, wholly owned subsidiary of Parent (“</w:t>
      </w:r>
      <w:r>
        <w:rPr>
          <w:rFonts w:ascii="Times New Roman" w:cs="Times New Roman" w:eastAsia="Times New Roman" w:hAnsi="Times New Roman"/>
          <w:sz w:val="18"/>
          <w:szCs w:val="18"/>
          <w:b w:val="1"/>
          <w:bCs w:val="1"/>
          <w:color w:val="auto"/>
        </w:rPr>
        <w:t>Galera Merger Sub</w:t>
      </w:r>
      <w:r>
        <w:rPr>
          <w:rFonts w:ascii="Times New Roman" w:cs="Times New Roman" w:eastAsia="Times New Roman" w:hAnsi="Times New Roman"/>
          <w:sz w:val="18"/>
          <w:szCs w:val="18"/>
          <w:color w:val="auto"/>
        </w:rPr>
        <w:t>”). All capitalized terms that are used but not defined herein shall have the respective meanings ascribed to them in the Merger Agreement.</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of the date hereof, the Holder is the record (as defined in Rule 12g5-1 promulgated under the Exchange Act) or beneficial owner (as defined in Rule 13d-3 promulgated under the Exchange Act) of the number of shares of Obsidian Common Stock, Obsidian Preferred Stock, Obsidian Options and other securities convertible into, or exercisable or exchangeable for, shares of Obsidian Common Stock,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(collectively, the “</w:t>
      </w:r>
      <w:r>
        <w:rPr>
          <w:rFonts w:ascii="Times New Roman" w:cs="Times New Roman" w:eastAsia="Times New Roman" w:hAnsi="Times New Roman"/>
          <w:sz w:val="18"/>
          <w:szCs w:val="18"/>
          <w:b w:val="1"/>
          <w:bCs w:val="1"/>
          <w:color w:val="auto"/>
        </w:rPr>
        <w:t>Obsidian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a condition and inducement to Obsidian’s and Galera’s willingness to enter into the Merger Agreement, the Holder has agreed to enter into this Support Agreement.</w:t>
      </w:r>
    </w:p>
    <w:p>
      <w:pPr>
        <w:spacing w:after="0" w:line="162" w:lineRule="exact"/>
        <w:rPr>
          <w:sz w:val="20"/>
          <w:szCs w:val="20"/>
          <w:color w:val="auto"/>
        </w:rPr>
      </w:pPr>
    </w:p>
    <w:p>
      <w:pPr>
        <w:ind w:left="120" w:right="60" w:firstLine="436"/>
        <w:spacing w:after="0" w:line="256" w:lineRule="auto"/>
        <w:tabs>
          <w:tab w:leader="none" w:pos="74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From the date hereof until the Termination Date (as defined below), the Holder agrees to vote (or cause to be voted), or deliver (or cause to be delivered) a written consent with respect to, and shall not enter into any agreement or otherwise give instructions to any person to vote in any manner inconsistent with this Support Agreement, at every meeting of the Obsidian shareholders (or any class or series of stockholders, as applicable) convened in connection with the matters related to the Merger Agreement, and at every adjournment or postponement thereof, and in connection with any action proposed to be taken by written consent of the stockholders of Obsidian, all Obsidian Shares it beneficially owns and is entitled to vote at such meeting:</w:t>
      </w:r>
    </w:p>
    <w:p>
      <w:pPr>
        <w:spacing w:after="0" w:line="93" w:lineRule="exact"/>
        <w:rPr>
          <w:sz w:val="20"/>
          <w:szCs w:val="20"/>
          <w:color w:val="auto"/>
        </w:rPr>
      </w:pPr>
    </w:p>
    <w:p>
      <w:pPr>
        <w:ind w:left="1080" w:right="100" w:hanging="532"/>
        <w:spacing w:after="0" w:line="266" w:lineRule="auto"/>
        <w:tabs>
          <w:tab w:leader="none" w:pos="10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favor of (i) the adoption and approval of the Merger Agreement and the terms thereof, including the Contemplated Transactions and the other actions contemplated by the Merger Agreement, (ii) the Obsidian Merger and (iii) all of the matters set forth in the Obsidian Stockholder Written Consent; and</w:t>
      </w:r>
    </w:p>
    <w:p>
      <w:pPr>
        <w:spacing w:after="0" w:line="81"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(i) any Acquisition Proposal, Acquisition Transaction or any other action that would reasonably be expected to interfere with, delay, impede, postpone, discourage or adversely affect the consummation of the Contemplated Transactions, and (ii) against any action or agreement that would reasonably be expected to result in a breach of any representation, warranty, covenant or obligation of Obsidian in the Merger Agreement (clauses (a) and (b) collectively, the “</w:t>
      </w:r>
      <w:r>
        <w:rPr>
          <w:rFonts w:ascii="Times New Roman" w:cs="Times New Roman" w:eastAsia="Times New Roman" w:hAnsi="Times New Roman"/>
          <w:sz w:val="18"/>
          <w:szCs w:val="18"/>
          <w:b w:val="1"/>
          <w:bCs w:val="1"/>
          <w:color w:val="auto"/>
        </w:rPr>
        <w:t>Supported Matters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00" w:firstLine="440"/>
        <w:spacing w:after="0" w:line="269" w:lineRule="auto"/>
        <w:rPr>
          <w:sz w:val="20"/>
          <w:szCs w:val="20"/>
          <w:color w:val="auto"/>
        </w:rPr>
      </w:pPr>
      <w:r>
        <w:rPr>
          <w:rFonts w:ascii="Times New Roman" w:cs="Times New Roman" w:eastAsia="Times New Roman" w:hAnsi="Times New Roman"/>
          <w:sz w:val="17"/>
          <w:szCs w:val="17"/>
          <w:color w:val="auto"/>
        </w:rPr>
        <w:t>Nothing in this Support Agreement shall require the Holder to vote in any manner, or deliver a written consent, with respect to any amendment to the Merger Agreement or the taking of any action that would reasonably be expected to result in the amendment, modification or waiver of a provision of the Merger Agreement in a manner that (1) decreases the Obsidian Exchange Ratio or changes the form or reduces the amount of the consideration payable to shareholders of Obsidian in the Contemplated Transactions; (2) increases the Galera Exchange Ratio or changes the form or increases the amount of the consideration payable to shareholders of Galera in the Contemplated Transactions, (3) is material and adverse to the Holder, or</w:t>
      </w:r>
    </w:p>
    <w:p>
      <w:pPr>
        <w:spacing w:after="0" w:line="3" w:lineRule="exact"/>
        <w:rPr>
          <w:sz w:val="20"/>
          <w:szCs w:val="20"/>
          <w:color w:val="auto"/>
        </w:rPr>
      </w:pPr>
    </w:p>
    <w:p>
      <w:pPr>
        <w:ind w:left="120" w:right="60" w:hanging="4"/>
        <w:spacing w:after="0" w:line="260" w:lineRule="auto"/>
        <w:tabs>
          <w:tab w:leader="none" w:pos="37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any restrictions or any additional conditions on the consummation of the Contemplated Transactions. For the avoidance of doubt, other than with respect to the Supported Matters, the Holder does not have any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140"/>
          </w:cols>
          <w:pgMar w:left="320" w:top="454" w:right="439" w:bottom="1440" w:gutter="0" w:footer="0" w:header="0"/>
        </w:sectPr>
      </w:pPr>
    </w:p>
    <w:bookmarkStart w:id="602" w:name="page603"/>
    <w:bookmarkEnd w:id="6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20"/>
        <w:spacing w:after="0" w:line="266" w:lineRule="auto"/>
        <w:rPr>
          <w:sz w:val="20"/>
          <w:szCs w:val="20"/>
          <w:color w:val="auto"/>
        </w:rPr>
      </w:pPr>
      <w:r>
        <w:rPr>
          <w:rFonts w:ascii="Times New Roman" w:cs="Times New Roman" w:eastAsia="Times New Roman" w:hAnsi="Times New Roman"/>
          <w:sz w:val="18"/>
          <w:szCs w:val="18"/>
          <w:color w:val="auto"/>
        </w:rPr>
        <w:t>obligation to vote, or deliver a written consent with respect to, the Obsidian Shares in any particular manner and, with respect to such other matters (other than the Supported Matters), the Holder shall be entitled to vote, or deliver a written consent with respect to, the Obsidian Shares in its sole discretion.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From the date hereof until the Termination Date, in the event of (i) a stock split, stock dividend or distribution, or any change in the capital stock of Obsidian by reason of any split-up, reverse stock split, recapitalization, combination, reclassification, reincorporation, exchange of shares or the like or (ii) the acquisition of sole or shared voting power by the Holder of additional shares of capital stock or other equity securities of Obsidian, whether by the exercise of Obsidian Options, conversion of Obsidian Preferred Stock or otherwise, including, without limitation, by gift or succession, then the term “Obsidian Shares” shall be deemed to refer to and include such shares as well as all such stock dividends and distributions and any securities into which or for which any or all of such shares may be changed or exchanged or which are received in such transaction, and such Obsidian Shares shall be subject to the terms and conditions of this Support Agreement to the same extent as if they constituted Obsidian Shares as of the date of the execution of this Support Agreement, without the need for any further action by the parties (including, for the avoidance of doubt, with respect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firstLine="436"/>
        <w:spacing w:after="0" w:line="258" w:lineRule="auto"/>
        <w:tabs>
          <w:tab w:leader="none" w:pos="74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Written Consent</w:t>
      </w:r>
      <w:r>
        <w:rPr>
          <w:rFonts w:ascii="Times New Roman" w:cs="Times New Roman" w:eastAsia="Times New Roman" w:hAnsi="Times New Roman"/>
          <w:sz w:val="18"/>
          <w:szCs w:val="18"/>
          <w:color w:val="auto"/>
        </w:rPr>
        <w:t>. Promptly after the Registration Statement is declared effective under the Securities Act, the Holder agrees to irrevocably execute and deliver, or cause to be delivered, to Obsidian and Galera its duly executed counterpart to the Obsidian Stockholder Written Consent. The Obsidian Stockholder Written Consent shall be given in accordance with such procedures relating thereto, including pursuant to the Delaware General Corporation Law and each of Obsidian’s organizational documents so as to ensure that it is duly counted for purposes of recording the results of the Obsidian Stockholder Written Consent and otherwise effective for all purposes, including under the DGCL.</w:t>
      </w:r>
    </w:p>
    <w:p>
      <w:pPr>
        <w:spacing w:after="0" w:line="183" w:lineRule="exact"/>
        <w:rPr>
          <w:rFonts w:ascii="Times New Roman" w:cs="Times New Roman" w:eastAsia="Times New Roman" w:hAnsi="Times New Roman"/>
          <w:sz w:val="18"/>
          <w:szCs w:val="18"/>
          <w:color w:val="auto"/>
        </w:rPr>
      </w:pPr>
    </w:p>
    <w:p>
      <w:pPr>
        <w:ind w:left="120" w:right="40" w:firstLine="436"/>
        <w:spacing w:after="0" w:line="268" w:lineRule="auto"/>
        <w:tabs>
          <w:tab w:leader="none" w:pos="740"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Transfer</w:t>
      </w:r>
      <w:r>
        <w:rPr>
          <w:rFonts w:ascii="Times New Roman" w:cs="Times New Roman" w:eastAsia="Times New Roman" w:hAnsi="Times New Roman"/>
          <w:sz w:val="17"/>
          <w:szCs w:val="17"/>
          <w:color w:val="auto"/>
        </w:rPr>
        <w:t>. From the date hereof until the Termination Date, the Holder agrees not to, directly or indirectly, sell, transfer, pledge, encumber (other than liens arising under or imposed by applicable law or pursuant to this Support Agreement, the Merger Agreement or the transactions contemplated hereby or thereby), assign, gift or otherwise dispose of (collectively, a “</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xml:space="preserve">”) or enter into any contract, option or other arrangement or understanding with respect to any Transfer of, any of the Obsidian Shares. Any Transfer or purported Transfer of Obsidian Shares in breach or violation of this Support Agreement shall be void and of no force or effect. Notwithstanding the foregoing, the restrictions set forth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shall not apply to: (a) Transfers by gift to members of the Holder’s immediate family or to a trust, the beneficiary of which is a member of the Holder’s immediate family, an affiliate of such Person or to a charitable organization; (b) Transfers by virtue of laws of descent and distribution upon death of the individual; (c) Transfers by operation of law or pursuant to a court order, such as a qualified domestic relations order, divorce decree or separation agreement; (d) Transfers to a partnership, limited liability company or other entity of which the Holder and/or the immediate family of the Holder are the legal and beneficial owner of all of the outstanding equity securities or similar interests; (e) Transfers to a trustor or beneficiary of the trust, to the designated nominee of a beneficiary of such trust or to the estate of a beneficiary of such trust; (f) Transfers by virtue of the laws of the state of the entity’s organization and the entity’s organizational documents upon dissolution of the entity; (g) the settlement, exercise, termination or vesting of any Obsidian Options or Obsidian Warrants, including in order to (i) pay the exercise price thereof or (ii) satisfy taxes applicable thereto; (h) the conversion of the Obsidian Preferred Stock into Obsidian Common Stock; and (i) Transfers to any Affiliate, equityholder, partner or member of such Holder;</w:t>
      </w:r>
    </w:p>
    <w:p>
      <w:pPr>
        <w:spacing w:after="0" w:line="18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fullest extent permitted by applicable Law, for any permitted Transfers pursuant clauses (a) to (i) (other than clause (g)),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Obsidian Shares so Transferred shall continue to be subject to the provisions of this Support Agreement and, as a condition precedent to any such Transfer, these permitted transferees must enter into a written agreement, in substantially the form of this Support Agreement, agreeing to be bound by the restrictions in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and shall have the same rights and benefits under this Support Agreement.</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120"/>
          </w:cols>
          <w:pgMar w:left="320" w:top="454" w:right="459" w:bottom="1440" w:gutter="0" w:footer="0" w:header="0"/>
        </w:sectPr>
      </w:pPr>
    </w:p>
    <w:bookmarkStart w:id="603" w:name="page604"/>
    <w:bookmarkEnd w:id="6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Holder</w:t>
      </w:r>
      <w:r>
        <w:rPr>
          <w:rFonts w:ascii="Times New Roman" w:cs="Times New Roman" w:eastAsia="Times New Roman" w:hAnsi="Times New Roman"/>
          <w:sz w:val="18"/>
          <w:szCs w:val="18"/>
          <w:color w:val="auto"/>
        </w:rPr>
        <w:t>. The Holder hereby represents and warrants to Obsidian and Galera as follows:</w:t>
      </w:r>
    </w:p>
    <w:p>
      <w:pPr>
        <w:spacing w:after="0" w:line="117" w:lineRule="exact"/>
        <w:rPr>
          <w:sz w:val="20"/>
          <w:szCs w:val="20"/>
          <w:color w:val="auto"/>
        </w:rPr>
      </w:pPr>
    </w:p>
    <w:p>
      <w:pPr>
        <w:ind w:left="120" w:right="60" w:firstLine="436"/>
        <w:spacing w:after="0" w:line="282" w:lineRule="auto"/>
        <w:tabs>
          <w:tab w:leader="none" w:pos="80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full power and authority (or legal capacity, if the Holder is a natural person) to execute and deliver this Support Agreement and to perform the Holder’s obligations hereunder;</w:t>
      </w:r>
    </w:p>
    <w:p>
      <w:pPr>
        <w:spacing w:after="0" w:line="161"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Support Agreement has been duly executed and delivered by the Holder, and, assuming this Support Agreement constitutes a valid and binding obligation of Obsidian and Galera, constitutes a valid and binding obligation of the Holder enforceable against the Holder in accordance with its terms, subject to (i) laws of general application relating to bankruptcy, insolvency and the relief of debtors, and (ii) rules of law governing specific performance, injunctive relief and other equitable remedies, and the Holder understands that each of Obsidian and Galera is entering into the Merger Agreement in reliance upon the Holder’s execution and delivery of this Support Agreement;</w:t>
      </w:r>
    </w:p>
    <w:p>
      <w:pPr>
        <w:spacing w:after="0" w:line="183" w:lineRule="exact"/>
        <w:rPr>
          <w:rFonts w:ascii="Times New Roman" w:cs="Times New Roman" w:eastAsia="Times New Roman" w:hAnsi="Times New Roman"/>
          <w:sz w:val="18"/>
          <w:szCs w:val="18"/>
          <w:color w:val="auto"/>
        </w:rPr>
      </w:pPr>
    </w:p>
    <w:p>
      <w:pPr>
        <w:ind w:left="120" w:right="320" w:firstLine="436"/>
        <w:spacing w:after="0" w:line="282" w:lineRule="auto"/>
        <w:tabs>
          <w:tab w:leader="none" w:pos="80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is the record or beneficial owner of the Obsidian Shares and does not beneficially own any securities of Obsidian other than the shares of Obsidian Common Stock and rights to purchase or otherwise acquire shares of Obsidian Common Stock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60" w:firstLine="436"/>
        <w:spacing w:after="0" w:line="266" w:lineRule="auto"/>
        <w:tabs>
          <w:tab w:leader="none" w:pos="81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Support Agreement by the Holder will not (i) result in a violation or breach of any agreement to which the Holder is a party, (ii) violate any Law or order applicable to the Holder or (iii) if Holder is an entity, violate any constituent or organizational document, except in each case as would not prevent or materially delay the Holder from performing its obligations hereunder;</w:t>
      </w:r>
    </w:p>
    <w:p>
      <w:pPr>
        <w:spacing w:after="0" w:line="175" w:lineRule="exact"/>
        <w:rPr>
          <w:rFonts w:ascii="Times New Roman" w:cs="Times New Roman" w:eastAsia="Times New Roman" w:hAnsi="Times New Roman"/>
          <w:sz w:val="18"/>
          <w:szCs w:val="18"/>
          <w:color w:val="auto"/>
        </w:rPr>
      </w:pPr>
    </w:p>
    <w:p>
      <w:pPr>
        <w:ind w:left="120" w:right="80" w:firstLine="436"/>
        <w:spacing w:after="0" w:line="266" w:lineRule="auto"/>
        <w:tabs>
          <w:tab w:leader="none" w:pos="80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Support Agreement, there is no proceeding pending or, to the knowledge of the Holder, threatened against the Holder or any of the Holder’s properties or assets (whether tangible or intangible) that would reasonably be expected to prevent or materially impair the ability of the Holder to perform the Holder’s obligations hereunder;</w:t>
      </w:r>
    </w:p>
    <w:p>
      <w:pPr>
        <w:spacing w:after="0" w:line="175" w:lineRule="exact"/>
        <w:rPr>
          <w:rFonts w:ascii="Times New Roman" w:cs="Times New Roman" w:eastAsia="Times New Roman" w:hAnsi="Times New Roman"/>
          <w:sz w:val="18"/>
          <w:szCs w:val="18"/>
          <w:color w:val="auto"/>
        </w:rPr>
      </w:pPr>
    </w:p>
    <w:p>
      <w:pPr>
        <w:ind w:left="120" w:right="100" w:firstLine="436"/>
        <w:spacing w:after="0" w:line="256" w:lineRule="auto"/>
        <w:tabs>
          <w:tab w:leader="none" w:pos="78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Holder does not have any agreement, arrangement, or understanding, whether written or oral, formal or informal, with any other holder of Obsidian Common Stock to act together for the purpose of acquiring, holding, voting, or disposing of shares of Obsidian Common Stock, nor does the Holder otherwise act in concert with any other holder of Obsidian Common Stock in connection with the exercise of any rights or powers arising from the ownership of Obsidian Common Stock and (ii) without limiting the generality of the foregoing, the Holder is not a member of a “group” (as such term is used in Section 13(d)(3) of the Exchange Act) with any other holder of any equity securities of Obsidian for the purpose of acquiring, holding, voting, or disposing of equity securities of Obsidian; and</w:t>
      </w:r>
    </w:p>
    <w:p>
      <w:pPr>
        <w:spacing w:after="0" w:line="187" w:lineRule="exact"/>
        <w:rPr>
          <w:rFonts w:ascii="Times New Roman" w:cs="Times New Roman" w:eastAsia="Times New Roman" w:hAnsi="Times New Roman"/>
          <w:sz w:val="18"/>
          <w:szCs w:val="18"/>
          <w:color w:val="auto"/>
        </w:rPr>
      </w:pPr>
    </w:p>
    <w:p>
      <w:pPr>
        <w:ind w:left="120" w:right="20" w:firstLine="436"/>
        <w:spacing w:after="0" w:line="254" w:lineRule="auto"/>
        <w:tabs>
          <w:tab w:leader="none" w:pos="81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had the opportunity to review the Merger Agreement, including the provisions relating to the payment and allocation of the consideration to be paid to the stockholders of Obsidian, and this Agreement with counsel of the Holder’s own choosing. The Holder has had an opportunity to review with its own tax advisors the tax consequences of the Mergers and the Contemplated Transactions. The Holder understands that it must rely solely on its advisors and not on any statements or representations made by Obsidian or Galera, or any of their respective agents or representatives. The Holder understands that the Holder (and not Obsidian, Galera or Parent) shall be responsible for the Holder’s tax liability that may arise as a result of the Obsidian Merger or the transactions contemplated by the Merger Agreement. The Holder understands and acknowledges that Obsidian, Galera, Parent, Obsidian Merger Sub and Galera Merger Sub are entering into the Merger Agreement in reliance upon the Holder’s execution, delivery and performance of this Agreement.</w:t>
      </w:r>
    </w:p>
    <w:p>
      <w:pPr>
        <w:spacing w:after="0" w:line="192" w:lineRule="exact"/>
        <w:rPr>
          <w:sz w:val="20"/>
          <w:szCs w:val="20"/>
          <w:color w:val="auto"/>
        </w:rPr>
      </w:pPr>
    </w:p>
    <w:p>
      <w:pPr>
        <w:ind w:left="120" w:right="20" w:firstLine="436"/>
        <w:spacing w:after="0" w:line="289" w:lineRule="auto"/>
        <w:tabs>
          <w:tab w:leader="none" w:pos="740" w:val="left"/>
        </w:tabs>
        <w:numPr>
          <w:ilvl w:val="0"/>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Impact on Directors’ or Officers’ Duties</w:t>
      </w:r>
      <w:r>
        <w:rPr>
          <w:rFonts w:ascii="Times New Roman" w:cs="Times New Roman" w:eastAsia="Times New Roman" w:hAnsi="Times New Roman"/>
          <w:sz w:val="17"/>
          <w:szCs w:val="17"/>
          <w:color w:val="auto"/>
        </w:rPr>
        <w:t>. Notwithstanding any provision of this Support Agreement to the contrary, the parties acknowledge that (a) the Holder is entering into this Support Agreement solely in the Holder’s capacity as a record or beneficial owner of Obsidian Common Stock and not in such Holder’s capacity as a director, officer or employee of Obsidian or in the Holder’s capacity as a trustee or fiduciary of any Obsidian</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00"/>
          </w:cols>
          <w:pgMar w:left="320" w:top="454" w:right="479" w:bottom="1440" w:gutter="0" w:footer="0" w:header="0"/>
        </w:sectPr>
      </w:pPr>
    </w:p>
    <w:bookmarkStart w:id="604" w:name="page605"/>
    <w:bookmarkEnd w:id="6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Equity Plans and (b) nothing in this Support Agreement is intended to limit or restrict the Holder, or a designee of the Holder, who is a director or officer of Obsidian from taking any action or inaction or voting in favor in the Holder’s sole discretion on any matter in his or her capacity as a director of Obsidian or in the Holder’s capacity as a trustee or fiduciary of any Obsidian Equity Plans (if applicable), or fulfilling the obligations of such office, and none of such actions in such capacity shall be deemed to constitute a breach of this Support Agreement.</w:t>
      </w:r>
    </w:p>
    <w:p>
      <w:pPr>
        <w:spacing w:after="0" w:line="180" w:lineRule="exact"/>
        <w:rPr>
          <w:sz w:val="20"/>
          <w:szCs w:val="20"/>
          <w:color w:val="auto"/>
        </w:rPr>
      </w:pPr>
    </w:p>
    <w:p>
      <w:pPr>
        <w:ind w:left="120" w:right="80" w:firstLine="436"/>
        <w:spacing w:after="0" w:line="276" w:lineRule="auto"/>
        <w:tabs>
          <w:tab w:leader="none" w:pos="740" w:val="left"/>
        </w:tabs>
        <w:numPr>
          <w:ilvl w:val="1"/>
          <w:numId w:val="4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w:t>
      </w:r>
    </w:p>
    <w:p>
      <w:pPr>
        <w:ind w:left="120" w:right="60" w:hanging="4"/>
        <w:spacing w:after="0" w:line="255" w:lineRule="auto"/>
        <w:tabs>
          <w:tab w:leader="none" w:pos="37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if to Obsidian,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Obsidian Therapeutics,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1030 Massachusetts Avenue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Cambridge, MA 02138</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William Collins; Gabriela Morales-Rivera; Tevia K. Pollard</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WCollins@goodwinlaw.com; GMoralesRivera@goodwinlaw.com;</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TPollard@goodwinlaw.com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 if to Galera, to:</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101 Lindenwood Drive, Suite 225</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Attn: Mel Sorensen; Joel Sussman</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1540" w:right="8000" w:firstLine="8"/>
        <w:spacing w:after="0" w:line="265" w:lineRule="auto"/>
        <w:tabs>
          <w:tab w:leader="none" w:pos="1855" w:val="left"/>
        </w:tabs>
        <w:numPr>
          <w:ilvl w:val="1"/>
          <w:numId w:val="4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Seventh Ave New York, NY 10019</w:t>
      </w: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Attn: Asher Rubin, John Butler</w:t>
      </w:r>
    </w:p>
    <w:p>
      <w:pPr>
        <w:spacing w:after="0" w:line="9"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Phone: (410) 559-2881, (212) 839-8513</w:t>
      </w:r>
    </w:p>
    <w:p>
      <w:pPr>
        <w:spacing w:after="0" w:line="9"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Email: arubin@sidley.com, john.butler@sidley.com</w:t>
      </w:r>
    </w:p>
    <w:p>
      <w:pPr>
        <w:spacing w:after="0" w:line="206" w:lineRule="exact"/>
        <w:rPr>
          <w:rFonts w:ascii="Times New Roman" w:cs="Times New Roman" w:eastAsia="Times New Roman" w:hAnsi="Times New Roman"/>
          <w:sz w:val="17"/>
          <w:szCs w:val="17"/>
          <w:color w:val="auto"/>
        </w:rPr>
      </w:pPr>
    </w:p>
    <w:p>
      <w:pPr>
        <w:ind w:left="720" w:hanging="164"/>
        <w:spacing w:after="0"/>
        <w:tabs>
          <w:tab w:leader="none" w:pos="72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Holder, at the e-mail address on the signature page hereto.</w:t>
      </w:r>
    </w:p>
    <w:p>
      <w:pPr>
        <w:spacing w:after="0" w:line="225" w:lineRule="exact"/>
        <w:rPr>
          <w:sz w:val="20"/>
          <w:szCs w:val="20"/>
          <w:color w:val="auto"/>
        </w:rPr>
      </w:pPr>
    </w:p>
    <w:p>
      <w:pPr>
        <w:ind w:left="120" w:right="60" w:firstLine="436"/>
        <w:spacing w:after="0" w:line="276" w:lineRule="auto"/>
        <w:tabs>
          <w:tab w:leader="none" w:pos="740" w:val="left"/>
        </w:tabs>
        <w:numPr>
          <w:ilvl w:val="1"/>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Support Agreement shall automatically terminate upon the earliest to occur of (a) such date and time as the Merger Agreement shall have been validly terminated, (b) such date and time as there is any amendment of any term or provision of the Merger Agreement that</w:t>
      </w:r>
    </w:p>
    <w:p>
      <w:pPr>
        <w:ind w:left="120" w:right="280" w:hanging="4"/>
        <w:spacing w:after="0" w:line="255" w:lineRule="auto"/>
        <w:tabs>
          <w:tab w:leader="none" w:pos="335"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the Obsidian Exchange Ratio or changes the form or reduces the amount of the consideration payable to shareholders of Obsidian in the Contemplated Transactions or (ii) increases the Galera Exchange Ratio or changes the form or increases the amount of the consideration payable to shareholders of Galera in the Contemplated Transactions, (c) the Outside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20"/>
          </w:cols>
          <w:pgMar w:left="320" w:top="454" w:right="45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Date, unless the Outside Date is extended for an additional ninety (90) day period as set forth in the Merger Agreement (but without taking into account any extension thereof agreed by the parties following the date of this Support Agreement), (d) the Obsidian Effective Time and (e) such date and time as a written agreement executed by the parties hereto to terminate this Support Agreement is effective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36"/>
        <w:spacing w:after="0" w:line="261" w:lineRule="auto"/>
        <w:tabs>
          <w:tab w:leader="none" w:pos="7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Transfer Instructions</w:t>
      </w:r>
      <w:r>
        <w:rPr>
          <w:rFonts w:ascii="Times New Roman" w:cs="Times New Roman" w:eastAsia="Times New Roman" w:hAnsi="Times New Roman"/>
          <w:sz w:val="18"/>
          <w:szCs w:val="18"/>
          <w:color w:val="auto"/>
        </w:rPr>
        <w:t>. At all times commencing with the execution and delivery of this Support Agreement and continuing until the Termination Date, in furtherance of this Support Agreement, the Holder hereby authorizes Obsidian or its counsel to notify Obsidian’s transfer agent that there is a stop transfer order with respect to all of the Obsidian Shares (and that this Support Agreement places limits on the voting and transfer of such Obsidian Shares).</w:t>
      </w:r>
    </w:p>
    <w:p>
      <w:pPr>
        <w:spacing w:after="0" w:line="179" w:lineRule="exact"/>
        <w:rPr>
          <w:rFonts w:ascii="Times New Roman" w:cs="Times New Roman" w:eastAsia="Times New Roman" w:hAnsi="Times New Roman"/>
          <w:sz w:val="18"/>
          <w:szCs w:val="18"/>
          <w:color w:val="auto"/>
        </w:rPr>
      </w:pPr>
    </w:p>
    <w:p>
      <w:pPr>
        <w:ind w:left="120" w:right="40" w:firstLine="436"/>
        <w:spacing w:after="0" w:line="252" w:lineRule="auto"/>
        <w:tabs>
          <w:tab w:leader="none" w:pos="74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 xml:space="preserve">. By execution of this Agreement, the Holder does hereby appoint Obsidian and any of its designees with full power of substitution and resubstitution, as the Holder’s true and lawful attorney and irrevocable proxy, to the fullest extent of the Holder’s rights with respect to the Obsidian Shares, to vote and exercise all voting and related rights, including the right to sign the Holder’s name (solely in its capacity as a stockholder) to any stockholder consent, if the Holder fails to vote his, her or its Obsidian Shares, or otherwise fails to perform or comply with such Stockholder’s obligations under this Agreement, solely with respect to the matters set forth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hereof by 5:00 p.m. (Eastern Time) on the day immediately preceding the meeting date (or date upon which written consents are requested to be submitted), provided the Holder has received information regarding the meeting or request for written consent at least five (5) Business Days before such shareholder meeting or any consent solicitation or other vote taken of Obsidian’s stockholders. The Holder intends this proxy to be irrevocable and coupled with an interest hereunder until the Termination Date, hereby revokes (or agrees to cause to be revoked) any proxy previously granted by the Holder with respect to the Obsidian Shares and represents that none of such previously-granted proxies are irrevocable. The Holder hereby affirms that the proxy set forth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is given in connection with, and granted in consideration of, and as an inducement to Obsidian, Galera, Parent, Obsidian Merger Sub and Galera Merger Sub to enter into the Merger Agreement and that such proxy is given to secure the obligations of the Holder under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The irrevocable proxy and power of attorney granted herein shall survive the death or incapacity of the Holder and the obligations of the Holder shall be binding on the Holder’s heirs, personal representatives, successors, transferees and assigns. The Holder hereby agrees not to grant any subsequent powers of attorney or proxies with respect to any Obsidian Shares with respect to the matters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until after the Termination Date. With respect to any Obsidian Shares that are owned beneficially by the Holder but are not held of record by the Holder (other than shares beneficially owned by the Holder that are held in the name of a bank, broker or nominee), the Holder shall take all action necessary to cause the record holder of such Obsidian Shares to grant the irrevocable proxy and take all other actions provided for in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with respect to such Obsidian Shares. Notwithstanding anything contained herein to the contrary, this irrevocable proxy shall automatically terminate upon the Termination Date.</w:t>
      </w:r>
    </w:p>
    <w:p>
      <w:pPr>
        <w:spacing w:after="0" w:line="190" w:lineRule="exact"/>
        <w:rPr>
          <w:rFonts w:ascii="Times New Roman" w:cs="Times New Roman" w:eastAsia="Times New Roman" w:hAnsi="Times New Roman"/>
          <w:sz w:val="18"/>
          <w:szCs w:val="18"/>
          <w:color w:val="auto"/>
        </w:rPr>
      </w:pPr>
    </w:p>
    <w:p>
      <w:pPr>
        <w:ind w:left="120" w:right="40" w:firstLine="436"/>
        <w:spacing w:after="0" w:line="256" w:lineRule="auto"/>
        <w:tabs>
          <w:tab w:leader="none" w:pos="83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Obsidian Board Adverse Recommendation Change</w:t>
      </w:r>
      <w:r>
        <w:rPr>
          <w:rFonts w:ascii="Times New Roman" w:cs="Times New Roman" w:eastAsia="Times New Roman" w:hAnsi="Times New Roman"/>
          <w:sz w:val="18"/>
          <w:szCs w:val="18"/>
          <w:color w:val="auto"/>
        </w:rPr>
        <w:t>. In the event of a Obsidian Board Adverse Recommendation Change made in compliance with the terms of the Merger Agreement, then the aggregate number of Obsidian Shares hereunder shall be reduced (with such reduction applying to each Holder, subject to a similar voting agreement, on a pro rata basis in accordance with each Holder’s relative Obsidian Shares and rounded up to the nearest whole Obsidian Share) without any action by Obsidian or the Holders such that the number of Obsidian Shares held, collectively, by all Holders, subject to a similar voting agreement, shall represent in the aggregate that number of shares (after such reduction) equal to twenty-five percent (25%) of the outstanding shares of Obsidian Common Stock.</w:t>
      </w:r>
    </w:p>
    <w:p>
      <w:pPr>
        <w:spacing w:after="0" w:line="187" w:lineRule="exact"/>
        <w:rPr>
          <w:rFonts w:ascii="Times New Roman" w:cs="Times New Roman" w:eastAsia="Times New Roman" w:hAnsi="Times New Roman"/>
          <w:sz w:val="18"/>
          <w:szCs w:val="18"/>
          <w:color w:val="auto"/>
        </w:rPr>
      </w:pPr>
    </w:p>
    <w:p>
      <w:pPr>
        <w:ind w:left="120" w:right="600" w:firstLine="436"/>
        <w:spacing w:after="0" w:line="282" w:lineRule="auto"/>
        <w:tabs>
          <w:tab w:leader="none" w:pos="823"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The Holder hereby waives, and agrees not to exercise or assert, any appraisal rights under applicable Law, including Section 262 of Delaware Law, in connection with the Obsidian Merger.</w:t>
      </w:r>
    </w:p>
    <w:p>
      <w:pPr>
        <w:spacing w:after="0" w:line="161" w:lineRule="exact"/>
        <w:rPr>
          <w:rFonts w:ascii="Times New Roman" w:cs="Times New Roman" w:eastAsia="Times New Roman" w:hAnsi="Times New Roman"/>
          <w:sz w:val="18"/>
          <w:szCs w:val="18"/>
          <w:color w:val="auto"/>
        </w:rPr>
      </w:pPr>
    </w:p>
    <w:p>
      <w:pPr>
        <w:ind w:left="120" w:right="700" w:firstLine="436"/>
        <w:spacing w:after="0" w:line="282" w:lineRule="auto"/>
        <w:tabs>
          <w:tab w:leader="none" w:pos="830"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Legal Actions</w:t>
      </w:r>
      <w:r>
        <w:rPr>
          <w:rFonts w:ascii="Times New Roman" w:cs="Times New Roman" w:eastAsia="Times New Roman" w:hAnsi="Times New Roman"/>
          <w:sz w:val="18"/>
          <w:szCs w:val="18"/>
          <w:color w:val="auto"/>
        </w:rPr>
        <w:t>. The Holder will not in its capacity as a stockholder of Obsidian bring, commence, institute, maintain, prosecute or voluntarily aid any Legal Proceeding which (i) challenges the validity or seeks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20"/>
          </w:cols>
          <w:pgMar w:left="320" w:top="454" w:right="459" w:bottom="1440" w:gutter="0" w:footer="0" w:header="0"/>
        </w:sectPr>
      </w:pPr>
    </w:p>
    <w:bookmarkStart w:id="606" w:name="page607"/>
    <w:bookmarkEnd w:id="6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enjoin the operation of any provision of this Agreement or (ii) alleges that the execution and delivery of this Agreement by the Holder, either alone or together with the other voting agreements and proxies to be delivered in connection with the execution of the Merger Agreement, or the approval of the Merger Agreement and the Contemplated Transactions by the Obsidian Board, constitutes a breach of any fiduciary duty of the Obsidian Board or any member thereof.</w:t>
      </w:r>
    </w:p>
    <w:p>
      <w:pPr>
        <w:spacing w:after="0" w:line="180" w:lineRule="exact"/>
        <w:rPr>
          <w:sz w:val="20"/>
          <w:szCs w:val="20"/>
          <w:color w:val="auto"/>
        </w:rPr>
      </w:pPr>
    </w:p>
    <w:p>
      <w:pPr>
        <w:ind w:left="120" w:right="380" w:firstLine="436"/>
        <w:spacing w:after="0" w:line="282" w:lineRule="auto"/>
        <w:tabs>
          <w:tab w:leader="none" w:pos="83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Support Agreement constitutes the entire agreement, and supersedes all prior agreements and understanding, both written and oral, among the parties hereto with respect to the subject matter hereof and is fully binding on the parties hereto.</w:t>
      </w:r>
    </w:p>
    <w:p>
      <w:pPr>
        <w:spacing w:after="0" w:line="161" w:lineRule="exact"/>
        <w:rPr>
          <w:rFonts w:ascii="Times New Roman" w:cs="Times New Roman" w:eastAsia="Times New Roman" w:hAnsi="Times New Roman"/>
          <w:sz w:val="18"/>
          <w:szCs w:val="18"/>
          <w:color w:val="auto"/>
        </w:rPr>
      </w:pPr>
    </w:p>
    <w:p>
      <w:pPr>
        <w:ind w:left="120" w:firstLine="436"/>
        <w:spacing w:after="0" w:line="254" w:lineRule="auto"/>
        <w:tabs>
          <w:tab w:leader="none" w:pos="83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Support Agreement may be executed in one or more counterparts, all of which shall be considered one and the same agreement and shall become effective when one or more counterparts have been signed by each of the parties and delivered to the other parties. Any such counterpart, to the extent delivered by DocuSign or AdobeSign, fax or .pdf, .tif, .gif, .jpg or similar attachment to electronic mail (any such delivery, an “</w:t>
      </w: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will be treated in all manner and respects as an original executed counterpart and will be considered to have the same binding legal effect as if it were the original signed version thereof delivered in person. No party hereto may raise the use of an Electronic Delivery to deliver a signature, or the fact that any signature or agreement or instrument was transmitted or communicated through the use of an Electronic Delivery, as a defense to the formation of a contract, and each party hereto forever waives any such defense, except to the extent such defense relates to lack of authenticity.</w:t>
      </w:r>
    </w:p>
    <w:p>
      <w:pPr>
        <w:spacing w:after="0" w:line="191" w:lineRule="exact"/>
        <w:rPr>
          <w:rFonts w:ascii="Times New Roman" w:cs="Times New Roman" w:eastAsia="Times New Roman" w:hAnsi="Times New Roman"/>
          <w:sz w:val="18"/>
          <w:szCs w:val="18"/>
          <w:color w:val="auto"/>
        </w:rPr>
      </w:pPr>
    </w:p>
    <w:p>
      <w:pPr>
        <w:jc w:val="both"/>
        <w:ind w:left="120" w:right="80" w:firstLine="436"/>
        <w:spacing w:after="0" w:line="261" w:lineRule="auto"/>
        <w:tabs>
          <w:tab w:leader="none" w:pos="83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Support Agreement nor any of the rights, interests or obligations under this Support Agreement shall be assigned, in whole or in part, by operation of law or otherwise by any of the parties without the prior written consent of the other parties. Any purported assignment without such consent shall be void. Subject to the preceding sentences, the terms of this Support Agreement shall be binding upon and shall inure to the benefit of each of the parties hereto and their respective successors and assigns.</w:t>
      </w:r>
    </w:p>
    <w:p>
      <w:pPr>
        <w:spacing w:after="0" w:line="179"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Support Agreement may not be amended or modified except in writing signed by each of the parties hereto.</w:t>
      </w:r>
    </w:p>
    <w:p>
      <w:pPr>
        <w:spacing w:after="0" w:line="225" w:lineRule="exact"/>
        <w:rPr>
          <w:rFonts w:ascii="Times New Roman" w:cs="Times New Roman" w:eastAsia="Times New Roman" w:hAnsi="Times New Roman"/>
          <w:sz w:val="18"/>
          <w:szCs w:val="18"/>
          <w:color w:val="auto"/>
        </w:rPr>
      </w:pPr>
    </w:p>
    <w:p>
      <w:pPr>
        <w:ind w:left="120" w:right="20" w:firstLine="436"/>
        <w:spacing w:after="0" w:line="253" w:lineRule="auto"/>
        <w:tabs>
          <w:tab w:leader="none" w:pos="83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 This Support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Support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w:t>
      </w:r>
    </w:p>
    <w:p>
      <w:pPr>
        <w:spacing w:after="0" w:line="194" w:lineRule="exact"/>
        <w:rPr>
          <w:rFonts w:ascii="Times New Roman" w:cs="Times New Roman" w:eastAsia="Times New Roman" w:hAnsi="Times New Roman"/>
          <w:sz w:val="18"/>
          <w:szCs w:val="18"/>
          <w:color w:val="auto"/>
        </w:rPr>
      </w:pPr>
    </w:p>
    <w:p>
      <w:pPr>
        <w:ind w:left="120" w:firstLine="436"/>
        <w:spacing w:after="0" w:line="261" w:lineRule="auto"/>
        <w:tabs>
          <w:tab w:leader="none" w:pos="83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acknowledges that, in view of the uniqueness of the transactions contemplated by this Support Agreement, the other party or parties hereto will not have an adequate remedy at law for money damages in the event that this Support Agreement has not been performed in accordance with its terms, and therefore agrees that such other party or parties shall be entitled to seek specific enforcement of the terms hereof in addition to any other remedy it may seek, at law or in equity.</w:t>
      </w:r>
    </w:p>
    <w:p>
      <w:pPr>
        <w:spacing w:after="0" w:line="179" w:lineRule="exact"/>
        <w:rPr>
          <w:rFonts w:ascii="Times New Roman" w:cs="Times New Roman" w:eastAsia="Times New Roman" w:hAnsi="Times New Roman"/>
          <w:sz w:val="18"/>
          <w:szCs w:val="18"/>
          <w:color w:val="auto"/>
        </w:rPr>
      </w:pPr>
    </w:p>
    <w:p>
      <w:pPr>
        <w:ind w:left="120" w:right="100" w:firstLine="436"/>
        <w:spacing w:after="0" w:line="282" w:lineRule="auto"/>
        <w:tabs>
          <w:tab w:leader="none" w:pos="830"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costs and expenses incurred in connection with this Support Agreement and the transactions contemplated hereby shall be paid by the party hereto incurring such fees, costs and expenses.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20"/>
          </w:cols>
          <w:pgMar w:left="320" w:top="454" w:right="459" w:bottom="1440" w:gutter="0" w:footer="0" w:header="0"/>
        </w:sectPr>
      </w:pPr>
    </w:p>
    <w:bookmarkStart w:id="607" w:name="page608"/>
    <w:bookmarkEnd w:id="6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36"/>
        <w:spacing w:after="0" w:line="253" w:lineRule="auto"/>
        <w:tabs>
          <w:tab w:leader="none" w:pos="830"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Support Agreement may only be enforced against, and any Legal Proceeding based upon, arising out of, or related to this Support Agreement, or the negotiation, execution or performance of this Support Agreement, may only be brought against the entities that are expressly named as parties hereto and then only with respect to the specific obligations set forth herein with respect to such party. No past, present or future director, officer, employee, incorporator, manager, member, general or limited partner, stockholder, equityholder, controlling person, Affiliate, agent, attorney or other Representative of any party hereto or any of their successors or permitted assigns or any director, officer, employee, incorporator, manager, member, direct or indirect general or limited partner, direct or indirect stockholder, direct or indirect equityholder, direct or indirect controlling person, Affiliate, agent, attorney, Representative, successor or permitted assign of any of the foregoing, shall have any liability to the Holder, Obsidian or Galera for any obligations or liabilities of any party under this Support Agreement or for any Legal Proceeding (whether in tort, contract or otherwise) based on, in respect of or by reason of the transactions contemplated hereby or in respect of any written or oral representations made or alleged to be made in connection herewith.</w:t>
      </w:r>
    </w:p>
    <w:p>
      <w:pPr>
        <w:spacing w:after="0" w:line="19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[The remainder of the page is intentionally left blank.]</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parties hereto have executed this Support Agreement as of the date first set forth above.</w:t>
      </w:r>
    </w:p>
    <w:p>
      <w:pPr>
        <w:spacing w:after="0" w:line="24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294005</wp:posOffset>
            </wp:positionV>
            <wp:extent cx="2794635"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17145</wp:posOffset>
            </wp:positionV>
            <wp:extent cx="2374265"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Agreed to and Acknowledged as of the date first set forth above:</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OBSIDIAN: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OBSIDIAN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240030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GALERA:</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17145</wp:posOffset>
            </wp:positionV>
            <wp:extent cx="24003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E-7</w:t>
      </w:r>
    </w:p>
    <w:p>
      <w:pPr>
        <w:sectPr>
          <w:pgSz w:w="11900" w:h="16838" w:orient="portrait"/>
          <w:cols w:equalWidth="0" w:num="1">
            <w:col w:w="11080"/>
          </w:cols>
          <w:pgMar w:left="320" w:top="454" w:right="499" w:bottom="1440" w:gutter="0" w:footer="0" w:header="0"/>
        </w:sectPr>
      </w:pPr>
    </w:p>
    <w:bookmarkStart w:id="608" w:name="page609"/>
    <w:bookmarkEnd w:id="6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Obsidian Shares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2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Holder</w:t>
            </w:r>
          </w:p>
        </w:tc>
        <w:tc>
          <w:tcPr>
            <w:tcW w:w="140" w:type="dxa"/>
            <w:vAlign w:val="bottom"/>
            <w:vMerge w:val="restart"/>
          </w:tcPr>
          <w:p>
            <w:pPr>
              <w:spacing w:after="0"/>
              <w:rPr>
                <w:sz w:val="13"/>
                <w:szCs w:val="13"/>
                <w:color w:val="auto"/>
              </w:rPr>
            </w:pPr>
          </w:p>
        </w:tc>
        <w:tc>
          <w:tcPr>
            <w:tcW w:w="22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Obsidian Common</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Obsidian Preferred</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Obsidian Options</w:t>
            </w:r>
          </w:p>
        </w:tc>
        <w:tc>
          <w:tcPr>
            <w:tcW w:w="120" w:type="dxa"/>
            <w:vAlign w:val="bottom"/>
            <w:vMerge w:val="restart"/>
          </w:tcPr>
          <w:p>
            <w:pPr>
              <w:spacing w:after="0"/>
              <w:rPr>
                <w:sz w:val="13"/>
                <w:szCs w:val="13"/>
                <w:color w:val="auto"/>
              </w:rPr>
            </w:pPr>
          </w:p>
        </w:tc>
        <w:tc>
          <w:tcPr>
            <w:tcW w:w="176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Obsidian Warrants</w:t>
            </w:r>
          </w:p>
        </w:tc>
        <w:tc>
          <w:tcPr>
            <w:tcW w:w="0" w:type="dxa"/>
            <w:vAlign w:val="bottom"/>
          </w:tcPr>
          <w:p>
            <w:pPr>
              <w:spacing w:after="0"/>
              <w:rPr>
                <w:sz w:val="1"/>
                <w:szCs w:val="1"/>
                <w:color w:val="auto"/>
              </w:rPr>
            </w:pPr>
          </w:p>
        </w:tc>
      </w:tr>
      <w:tr>
        <w:trPr>
          <w:trHeight w:val="187"/>
        </w:trPr>
        <w:tc>
          <w:tcPr>
            <w:tcW w:w="252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140"/>
          </w:cols>
          <w:pgMar w:left="320" w:top="456" w:right="439" w:bottom="1440" w:gutter="0" w:footer="0" w:header="0"/>
        </w:sectPr>
      </w:pPr>
    </w:p>
    <w:bookmarkStart w:id="609" w:name="page610"/>
    <w:bookmarkEnd w:id="6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F</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LOCK-UP AGREEMENT</w:t>
      </w:r>
    </w:p>
    <w:p>
      <w:pPr>
        <w:spacing w:after="0" w:line="225" w:lineRule="exact"/>
        <w:rPr>
          <w:sz w:val="20"/>
          <w:szCs w:val="20"/>
          <w:color w:val="auto"/>
        </w:rPr>
      </w:pPr>
    </w:p>
    <w:p>
      <w:pPr>
        <w:ind w:left="10500"/>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Obsidian Therapeutics,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1030 Massachusetts Avenue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Cambridge, MA 02138</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120" w:right="60"/>
        <w:spacing w:after="0" w:line="257" w:lineRule="auto"/>
        <w:rPr>
          <w:sz w:val="20"/>
          <w:szCs w:val="20"/>
          <w:color w:val="auto"/>
        </w:rPr>
      </w:pPr>
      <w:r>
        <w:rPr>
          <w:rFonts w:ascii="Times New Roman" w:cs="Times New Roman" w:eastAsia="Times New Roman" w:hAnsi="Times New Roman"/>
          <w:sz w:val="18"/>
          <w:szCs w:val="18"/>
          <w:color w:val="auto"/>
        </w:rPr>
        <w:t>The undersigned signatory of this lock-up agreement (this “</w:t>
      </w:r>
      <w:r>
        <w:rPr>
          <w:rFonts w:ascii="Times New Roman" w:cs="Times New Roman" w:eastAsia="Times New Roman" w:hAnsi="Times New Roman"/>
          <w:sz w:val="18"/>
          <w:szCs w:val="18"/>
          <w:b w:val="1"/>
          <w:bCs w:val="1"/>
          <w:i w:val="1"/>
          <w:iCs w:val="1"/>
          <w:color w:val="auto"/>
        </w:rPr>
        <w:t>Lock-Up Agreement</w:t>
      </w:r>
      <w:r>
        <w:rPr>
          <w:rFonts w:ascii="Times New Roman" w:cs="Times New Roman" w:eastAsia="Times New Roman" w:hAnsi="Times New Roman"/>
          <w:sz w:val="18"/>
          <w:szCs w:val="18"/>
          <w:color w:val="auto"/>
        </w:rPr>
        <w:t>”) understands that Obsidian Therapeutics,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entered into an Agreement and Plan of Merger, dated as of April 14, 2026 (as the same may be amended from time to time,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Galera Therapeutics, Inc., a Delaware corporation (“</w:t>
      </w:r>
      <w:r>
        <w:rPr>
          <w:rFonts w:ascii="Times New Roman" w:cs="Times New Roman" w:eastAsia="Times New Roman" w:hAnsi="Times New Roman"/>
          <w:sz w:val="18"/>
          <w:szCs w:val="18"/>
          <w:b w:val="1"/>
          <w:bCs w:val="1"/>
          <w:i w:val="1"/>
          <w:iCs w:val="1"/>
          <w:color w:val="auto"/>
        </w:rPr>
        <w:t>Galera</w:t>
      </w:r>
      <w:r>
        <w:rPr>
          <w:rFonts w:ascii="Times New Roman" w:cs="Times New Roman" w:eastAsia="Times New Roman" w:hAnsi="Times New Roman"/>
          <w:sz w:val="18"/>
          <w:szCs w:val="18"/>
          <w:color w:val="auto"/>
        </w:rPr>
        <w:t>”), Gazelle Parent, Inc., a Delaware corporation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Onyx MergerSub, Inc., a Delaware corporation and a direct, wholly owned subsidiary of Parent and Gazelle Merger Subsidiary, Inc., a Delaware corporation and a direct, wholly owned subsidiary of Parent. Capitalized terms used but not otherwise defined herein shall have the respective meanings ascribed to such terms in the Merger Agreement.</w:t>
      </w:r>
    </w:p>
    <w:p>
      <w:pPr>
        <w:spacing w:after="0" w:line="18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a condition and inducement to each of the parties to enter into the Merger Agreement, and for other good and valuable consideration, the receipt and sufficiency of which is hereby acknowledged, the undersigned hereby irrevocably agrees that, subject to the exceptions set forth herein, without the prior written consent of Parent and, solely prior to the Closing, the Company, the undersigned will not, during the period commencing upon the Closing and ending on the date that is 180 days after the Closing Date (the “</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1540" w:right="220" w:hanging="439"/>
        <w:spacing w:after="0" w:line="254" w:lineRule="auto"/>
        <w:tabs>
          <w:tab w:leader="none" w:pos="15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Parent Common Stock (including without limitation, Parent Common Stock or such other securities which may be deemed to be beneficially owned (as such term is used in Rule 13d-3 of the Exchange Act) by the undersigned in accordance with the rules and regulations of the SEC and securities of Parent which may be issued upon exercise of an option to purchase Parent Common Stock or warrant or settlement of a Parent restricted stock unit) that are currently or hereafter owned of record or beneficially (including holding as a custodian) by the undersigned (collectively, the “</w:t>
      </w:r>
      <w:r>
        <w:rPr>
          <w:rFonts w:ascii="Times New Roman" w:cs="Times New Roman" w:eastAsia="Times New Roman" w:hAnsi="Times New Roman"/>
          <w:sz w:val="18"/>
          <w:szCs w:val="18"/>
          <w:b w:val="1"/>
          <w:bCs w:val="1"/>
          <w:i w:val="1"/>
          <w:iCs w:val="1"/>
          <w:color w:val="auto"/>
        </w:rPr>
        <w:t>Undersigned’s Shares</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left="1540" w:right="160" w:hanging="439"/>
        <w:spacing w:after="0" w:line="266" w:lineRule="auto"/>
        <w:tabs>
          <w:tab w:leader="none" w:pos="15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Parent Common Stock or other securities, in cash or otherwise;</w:t>
      </w:r>
    </w:p>
    <w:p>
      <w:pPr>
        <w:spacing w:after="0" w:line="81" w:lineRule="exact"/>
        <w:rPr>
          <w:rFonts w:ascii="Times New Roman" w:cs="Times New Roman" w:eastAsia="Times New Roman" w:hAnsi="Times New Roman"/>
          <w:sz w:val="18"/>
          <w:szCs w:val="18"/>
          <w:color w:val="auto"/>
        </w:rPr>
      </w:pPr>
    </w:p>
    <w:p>
      <w:pPr>
        <w:ind w:left="1540" w:right="120" w:hanging="439"/>
        <w:spacing w:after="0" w:line="261" w:lineRule="auto"/>
        <w:tabs>
          <w:tab w:leader="none" w:pos="15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shares of Parent Common Stock or any security convertible into or exercisable or exchangeable for Parent Common Stock (other than such rights set forth in the Merger Agreement or the obligations of the Company or the combined company under that certain Registration Rights Agreement dated as of [•], 2026 entered into by and among Galera and the several investors signatory thereto); or</w:t>
      </w:r>
    </w:p>
    <w:p>
      <w:pPr>
        <w:spacing w:after="0" w:line="85"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restrictions and obligations contemplated by this Lock-Up Agreement shall not apply to:</w:t>
      </w:r>
    </w:p>
    <w:p>
      <w:pPr>
        <w:spacing w:after="0" w:line="117" w:lineRule="exact"/>
        <w:rPr>
          <w:sz w:val="20"/>
          <w:szCs w:val="20"/>
          <w:color w:val="auto"/>
        </w:rPr>
      </w:pPr>
    </w:p>
    <w:p>
      <w:pPr>
        <w:ind w:left="800" w:hanging="244"/>
        <w:spacing w:after="0"/>
        <w:tabs>
          <w:tab w:leader="none" w:pos="80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the Undersigned’s Shares:</w:t>
      </w:r>
    </w:p>
    <w:p>
      <w:pPr>
        <w:spacing w:after="0" w:line="130"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1"/>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w:t>
      </w:r>
      <w:r>
        <w:rPr>
          <w:rFonts w:ascii="Times New Roman" w:cs="Times New Roman" w:eastAsia="Times New Roman" w:hAnsi="Times New Roman"/>
          <w:sz w:val="18"/>
          <w:szCs w:val="18"/>
          <w:u w:val="single" w:color="auto"/>
          <w:color w:val="auto"/>
        </w:rPr>
        <w:t>natural person</w:t>
      </w:r>
      <w:r>
        <w:rPr>
          <w:rFonts w:ascii="Times New Roman" w:cs="Times New Roman" w:eastAsia="Times New Roman" w:hAnsi="Times New Roman"/>
          <w:sz w:val="18"/>
          <w:szCs w:val="18"/>
          <w:color w:val="auto"/>
        </w:rPr>
        <w:t>, (A) to any person related to the undersigned by blood or adoption who is an immediate family member of the undersigned, or by marriage or domestic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140"/>
          </w:cols>
          <w:pgMar w:left="320" w:top="455" w:right="439" w:bottom="1440" w:gutter="0" w:footer="0" w:header="0"/>
        </w:sectPr>
      </w:pPr>
    </w:p>
    <w:bookmarkStart w:id="610" w:name="page611"/>
    <w:bookmarkEnd w:id="6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540" w:right="60"/>
        <w:spacing w:after="0" w:line="257" w:lineRule="auto"/>
        <w:rPr>
          <w:sz w:val="20"/>
          <w:szCs w:val="20"/>
          <w:color w:val="auto"/>
        </w:rPr>
      </w:pPr>
      <w:r>
        <w:rPr>
          <w:rFonts w:ascii="Times New Roman" w:cs="Times New Roman" w:eastAsia="Times New Roman" w:hAnsi="Times New Roman"/>
          <w:sz w:val="18"/>
          <w:szCs w:val="18"/>
          <w:color w:val="auto"/>
        </w:rPr>
        <w:t>partnership (a “</w:t>
      </w:r>
      <w:r>
        <w:rPr>
          <w:rFonts w:ascii="Times New Roman" w:cs="Times New Roman" w:eastAsia="Times New Roman" w:hAnsi="Times New Roman"/>
          <w:sz w:val="18"/>
          <w:szCs w:val="18"/>
          <w:b w:val="1"/>
          <w:bCs w:val="1"/>
          <w:i w:val="1"/>
          <w:iCs w:val="1"/>
          <w:color w:val="auto"/>
        </w:rPr>
        <w:t>Family Member</w:t>
      </w:r>
      <w:r>
        <w:rPr>
          <w:rFonts w:ascii="Times New Roman" w:cs="Times New Roman" w:eastAsia="Times New Roman" w:hAnsi="Times New Roman"/>
          <w:sz w:val="18"/>
          <w:szCs w:val="18"/>
          <w:color w:val="auto"/>
        </w:rPr>
        <w:t>”), or to a trust formed for the direct or indirect benefit of the undersigned or any of the undersigned’s Family Members, (B) to the undersigned’s estate, following the death of the undersigned, by will, intestacy or other operation of Law, (C) as a bona fide gift or a charitable contribution, as such term is described in Section 501(c)(3) of the Internal Revenue Code of 1986, as amended,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92" w:lineRule="exact"/>
        <w:rPr>
          <w:sz w:val="20"/>
          <w:szCs w:val="20"/>
          <w:color w:val="auto"/>
        </w:rPr>
      </w:pPr>
    </w:p>
    <w:p>
      <w:pPr>
        <w:ind w:left="1540" w:right="160" w:hanging="439"/>
        <w:spacing w:after="0" w:line="267" w:lineRule="auto"/>
        <w:tabs>
          <w:tab w:leader="none" w:pos="1540" w:val="left"/>
        </w:tabs>
        <w:numPr>
          <w:ilvl w:val="0"/>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undersigned is a </w:t>
      </w:r>
      <w:r>
        <w:rPr>
          <w:rFonts w:ascii="Times New Roman" w:cs="Times New Roman" w:eastAsia="Times New Roman" w:hAnsi="Times New Roman"/>
          <w:sz w:val="17"/>
          <w:szCs w:val="17"/>
          <w:u w:val="single" w:color="auto"/>
          <w:color w:val="auto"/>
        </w:rPr>
        <w:t>corporation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partnership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limited liability company</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other entity</w:t>
      </w:r>
      <w:r>
        <w:rPr>
          <w:rFonts w:ascii="Times New Roman" w:cs="Times New Roman" w:eastAsia="Times New Roman" w:hAnsi="Times New Roman"/>
          <w:sz w:val="17"/>
          <w:szCs w:val="17"/>
          <w:color w:val="auto"/>
        </w:rPr>
        <w:t>, (A) to another corporation, partnership, limited liability company, or other entity that is an affiliate (as defined under Rule 12b-2 of the Exchange Act) of the undersigned, including investment funds or other entities under common control or management or advisement with the undersigned (including, for the avoidance of doubt, where the undersigned is a partnership, to its general partner or a successor partnership or fund, or any other funds managed by such partnership), (B) as a distribution or dividend to equity holders, including, without limitation, current or former general or limited partners, members or managers (or to the estates of any of the foregoing), as applicable, of the undersigned (including upon the liquidation and dissolution of the undersigned pursuant to a plan of liquidation approved by the undersigned’s equity holders), (C) as a bona fide gift or a charitable contribution, as such term is described in Section 501(c)(3) of the Internal Revenue Code of 1986, as amended, (D) transfers or dispositions not involving a change in beneficial ownership or</w:t>
      </w:r>
    </w:p>
    <w:p>
      <w:pPr>
        <w:spacing w:after="0" w:line="5" w:lineRule="exact"/>
        <w:rPr>
          <w:rFonts w:ascii="Times New Roman" w:cs="Times New Roman" w:eastAsia="Times New Roman" w:hAnsi="Times New Roman"/>
          <w:sz w:val="17"/>
          <w:szCs w:val="17"/>
          <w:color w:val="auto"/>
        </w:rPr>
      </w:pPr>
    </w:p>
    <w:p>
      <w:pPr>
        <w:ind w:left="1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 with prior written consent of Parent; or</w:t>
      </w:r>
    </w:p>
    <w:p>
      <w:pPr>
        <w:spacing w:after="0" w:line="112" w:lineRule="exact"/>
        <w:rPr>
          <w:rFonts w:ascii="Times New Roman" w:cs="Times New Roman" w:eastAsia="Times New Roman" w:hAnsi="Times New Roman"/>
          <w:sz w:val="17"/>
          <w:szCs w:val="17"/>
          <w:color w:val="auto"/>
        </w:rPr>
      </w:pPr>
    </w:p>
    <w:p>
      <w:pPr>
        <w:ind w:left="1540" w:hanging="439"/>
        <w:spacing w:after="0"/>
        <w:tabs>
          <w:tab w:leader="none" w:pos="154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undersigned is a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to any grantors or beneficiaries of the trust;</w:t>
      </w:r>
    </w:p>
    <w:p>
      <w:pPr>
        <w:spacing w:after="0" w:line="225"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provided that, in the case of any transfer or distribution pursuant to this clause (a), such transfer is not for value and each donee, heir, beneficiary or other transferee or distributee shall sign and deliver to Parent a lock-up agreement in the form of this Lock-Up Agreement with respect to the shares of Parent Common Stock or such other securities that have been so transferred or distributed;</w:t>
      </w:r>
    </w:p>
    <w:p>
      <w:pPr>
        <w:spacing w:after="0" w:line="176" w:lineRule="exact"/>
        <w:rPr>
          <w:sz w:val="20"/>
          <w:szCs w:val="20"/>
          <w:color w:val="auto"/>
        </w:rPr>
      </w:pPr>
    </w:p>
    <w:p>
      <w:pPr>
        <w:ind w:left="120" w:firstLine="987"/>
        <w:spacing w:after="0" w:line="258" w:lineRule="auto"/>
        <w:tabs>
          <w:tab w:leader="none" w:pos="136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an option to purchase Parent Common Stock (including a net or cashless exercise of an option to purchase Parent Common Stock), and any related transfer of shares of Parent Common Stock to Parent or sale of Parent Common Stock in the open market, in each case, for the purpose of paying the exercise price of such options or for paying taxes (including estimated taxes) during the Restricted Period due as a result of the exercise of such options; provided that, for the avoidance of doubt, the underlying shares of Parent Common Stock held by the undersigned following such exercise and any such open market sales shall continue to be subject to the restrictions on transfer set forth in this Lock-Up Agreement;</w:t>
      </w:r>
    </w:p>
    <w:p>
      <w:pPr>
        <w:spacing w:after="0" w:line="183"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5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(including a forfeiture or repurchase) to Parent of any shares of restricted stock granted pursuant to the terms of any employee benefit plan or restricted stock purchase agreement;</w:t>
      </w:r>
    </w:p>
    <w:p>
      <w:pPr>
        <w:spacing w:after="0" w:line="161"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of an option to purchase shares of Parent Common Stock (including a net or cashless exercise of an option to purchase shares of Parent Common Stock ),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for the avoidance of doubt, the underlying shares of Parent Common Stock shall continue to be subject to the restrictions on transfer set forth in this Lock-Up Agreement;</w:t>
      </w:r>
    </w:p>
    <w:p>
      <w:pPr>
        <w:spacing w:after="0" w:line="183"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56"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any restricted stock unit or settlement of any other equity award that represents the right to receive shares of Parent Common Stock, and transfers to Parent, or sales of Parent Common Stock in the open market, in connection with the vesting of any restricted stock unit or settlement of any other equity award that represents the right to receive shares of Parent Common Stock settled in Parent Common Stock, in each case, to pay any tax withholding obligations due during the Restricted Period; provided that, for the avoidance of</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20"/>
          </w:cols>
          <w:pgMar w:left="320" w:top="456" w:right="459" w:bottom="1440" w:gutter="0" w:footer="0" w:header="0"/>
        </w:sectPr>
      </w:pPr>
    </w:p>
    <w:bookmarkStart w:id="611" w:name="page612"/>
    <w:bookmarkEnd w:id="6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doubt, the underlying shares of Parent Common Stock held by the undersigned following such vesting or settlement and any such open market sales shall continue to be subject to the restrictions on transfer set forth in this Lock-Up Agreement;</w:t>
      </w:r>
    </w:p>
    <w:p>
      <w:pPr>
        <w:spacing w:after="0" w:line="158" w:lineRule="exact"/>
        <w:rPr>
          <w:sz w:val="20"/>
          <w:szCs w:val="20"/>
          <w:color w:val="auto"/>
        </w:rPr>
      </w:pPr>
    </w:p>
    <w:p>
      <w:pPr>
        <w:ind w:left="120" w:firstLine="987"/>
        <w:spacing w:after="0" w:line="262" w:lineRule="auto"/>
        <w:tabs>
          <w:tab w:leader="none" w:pos="133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pursuant to Rule 10b5-1 under the Exchange Act (a “</w:t>
      </w:r>
      <w:r>
        <w:rPr>
          <w:rFonts w:ascii="Times New Roman" w:cs="Times New Roman" w:eastAsia="Times New Roman" w:hAnsi="Times New Roman"/>
          <w:sz w:val="18"/>
          <w:szCs w:val="18"/>
          <w:b w:val="1"/>
          <w:bCs w:val="1"/>
          <w:i w:val="1"/>
          <w:iCs w:val="1"/>
          <w:color w:val="auto"/>
        </w:rPr>
        <w:t>10b5-1 Plan</w:t>
      </w:r>
      <w:r>
        <w:rPr>
          <w:rFonts w:ascii="Times New Roman" w:cs="Times New Roman" w:eastAsia="Times New Roman" w:hAnsi="Times New Roman"/>
          <w:sz w:val="18"/>
          <w:szCs w:val="18"/>
          <w:color w:val="auto"/>
        </w:rPr>
        <w:t>”) for the transfer of Parent Common Stock; provided that such plan does not provide for any transfers of Parent Common Stock during the Restricted Period, or the sale of Parent Common Stock pursuant to a 10b5-1 Plan existing as of the date of the Merger Agreement (which, for clarity, shall not be amended during the Restricted Period, but may be terminated during the Restricted Period);</w:t>
      </w:r>
    </w:p>
    <w:p>
      <w:pPr>
        <w:spacing w:after="0" w:line="180" w:lineRule="exact"/>
        <w:rPr>
          <w:rFonts w:ascii="Times New Roman" w:cs="Times New Roman" w:eastAsia="Times New Roman" w:hAnsi="Times New Roman"/>
          <w:sz w:val="18"/>
          <w:szCs w:val="18"/>
          <w:color w:val="auto"/>
        </w:rPr>
      </w:pPr>
    </w:p>
    <w:p>
      <w:pPr>
        <w:jc w:val="both"/>
        <w:ind w:left="120" w:right="80" w:firstLine="987"/>
        <w:spacing w:after="0" w:line="261" w:lineRule="auto"/>
        <w:tabs>
          <w:tab w:leader="none" w:pos="136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sales, dispositions, or the entering into of transactions (including, without limitation, any swap, hedge or similar agreement) by the undersigned of or relating to shares of capital stock or other securities of Parent purchased or acquired by the undersigned on the open market, in a public offering by Parent, or that otherwise do not involve or relate to shares of Parent Common Stock issued pursuant to the Merger Agreement in respect of shares of the Company;</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6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 bona fide third party tender offer, merger, consolidation or other similar transaction made to all holders of Parent’s capital stock involving a change of control of Parent that is approved by Parent’s Board of Directors, provided that in the event that such tender offer, merger, consolidation or other such transaction is not completed, the Undersigned’s Shares shall remain subject to the restrictions contained in this Lock-Up Agreement; or</w:t>
      </w:r>
    </w:p>
    <w:p>
      <w:pPr>
        <w:spacing w:after="0" w:line="179"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order of a court or regulatory agency;</w:t>
      </w:r>
    </w:p>
    <w:p>
      <w:pPr>
        <w:spacing w:after="0" w:line="225" w:lineRule="exact"/>
        <w:rPr>
          <w:rFonts w:ascii="Times New Roman" w:cs="Times New Roman" w:eastAsia="Times New Roman" w:hAnsi="Times New Roman"/>
          <w:sz w:val="18"/>
          <w:szCs w:val="18"/>
          <w:color w:val="auto"/>
        </w:rPr>
      </w:pPr>
    </w:p>
    <w:p>
      <w:pPr>
        <w:ind w:left="120" w:firstLine="987"/>
        <w:spacing w:after="0" w:line="256" w:lineRule="auto"/>
        <w:tabs>
          <w:tab w:leader="none" w:pos="1326"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sales, dispositions or the entering into of transactions (including, without limitation, any swap, hedge or similar agreement), by the undersigned relating to shares of Parent Common Stock issued pursuant to the Merger Agreement in respect of shares of Galera, if any, purchased from Galera pursuant to the Concurrent PIPE Financing (as defined in the Merger Agreement) (the “</w:t>
      </w:r>
      <w:r>
        <w:rPr>
          <w:rFonts w:ascii="Times New Roman" w:cs="Times New Roman" w:eastAsia="Times New Roman" w:hAnsi="Times New Roman"/>
          <w:sz w:val="18"/>
          <w:szCs w:val="18"/>
          <w:b w:val="1"/>
          <w:bCs w:val="1"/>
          <w:i w:val="1"/>
          <w:iCs w:val="1"/>
          <w:color w:val="auto"/>
        </w:rPr>
        <w:t>Galera Concurrent PIPE Financing Released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or issued in exchange for, or on conversion or exercise of, any securities issued as part of the Concurrent PIPE Financing.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Galera Concurrent PIPE Financing Released Shares held by each stockholder of Galera is set forth opposite his, her or its name on Schedule I to this Lock-Up Agreement under the heading “Galera Concurrent PIPE Financing Released Shares”;</w:t>
      </w:r>
    </w:p>
    <w:p>
      <w:pPr>
        <w:spacing w:after="0" w:line="185" w:lineRule="exact"/>
        <w:rPr>
          <w:sz w:val="20"/>
          <w:szCs w:val="20"/>
          <w:color w:val="auto"/>
        </w:rPr>
      </w:pPr>
    </w:p>
    <w:p>
      <w:pPr>
        <w:ind w:left="120" w:right="40"/>
        <w:spacing w:after="0" w:line="269" w:lineRule="auto"/>
        <w:rPr>
          <w:sz w:val="20"/>
          <w:szCs w:val="20"/>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i w:val="1"/>
          <w:iCs w:val="1"/>
          <w:u w:val="single" w:color="auto"/>
          <w:color w:val="auto"/>
        </w:rPr>
        <w:t>provided, further</w:t>
      </w:r>
      <w:r>
        <w:rPr>
          <w:rFonts w:ascii="Times New Roman" w:cs="Times New Roman" w:eastAsia="Times New Roman" w:hAnsi="Times New Roman"/>
          <w:sz w:val="17"/>
          <w:szCs w:val="17"/>
          <w:color w:val="auto"/>
        </w:rPr>
        <w:t xml:space="preserve">, that, with respect to each of (a), (b), (c), (d), (e) and (f) above, no filing by any party (including any donor, donee, transferor, transferee, distributor or distributee) under Section 16 of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shares of Parent Common Stock or in connection with the net settlement of any other equity award that represents the right to receive in the future shares of Parent Common Stock settled in Parent Common Stock that would otherwise expire during the Restricted Period, </w:t>
      </w:r>
      <w:r>
        <w:rPr>
          <w:rFonts w:ascii="Times New Roman" w:cs="Times New Roman" w:eastAsia="Times New Roman" w:hAnsi="Times New Roman"/>
          <w:sz w:val="17"/>
          <w:szCs w:val="17"/>
          <w:i w:val="1"/>
          <w:iCs w:val="1"/>
          <w:u w:val="single" w:color="auto"/>
          <w:color w:val="auto"/>
        </w:rPr>
        <w:t>provided</w:t>
      </w:r>
    </w:p>
    <w:p>
      <w:pPr>
        <w:spacing w:after="0" w:line="2" w:lineRule="exact"/>
        <w:rPr>
          <w:sz w:val="20"/>
          <w:szCs w:val="20"/>
          <w:color w:val="auto"/>
        </w:rPr>
      </w:pPr>
    </w:p>
    <w:p>
      <w:pPr>
        <w:ind w:left="120" w:right="100"/>
        <w:spacing w:after="0" w:line="290" w:lineRule="auto"/>
        <w:rPr>
          <w:sz w:val="20"/>
          <w:szCs w:val="20"/>
          <w:color w:val="auto"/>
        </w:rPr>
      </w:pPr>
      <w:r>
        <w:rPr>
          <w:rFonts w:ascii="Times New Roman" w:cs="Times New Roman" w:eastAsia="Times New Roman" w:hAnsi="Times New Roman"/>
          <w:sz w:val="17"/>
          <w:szCs w:val="17"/>
          <w:i w:val="1"/>
          <w:iCs w:val="1"/>
          <w:u w:val="single" w:color="auto"/>
          <w:color w:val="auto"/>
        </w:rPr>
        <w:t>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 reasonable notice shall be provided to Parent prior to any such filing and (2) such filing, report or announcement shall clearly indicate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footnotes therein, in reasonable detail, a description of the circumstances of the transfer and that the shares remain subject to this Lock-Up Agreement).</w:t>
      </w:r>
    </w:p>
    <w:p>
      <w:pPr>
        <w:spacing w:after="0" w:line="15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20"/>
          </w:cols>
          <w:pgMar w:left="320" w:top="455" w:right="459" w:bottom="1440" w:gutter="0" w:footer="0" w:header="0"/>
        </w:sectPr>
      </w:pPr>
    </w:p>
    <w:bookmarkStart w:id="612" w:name="page613"/>
    <w:bookmarkEnd w:id="6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other documents, ledgers or instruments evidencing the undersigned’s ownership of Parent Common Stock or any other securities convertible into or exercisable or exchangeable for Parent Common Stock:</w:t>
      </w:r>
    </w:p>
    <w:p>
      <w:pPr>
        <w:spacing w:after="0" w:line="54" w:lineRule="exact"/>
        <w:rPr>
          <w:sz w:val="20"/>
          <w:szCs w:val="20"/>
          <w:color w:val="auto"/>
        </w:rPr>
      </w:pPr>
    </w:p>
    <w:p>
      <w:pPr>
        <w:ind w:left="560" w:right="320"/>
        <w:spacing w:after="0" w:line="312" w:lineRule="auto"/>
        <w:rPr>
          <w:sz w:val="20"/>
          <w:szCs w:val="20"/>
          <w:color w:val="auto"/>
        </w:rPr>
      </w:pPr>
      <w:r>
        <w:rPr>
          <w:rFonts w:ascii="Times New Roman" w:cs="Times New Roman" w:eastAsia="Times New Roman" w:hAnsi="Times New Roman"/>
          <w:sz w:val="17"/>
          <w:szCs w:val="17"/>
          <w:color w:val="auto"/>
        </w:rPr>
        <w:t>THE SHARES REPRESENTED BY THIS CERTIFICATE ARE SUBJECT TO AND MAY ONLY BE TRANSFERRED IN COMPLIANCE WITH A LOCK-UP AGREEMENT, A COPY OF WHICH IS ON FILE AT THE PRINCIPAL OFFICE OF THE COMPANY.</w:t>
      </w:r>
    </w:p>
    <w:p>
      <w:pPr>
        <w:spacing w:after="0" w:line="140" w:lineRule="exact"/>
        <w:rPr>
          <w:sz w:val="20"/>
          <w:szCs w:val="20"/>
          <w:color w:val="auto"/>
        </w:rPr>
      </w:pPr>
    </w:p>
    <w:p>
      <w:pPr>
        <w:jc w:val="both"/>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undersigned understands that if the Merger Agreement is terminated for any reason, the undersigned shall be released from all obligations under this Lock-Up Agreement. The undersigned understands that Parent and the Company are proceeding with the Contemplated Transactions in reliance upon this Lock-Up Agreement. Notwithstanding anything to the contrary contained herein, this Lock-Up Agreement will automatically terminate and the undersigned shall be released from all obligations under this Lock-Up Agreement upon the earliest to occur, if any, of (i) the Company advising the undersigned in writing that it has determined not to proceed with the Contemplated Transactions or (ii) the Merger Agreement being validly terminated pursuant to its terms.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Any and all remedies herein expressly conferred upon Parent or the Company will be deemed cumulative with and not exclusive of any other remedy conferred hereby, or by Law or equity, and the exercise by Parent or the Company of any one remedy will not preclude the exercise of any other remedy. The undersigned agrees that irreparable damage for which monetary damages, even if available, would not be an adequate remedy, would occur to Parent and/or the Company in the event that any provision of this Lock-Up Agreement were not performed in accordance with its specific terms or were otherwise breached. It is accordingly agreed that Parent and the Company shall be entitled to seek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event that any holder of Parent’s securities that are subject to a substantially similar agreement entered into by such holder, other than the undersigned, is permitted by Parent (or prior to the Closing, the Company), including through any written consent granted under subparagraph (a)(ii)(E) above, to sell or otherwise transfer or dispose of shares of Parent Common Stock for value other than as permitted by this or a substantially similar agreement entered into by such holder or is granted an early release from the restrictions described herein during the Restricted Period, the same percentage of shares of the Undersigned’s Shares shall be immediately and fully released on the same terms from any remaining restrictions set forth herein (the “</w:t>
      </w:r>
      <w:r>
        <w:rPr>
          <w:rFonts w:ascii="Times New Roman" w:cs="Times New Roman" w:eastAsia="Times New Roman" w:hAnsi="Times New Roman"/>
          <w:sz w:val="18"/>
          <w:szCs w:val="18"/>
          <w:b w:val="1"/>
          <w:bCs w:val="1"/>
          <w:i w:val="1"/>
          <w:iCs w:val="1"/>
          <w:color w:val="auto"/>
        </w:rPr>
        <w:t>Pro-Rata 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however</w:t>
      </w:r>
      <w:r>
        <w:rPr>
          <w:rFonts w:ascii="Times New Roman" w:cs="Times New Roman" w:eastAsia="Times New Roman" w:hAnsi="Times New Roman"/>
          <w:sz w:val="18"/>
          <w:szCs w:val="18"/>
          <w:color w:val="auto"/>
        </w:rPr>
        <w:t>, that such Pro-Rata Release shall not be applied unless and until permission or early release has been granted by Parent, and solely prior to the Closing, the Company, to an equity holder or equity holders to sell or otherwise transfer or dispose of all or a portion of such equity holder’s shares of Parent Common Stock that, when combined with all such other such permissions and early releases, represent an aggregate amount in excess of [•]% of the number of shares of Parent Common Stock originally subject to a substantially similar agreements. Parent shall notify the undersigned of any Pro-Rata Release of its shares on the same day that any permission that triggers the Pro-Rata Release is granted.</w:t>
      </w:r>
    </w:p>
    <w:p>
      <w:pPr>
        <w:spacing w:after="0" w:line="19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Upon the release of any of the Undersigned’s Shares from this Lock-Up Agreement, Parent will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00"/>
          </w:cols>
          <w:pgMar w:left="320" w:top="456" w:right="479" w:bottom="1440" w:gutter="0" w:footer="0" w:header="0"/>
        </w:sectPr>
      </w:pPr>
    </w:p>
    <w:bookmarkStart w:id="613" w:name="page614"/>
    <w:bookmarkEnd w:id="6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Lock-Up Agreement or any of the Contemplated Transactions, each of the parties: irrevocably and unconditionally (a)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paragraph,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the subsequent paragraph of this Agreement and (f) irrevocably and unconditionally waives the right to trial by jury.</w:t>
      </w:r>
    </w:p>
    <w:p>
      <w:pPr>
        <w:spacing w:after="0" w:line="18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the Merger Agreement and to the undersigned at his, her or its address or email address (providing confirmation of transmission) set forth on the signature page hereto (or at such other address for a party as shall be specified by like notice).</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facsimile, electronic mail (including any electronic signature covered by the U.S. federal ESIGN Act of 2000, Uniform Electronic Transactions Act, the Electronic Signatures and Records Act or other applicable law, e.g., www.docusign.com) or electronic transmission in .pdf format shall be sufficient to bind such parties to the terms and conditions of this Lock-Up Agreement.</w:t>
      </w:r>
    </w:p>
    <w:p>
      <w:pPr>
        <w:spacing w:after="0" w:line="18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00"/>
          </w:cols>
          <w:pgMar w:left="320" w:top="455" w:right="479" w:bottom="1440" w:gutter="0" w:footer="0" w:header="0"/>
        </w:sectPr>
      </w:pPr>
    </w:p>
    <w:bookmarkStart w:id="614" w:name="page615"/>
    <w:bookmarkEnd w:id="614"/>
    <w:tbl>
      <w:tblPr>
        <w:tblLayout w:type="fixed"/>
        <w:tblInd w:w="0" w:type="dxa"/>
        <w:tblCellMar>
          <w:top w:w="0" w:type="dxa"/>
          <w:left w:w="0" w:type="dxa"/>
          <w:bottom w:w="0" w:type="dxa"/>
          <w:right w:w="0" w:type="dxa"/>
        </w:tblCellMar>
      </w:tblPr>
      <w:tr>
        <w:trPr>
          <w:trHeight w:val="207"/>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547"/>
        </w:trPr>
        <w:tc>
          <w:tcPr>
            <w:tcW w:w="136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6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Very truly yours,</w:t>
            </w:r>
          </w:p>
        </w:tc>
      </w:tr>
      <w:tr>
        <w:trPr>
          <w:trHeight w:val="391"/>
        </w:trPr>
        <w:tc>
          <w:tcPr>
            <w:tcW w:w="4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Print Name of Stockholder:</w:t>
            </w:r>
          </w:p>
        </w:tc>
        <w:tc>
          <w:tcPr>
            <w:tcW w:w="6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13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gridSpan w:val="4"/>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453"/>
        </w:trPr>
        <w:tc>
          <w:tcPr>
            <w:tcW w:w="1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Signature (for individuals):</w:t>
            </w:r>
          </w:p>
        </w:tc>
      </w:tr>
      <w:tr>
        <w:trPr>
          <w:trHeight w:val="432"/>
        </w:trPr>
        <w:tc>
          <w:tcPr>
            <w:tcW w:w="1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Signature (for entities):</w:t>
            </w:r>
          </w:p>
        </w:tc>
      </w:tr>
      <w:tr>
        <w:trPr>
          <w:trHeight w:val="432"/>
        </w:trPr>
        <w:tc>
          <w:tcPr>
            <w:tcW w:w="1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By: </w:t>
            </w:r>
          </w:p>
        </w:tc>
      </w:tr>
      <w:tr>
        <w:trPr>
          <w:trHeight w:val="223"/>
        </w:trPr>
        <w:tc>
          <w:tcPr>
            <w:tcW w:w="13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52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Name: </w:t>
            </w:r>
          </w:p>
        </w:tc>
      </w:tr>
      <w:tr>
        <w:trPr>
          <w:trHeight w:val="223"/>
        </w:trPr>
        <w:tc>
          <w:tcPr>
            <w:tcW w:w="13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w w:val="98"/>
              </w:rPr>
              <w:t>Title: </w:t>
            </w:r>
          </w:p>
        </w:tc>
        <w:tc>
          <w:tcPr>
            <w:tcW w:w="100" w:type="dxa"/>
            <w:vAlign w:val="bottom"/>
            <w:tcBorders>
              <w:top w:val="single" w:sz="8" w:color="auto"/>
              <w:bottom w:val="single" w:sz="8" w:color="auto"/>
            </w:tcBorders>
          </w:tcPr>
          <w:p>
            <w:pPr>
              <w:spacing w:after="0"/>
              <w:rPr>
                <w:sz w:val="19"/>
                <w:szCs w:val="19"/>
                <w:color w:val="auto"/>
              </w:rPr>
            </w:pPr>
          </w:p>
        </w:tc>
        <w:tc>
          <w:tcPr>
            <w:tcW w:w="3940" w:type="dxa"/>
            <w:vAlign w:val="bottom"/>
            <w:tcBorders>
              <w:top w:val="single" w:sz="8" w:color="auto"/>
              <w:bottom w:val="single" w:sz="8" w:color="auto"/>
            </w:tcBorders>
          </w:tcPr>
          <w:p>
            <w:pPr>
              <w:spacing w:after="0"/>
              <w:rPr>
                <w:sz w:val="19"/>
                <w:szCs w:val="19"/>
                <w:color w:val="auto"/>
              </w:rPr>
            </w:pPr>
          </w:p>
        </w:tc>
      </w:tr>
      <w:tr>
        <w:trPr>
          <w:trHeight w:val="682"/>
        </w:trPr>
        <w:tc>
          <w:tcPr>
            <w:tcW w:w="13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Email Address:</w:t>
            </w:r>
          </w:p>
        </w:tc>
        <w:tc>
          <w:tcPr>
            <w:tcW w:w="5040" w:type="dxa"/>
            <w:vAlign w:val="bottom"/>
            <w:tcBorders>
              <w:bottom w:val="single" w:sz="8" w:color="auto"/>
            </w:tcBorders>
            <w:gridSpan w:val="3"/>
          </w:tcPr>
          <w:p>
            <w:pPr>
              <w:spacing w:after="0"/>
              <w:rPr>
                <w:sz w:val="24"/>
                <w:szCs w:val="24"/>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Gazelle Parent, Inc.</w:t>
      </w: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7175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17145</wp:posOffset>
            </wp:positionV>
            <wp:extent cx="217741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17145</wp:posOffset>
            </wp:positionV>
            <wp:extent cx="217741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Accepted and Agreed by Obsidian Therapeutics, Inc.</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7175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17145</wp:posOffset>
            </wp:positionV>
            <wp:extent cx="217741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17145</wp:posOffset>
            </wp:positionV>
            <wp:extent cx="217741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to Lock-Up Agreement]</w:t>
      </w:r>
    </w:p>
    <w:p>
      <w:pPr>
        <w:sectPr>
          <w:pgSz w:w="11900" w:h="16838" w:orient="portrait"/>
          <w:cols w:equalWidth="0" w:num="1">
            <w:col w:w="11140"/>
          </w:cols>
          <w:pgMar w:left="320" w:top="446" w:right="439" w:bottom="1440" w:gutter="0" w:footer="0" w:header="0"/>
        </w:sectPr>
      </w:pPr>
    </w:p>
    <w:bookmarkStart w:id="615" w:name="page616"/>
    <w:bookmarkEnd w:id="6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Galera Concurrent PIPE Financing Released Shares</w:t>
      </w:r>
    </w:p>
    <w:p>
      <w:pPr>
        <w:spacing w:after="0" w:line="250" w:lineRule="exact"/>
        <w:rPr>
          <w:sz w:val="20"/>
          <w:szCs w:val="20"/>
          <w:color w:val="auto"/>
        </w:rPr>
      </w:pPr>
    </w:p>
    <w:p>
      <w:pPr>
        <w:jc w:val="both"/>
        <w:ind w:left="2680"/>
        <w:spacing w:after="0"/>
        <w:tabs>
          <w:tab w:leader="none" w:pos="6920" w:val="left"/>
        </w:tabs>
        <w:rPr>
          <w:sz w:val="20"/>
          <w:szCs w:val="20"/>
          <w:color w:val="auto"/>
        </w:rPr>
      </w:pPr>
      <w:r>
        <w:rPr>
          <w:rFonts w:ascii="Times New Roman" w:cs="Times New Roman" w:eastAsia="Times New Roman" w:hAnsi="Times New Roman"/>
          <w:sz w:val="14"/>
          <w:szCs w:val="14"/>
          <w:b w:val="1"/>
          <w:bCs w:val="1"/>
          <w:color w:val="auto"/>
        </w:rPr>
        <w:t>Investor</w:t>
      </w:r>
      <w:r>
        <w:rPr>
          <w:sz w:val="20"/>
          <w:szCs w:val="20"/>
          <w:color w:val="auto"/>
        </w:rPr>
        <w:tab/>
      </w:r>
      <w:r>
        <w:rPr>
          <w:rFonts w:ascii="Times New Roman" w:cs="Times New Roman" w:eastAsia="Times New Roman" w:hAnsi="Times New Roman"/>
          <w:sz w:val="14"/>
          <w:szCs w:val="14"/>
          <w:b w:val="1"/>
          <w:bCs w:val="1"/>
          <w:color w:val="auto"/>
        </w:rPr>
        <w:t>Galera Concurrent PIPE Financing Released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60"/>
          </w:cols>
          <w:pgMar w:left="320" w:top="455" w:right="1419" w:bottom="1440" w:gutter="0" w:footer="0" w:header="0"/>
        </w:sectPr>
      </w:pPr>
    </w:p>
    <w:bookmarkStart w:id="616" w:name="page617"/>
    <w:bookmarkEnd w:id="6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pacing w:after="0" w:line="225" w:lineRule="exact"/>
        <w:rPr>
          <w:sz w:val="20"/>
          <w:szCs w:val="20"/>
          <w:color w:val="auto"/>
        </w:rPr>
      </w:pPr>
    </w:p>
    <w:p>
      <w:pPr>
        <w:ind w:left="120"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REGISTRATION RIGHTS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April 14, 2026, is entered into by and among Galera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Therapeutics, Inc., a Delaware corporation, Gazelle Parent,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the several investors signatory hereto (individually as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collectively together with their respective permitted assigns,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Capitalized terms used herein and not otherwise defined herein shall have the respective meanings set forth in the Securities Purchase Agreement by and among the Company and the Investors party thereto, dated on or around the date hereof (as amended, restated, supplemented or otherwise modified from time to time, the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A. The Company is party to that certain Agreement and Plan of Merger by and among the Company, Obsidian Therapeutics, Inc., a Delaware corporation (“</w:t>
      </w:r>
      <w:r>
        <w:rPr>
          <w:rFonts w:ascii="Times New Roman" w:cs="Times New Roman" w:eastAsia="Times New Roman" w:hAnsi="Times New Roman"/>
          <w:sz w:val="18"/>
          <w:szCs w:val="18"/>
          <w:b w:val="1"/>
          <w:bCs w:val="1"/>
          <w:color w:val="auto"/>
        </w:rPr>
        <w:t>Obsidian</w:t>
      </w:r>
      <w:r>
        <w:rPr>
          <w:rFonts w:ascii="Times New Roman" w:cs="Times New Roman" w:eastAsia="Times New Roman" w:hAnsi="Times New Roman"/>
          <w:sz w:val="18"/>
          <w:szCs w:val="18"/>
          <w:color w:val="auto"/>
        </w:rPr>
        <w:t xml:space="preserve">”), Parent, Onyx MergerSub, Inc., a Delaware corporation and a direct, wholly owned subsidiary of Parent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Onyx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w:t>
      </w:r>
      <w:r>
        <w:rPr>
          <w:rFonts w:ascii="Times New Roman" w:cs="Times New Roman" w:eastAsia="Times New Roman" w:hAnsi="Times New Roman"/>
          <w:sz w:val="18"/>
          <w:szCs w:val="18"/>
          <w:color w:val="auto"/>
        </w:rPr>
        <w:t>”), and Gazelle Merger Subsidiary, Inc., a Delaware corporation and a direct, wholly owned subsidiary of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Gazelle Merger Sub</w:t>
      </w:r>
      <w:r>
        <w:rPr>
          <w:rFonts w:ascii="Times New Roman" w:cs="Times New Roman" w:eastAsia="Times New Roman" w:hAnsi="Times New Roman"/>
          <w:sz w:val="18"/>
          <w:szCs w:val="18"/>
          <w:color w:val="auto"/>
        </w:rPr>
        <w:t>”),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April 14, 2026 (as amended from time to time in accordance with the terms thereof,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(i) Onyx Merger Sub will merge with and into Obsidian and Obsidian will become a wholly-owned subsidiary of Parent and (ii) Gazelle Merger Sub will merge with and into Galera and Galera will become a wholly-owned subsidiary of Parent, with Parent acting as the parent company for the combined businesses of Obsidian and Galera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B. Upon the terms and subject to the conditions of the Purchase Agreement, the Company has agreed to issue to certain Investors, and such Investors have agreed to purchase, severally and not jointly, an aggregate of approximately $350,000,000 worth of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Series C Non-Voting Convertible Preferred Stock, par value $0.001 per share (the “</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of the Company, which will be convertible into shares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of the Company’s common stock, par value $0.001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in accordance with the terms set forth in the Certificate of Designations.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 To induce the Investors to enter into the Purchase Agreement, the Company and the Parent have agreed to provide certain registration rights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under the U.S. Securities Act of 1933, as amended, and the rules and regulations thereunder, or any similar successor statute (collectively,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applicable state securities laws, with respect to the Parent Common Stock (as defined in the Merger Agreement) issued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for the Conversion Shares (the “</w:t>
      </w:r>
      <w:r>
        <w:rPr>
          <w:rFonts w:ascii="Times New Roman" w:cs="Times New Roman" w:eastAsia="Times New Roman" w:hAnsi="Times New Roman"/>
          <w:sz w:val="18"/>
          <w:szCs w:val="18"/>
          <w:b w:val="1"/>
          <w:bCs w:val="1"/>
          <w:color w:val="auto"/>
        </w:rPr>
        <w:t>Exchange Shares</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0"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promises and the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receipt and sufficiency of which are hereby acknowledged, the Company, the Parent and the Investors hereby agree as follows:</w:t>
      </w:r>
    </w:p>
    <w:p>
      <w:pPr>
        <w:spacing w:after="0" w:line="4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1. DEFINITIONS.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Agreement, the following terms shall have the following meanings:</w:t>
      </w:r>
    </w:p>
    <w:p>
      <w:pPr>
        <w:spacing w:after="0" w:line="113" w:lineRule="exact"/>
        <w:rPr>
          <w:sz w:val="20"/>
          <w:szCs w:val="20"/>
          <w:color w:val="auto"/>
        </w:rPr>
      </w:pPr>
    </w:p>
    <w:p>
      <w:pPr>
        <w:ind w:left="120" w:right="380" w:firstLine="987"/>
        <w:spacing w:after="0" w:line="286" w:lineRule="auto"/>
        <w:tabs>
          <w:tab w:leader="none" w:pos="135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Galera Therapeutics, Inc., a Delaware corporation, for all periods prior to the effective time of the transactions contemplated by the Merger Agreement and Parent for all periods following such effective time.</w:t>
      </w:r>
    </w:p>
    <w:p>
      <w:pPr>
        <w:spacing w:after="0" w:line="154" w:lineRule="exact"/>
        <w:rPr>
          <w:rFonts w:ascii="Times New Roman" w:cs="Times New Roman" w:eastAsia="Times New Roman" w:hAnsi="Times New Roman"/>
          <w:sz w:val="18"/>
          <w:szCs w:val="18"/>
          <w:color w:val="auto"/>
        </w:rPr>
      </w:pPr>
    </w:p>
    <w:p>
      <w:pPr>
        <w:ind w:left="120" w:right="300" w:firstLine="987"/>
        <w:spacing w:after="0" w:line="237" w:lineRule="auto"/>
        <w:tabs>
          <w:tab w:leader="none" w:pos="136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Filing Deadline</w:t>
      </w:r>
      <w:r>
        <w:rPr>
          <w:rFonts w:ascii="Times New Roman" w:cs="Times New Roman" w:eastAsia="Times New Roman" w:hAnsi="Times New Roman"/>
          <w:sz w:val="18"/>
          <w:szCs w:val="18"/>
          <w:color w:val="auto"/>
        </w:rPr>
        <w:t>” means, with respect to the Resale Registration Statement required hereunder,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Closing Date (as defined in the Merger Agreement) and, with respect to any New Registration Statements or other Registration Statement filed hereunder, the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calendar day following the later of</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140"/>
          </w:cols>
          <w:pgMar w:left="320" w:top="456" w:right="439" w:bottom="1440" w:gutter="0" w:footer="0" w:header="0"/>
        </w:sectPr>
      </w:pPr>
    </w:p>
    <w:bookmarkStart w:id="617" w:name="page618"/>
    <w:bookmarkEnd w:id="6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hanging="4"/>
        <w:spacing w:after="0" w:line="261" w:lineRule="auto"/>
        <w:tabs>
          <w:tab w:leader="none" w:pos="335"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on which the Company is permitted by SEC Guidance to file such New Registration Statement related to the Registrable Securities and (ii) the date on which the Company becomes aware of the necessity of filing such New Registration Statement related to the Registrable Securities. For the purposes of this definition, the ‘necessity’ to file a New Registration Statement shall be deemed to arise at the time the Company determines that the number of shares then registered is insufficient to cover all Registrable Securities required to be covered hereunder.</w:t>
      </w:r>
    </w:p>
    <w:p>
      <w:pPr>
        <w:spacing w:after="0" w:line="175" w:lineRule="exact"/>
        <w:rPr>
          <w:rFonts w:ascii="Times New Roman" w:cs="Times New Roman" w:eastAsia="Times New Roman" w:hAnsi="Times New Roman"/>
          <w:sz w:val="18"/>
          <w:szCs w:val="18"/>
          <w:color w:val="auto"/>
        </w:rPr>
      </w:pPr>
    </w:p>
    <w:p>
      <w:pPr>
        <w:ind w:left="120" w:right="220" w:firstLine="987"/>
        <w:spacing w:after="0" w:line="317" w:lineRule="auto"/>
        <w:tabs>
          <w:tab w:leader="none" w:pos="1356" w:val="left"/>
        </w:tabs>
        <w:numPr>
          <w:ilvl w:val="1"/>
          <w:numId w:val="4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means an individual, partnership, corporation, limited liability company, business trust, joint stock company, trust, unincorporated association, joint venture, other entity or organization, any governmental agency or any governmental or political subdivision thereof.</w:t>
      </w:r>
    </w:p>
    <w:p>
      <w:pPr>
        <w:spacing w:after="0" w:line="131" w:lineRule="exact"/>
        <w:rPr>
          <w:rFonts w:ascii="Times New Roman" w:cs="Times New Roman" w:eastAsia="Times New Roman" w:hAnsi="Times New Roman"/>
          <w:sz w:val="17"/>
          <w:szCs w:val="17"/>
          <w:color w:val="auto"/>
        </w:rPr>
      </w:pPr>
    </w:p>
    <w:p>
      <w:pPr>
        <w:ind w:left="120" w:right="380" w:firstLine="987"/>
        <w:spacing w:after="0" w:line="268" w:lineRule="auto"/>
        <w:tabs>
          <w:tab w:leader="none" w:pos="1366"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Registrable Securities</w:t>
      </w:r>
      <w:r>
        <w:rPr>
          <w:rFonts w:ascii="Times New Roman" w:cs="Times New Roman" w:eastAsia="Times New Roman" w:hAnsi="Times New Roman"/>
          <w:sz w:val="18"/>
          <w:szCs w:val="18"/>
          <w:color w:val="auto"/>
        </w:rPr>
        <w:t>” means (i) the Exchange Shares (ii) any shares of Common Stock of the Parent held by the Holders that are not otherwise registered under the Merger Registration Statement (as defined in the Purchase Agreement), and (iii) any shares of Common Stock issued or issuable with respect to the foregoing clauses (i), (ii) and (iii)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a Registration Statement, (B) such Registrable Securities have been previously sold by such Investor in accordance with Rule 144, and (C) such securities become eligible for resale by such Investor without volume or manner-of-sale restrictions pursuant to Rule 144 and without the requirement for the Company to be in compliance with the current public information requirement under Rule 144 (each of the foregoing, a “</w:t>
      </w:r>
      <w:r>
        <w:rPr>
          <w:rFonts w:ascii="Times New Roman" w:cs="Times New Roman" w:eastAsia="Times New Roman" w:hAnsi="Times New Roman"/>
          <w:sz w:val="18"/>
          <w:szCs w:val="18"/>
          <w:b w:val="1"/>
          <w:bCs w:val="1"/>
          <w:color w:val="auto"/>
        </w:rPr>
        <w:t>Termination Event</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36"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Expenses</w:t>
      </w:r>
      <w:r>
        <w:rPr>
          <w:rFonts w:ascii="Times New Roman" w:cs="Times New Roman" w:eastAsia="Times New Roman" w:hAnsi="Times New Roman"/>
          <w:sz w:val="18"/>
          <w:szCs w:val="18"/>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the Financial Industry Regulatory Authority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underwriting, broker or similar fees or commissions of any Investor or, except to the extent provided for in the Purchase Agreement or this Agreement, any legal fees or other costs of the Investors.</w:t>
      </w:r>
    </w:p>
    <w:p>
      <w:pPr>
        <w:spacing w:after="0" w:line="184" w:lineRule="exact"/>
        <w:rPr>
          <w:rFonts w:ascii="Times New Roman" w:cs="Times New Roman" w:eastAsia="Times New Roman" w:hAnsi="Times New Roman"/>
          <w:sz w:val="18"/>
          <w:szCs w:val="18"/>
          <w:color w:val="auto"/>
        </w:rPr>
      </w:pPr>
    </w:p>
    <w:p>
      <w:pPr>
        <w:ind w:left="120" w:right="80" w:firstLine="987"/>
        <w:spacing w:after="0" w:line="257" w:lineRule="auto"/>
        <w:tabs>
          <w:tab w:leader="none" w:pos="1366"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182"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Investors</w:t>
      </w:r>
      <w:r>
        <w:rPr>
          <w:rFonts w:ascii="Times New Roman" w:cs="Times New Roman" w:eastAsia="Times New Roman" w:hAnsi="Times New Roman"/>
          <w:sz w:val="18"/>
          <w:szCs w:val="18"/>
          <w:color w:val="auto"/>
        </w:rPr>
        <w:t>” means the Investors holding a majority of the Registrable Securities then outstanding.</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100"/>
          </w:cols>
          <w:pgMar w:left="320" w:top="455" w:right="479" w:bottom="1440" w:gutter="0" w:footer="0" w:header="0"/>
        </w:sectPr>
      </w:pPr>
    </w:p>
    <w:bookmarkStart w:id="618" w:name="page619"/>
    <w:bookmarkEnd w:id="6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00" w:firstLine="987"/>
        <w:spacing w:after="0" w:line="268" w:lineRule="auto"/>
        <w:tabs>
          <w:tab w:leader="none" w:pos="1326"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w:t>
      </w:r>
    </w:p>
    <w:p>
      <w:pPr>
        <w:spacing w:after="0" w:line="170" w:lineRule="exact"/>
        <w:rPr>
          <w:rFonts w:ascii="Times New Roman" w:cs="Times New Roman" w:eastAsia="Times New Roman" w:hAnsi="Times New Roman"/>
          <w:sz w:val="18"/>
          <w:szCs w:val="18"/>
          <w:color w:val="auto"/>
        </w:rPr>
      </w:pPr>
    </w:p>
    <w:p>
      <w:pPr>
        <w:ind w:left="120" w:right="200" w:firstLine="987"/>
        <w:spacing w:after="0" w:line="286" w:lineRule="auto"/>
        <w:tabs>
          <w:tab w:leader="none" w:pos="1326" w:val="left"/>
        </w:tabs>
        <w:numPr>
          <w:ilvl w:val="2"/>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Selling Expenses</w:t>
      </w:r>
      <w:r>
        <w:rPr>
          <w:rFonts w:ascii="Times New Roman" w:cs="Times New Roman" w:eastAsia="Times New Roman" w:hAnsi="Times New Roman"/>
          <w:sz w:val="18"/>
          <w:szCs w:val="18"/>
          <w:color w:val="auto"/>
        </w:rPr>
        <w:t>” means all underwriting discounts and selling commissions applicable to the sale of Registrable Securities and all similar fees and commissions relating to an Investor’s disposition of its Registrable Securities.</w:t>
      </w:r>
    </w:p>
    <w:p>
      <w:pPr>
        <w:spacing w:after="0" w:line="262"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1"/>
          <w:numId w:val="4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w:t>
      </w:r>
    </w:p>
    <w:p>
      <w:pPr>
        <w:spacing w:after="0" w:line="121" w:lineRule="exact"/>
        <w:rPr>
          <w:rFonts w:ascii="Times New Roman" w:cs="Times New Roman" w:eastAsia="Times New Roman" w:hAnsi="Times New Roman"/>
          <w:sz w:val="18"/>
          <w:szCs w:val="18"/>
          <w:b w:val="1"/>
          <w:bCs w:val="1"/>
          <w:color w:val="auto"/>
        </w:rPr>
      </w:pPr>
    </w:p>
    <w:p>
      <w:pPr>
        <w:ind w:left="120" w:firstLine="987"/>
        <w:spacing w:after="0" w:line="252" w:lineRule="auto"/>
        <w:tabs>
          <w:tab w:leader="none" w:pos="1356" w:val="left"/>
        </w:tabs>
        <w:numPr>
          <w:ilvl w:val="2"/>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Registration</w:t>
      </w:r>
      <w:r>
        <w:rPr>
          <w:rFonts w:ascii="Times New Roman" w:cs="Times New Roman" w:eastAsia="Times New Roman" w:hAnsi="Times New Roman"/>
          <w:sz w:val="18"/>
          <w:szCs w:val="18"/>
          <w:color w:val="auto"/>
        </w:rPr>
        <w:t>. The Company shall, as promptly as reasonably practicable and in any event no later than the Filing Deadline, prepare and file with the SEC an initial resale Registration Statement (the “</w:t>
      </w:r>
      <w:r>
        <w:rPr>
          <w:rFonts w:ascii="Times New Roman" w:cs="Times New Roman" w:eastAsia="Times New Roman" w:hAnsi="Times New Roman"/>
          <w:sz w:val="18"/>
          <w:szCs w:val="18"/>
          <w:b w:val="1"/>
          <w:bCs w:val="1"/>
          <w:color w:val="auto"/>
        </w:rPr>
        <w:t>Resale Registration Statement</w:t>
      </w:r>
      <w:r>
        <w:rPr>
          <w:rFonts w:ascii="Times New Roman" w:cs="Times New Roman" w:eastAsia="Times New Roman" w:hAnsi="Times New Roman"/>
          <w:sz w:val="18"/>
          <w:szCs w:val="18"/>
          <w:color w:val="auto"/>
        </w:rPr>
        <w:t xml:space="preserve">”) covering the resale of all Registrable Securities. Before filing any Registration Statement, the Company shall furnish to the Investors a copy of that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Such Registration Statement shall not include any securities other than Registrable Securities without the prior written consent of the Required Investors. Subject to any SEC comments, such Registration Statement shall include the plan of distribution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Such Registration Statement also shall cover, to the extent allowable under the Securities Act and the rules promulgated thereunder (including Rule 416), such indeterminate number of additional shares of Exchange Shares resulting from stock splits, stock dividends or similar transactions with respect to the Registrable Securities. The Company shall</w:t>
      </w:r>
    </w:p>
    <w:p>
      <w:pPr>
        <w:spacing w:after="0" w:line="5" w:lineRule="exact"/>
        <w:rPr>
          <w:rFonts w:ascii="Times New Roman" w:cs="Times New Roman" w:eastAsia="Times New Roman" w:hAnsi="Times New Roman"/>
          <w:sz w:val="18"/>
          <w:szCs w:val="18"/>
          <w:color w:val="auto"/>
        </w:rPr>
      </w:pPr>
    </w:p>
    <w:p>
      <w:pPr>
        <w:ind w:left="120" w:right="20" w:hanging="4"/>
        <w:spacing w:after="0" w:line="252" w:lineRule="auto"/>
        <w:tabs>
          <w:tab w:leader="none" w:pos="365"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in good faith any comments as any Investor or its counsel reasonably proposed by such Investor to such document prior to being so filed with the SEC, and (b) not file any Registration Statement or related prospectus or any amendment or supplement thereto containing information regarding any Investor to which such Investor reasonably objects or reasonably believes contains an untrue statement of a material fact or omit to state a material fact required to be stated therein or necessary to make the statements therein, in light of the circumstances under which they were made, not misleading, unless such information is required (in the opinion of the Company’s outside legal counsel) to comply with any applicable law or regulation or SEC Guidance. Each Investor shall furnish all information with respect to such Investor reasonably requested by the Company as shall be reasonably required in connection with any registration referred to in this Agreement and any Registration Statement.</w:t>
      </w:r>
    </w:p>
    <w:p>
      <w:pPr>
        <w:spacing w:after="0" w:line="188" w:lineRule="exact"/>
        <w:rPr>
          <w:rFonts w:ascii="Times New Roman" w:cs="Times New Roman" w:eastAsia="Times New Roman" w:hAnsi="Times New Roman"/>
          <w:sz w:val="18"/>
          <w:szCs w:val="18"/>
          <w:color w:val="auto"/>
        </w:rPr>
      </w:pPr>
    </w:p>
    <w:p>
      <w:pPr>
        <w:ind w:left="120" w:firstLine="987"/>
        <w:spacing w:after="0" w:line="235" w:lineRule="auto"/>
        <w:tabs>
          <w:tab w:leader="none" w:pos="1366" w:val="left"/>
        </w:tabs>
        <w:numPr>
          <w:ilvl w:val="2"/>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w:t>
      </w:r>
      <w:r>
        <w:rPr>
          <w:rFonts w:ascii="Times New Roman" w:cs="Times New Roman" w:eastAsia="Times New Roman" w:hAnsi="Times New Roman"/>
          <w:sz w:val="18"/>
          <w:szCs w:val="18"/>
          <w:color w:val="auto"/>
        </w:rPr>
        <w:t>. The Company shall use its reasonable best efforts to have the Resale Registration Statement and any amendment thereto declared effective by the SEC at the earliest possible date but no later than the earlier of (a)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calendar day following the earlier of (i) the initial filing date of the Resale Registration Statement and (ii) the Filing Deadline, if the SEC notifies the Company that it will “review” the Resale Registration Statement and (b)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date the Company is notified (orally or in writing, whichever is earlier) by the SEC that the Resale Registration Statement will not be “reviewed” or will not be subject to further review (such earlier date, the “</w:t>
      </w:r>
      <w:r>
        <w:rPr>
          <w:rFonts w:ascii="Times New Roman" w:cs="Times New Roman" w:eastAsia="Times New Roman" w:hAnsi="Times New Roman"/>
          <w:sz w:val="18"/>
          <w:szCs w:val="18"/>
          <w:b w:val="1"/>
          <w:bCs w:val="1"/>
          <w:color w:val="auto"/>
        </w:rPr>
        <w:t>Effectiveness Deadline</w:t>
      </w:r>
      <w:r>
        <w:rPr>
          <w:rFonts w:ascii="Times New Roman" w:cs="Times New Roman" w:eastAsia="Times New Roman" w:hAnsi="Times New Roman"/>
          <w:sz w:val="18"/>
          <w:szCs w:val="18"/>
          <w:color w:val="auto"/>
        </w:rPr>
        <w:t>”). The Company shall notify the Investors by e-mail as promptly as practicable, and in any event, within twenty-four (24) hours, after the Resale Registration Statement is declared effective or is supplemented and shall provide the Investors with copies of any related prospectus to be used in connection with the sale or other disposition of the securities covered thereby. The Company shall use reasonable best efforts to keep the Resale Registration Statement continuously effective pursuant to Rule 415 promulgated under the Securities Act and available for the resale by the Investors of all of the Registrable Securities covered thereby at all times until the earliest to occur of the following events: (i) the date on which the Investors shall have resold all the Registrable Securities covered thereby (whether pursuant to Rule 144, the Resale Registration Statement or otherwise); and (ii) the date on which the Registrable Securities may be resold by the Investors without registration and without regard to any volume or manner-of-sale limitations by reason of Rule 144, and without the requirement for the Company to be</w:t>
      </w:r>
    </w:p>
    <w:p>
      <w:pPr>
        <w:spacing w:after="0" w:line="1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100"/>
          </w:cols>
          <w:pgMar w:left="320" w:top="456" w:right="479" w:bottom="1440" w:gutter="0" w:footer="0" w:header="0"/>
        </w:sectPr>
      </w:pPr>
    </w:p>
    <w:bookmarkStart w:id="619" w:name="page620"/>
    <w:bookmarkEnd w:id="6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compliance with the current public information requirement under Rule 144 under the Securities Act or any other rule of similar effect (the</w:t>
      </w:r>
    </w:p>
    <w:p>
      <w:pPr>
        <w:spacing w:after="0" w:line="27"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Period</w:t>
      </w:r>
      <w:r>
        <w:rPr>
          <w:rFonts w:ascii="Times New Roman" w:cs="Times New Roman" w:eastAsia="Times New Roman" w:hAnsi="Times New Roman"/>
          <w:sz w:val="18"/>
          <w:szCs w:val="18"/>
          <w:color w:val="auto"/>
        </w:rPr>
        <w:t>”). The Resale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86" w:lineRule="exact"/>
        <w:rPr>
          <w:sz w:val="20"/>
          <w:szCs w:val="20"/>
          <w:color w:val="auto"/>
        </w:rPr>
      </w:pPr>
    </w:p>
    <w:p>
      <w:pPr>
        <w:ind w:left="120" w:firstLine="987"/>
        <w:spacing w:after="0" w:line="253" w:lineRule="auto"/>
        <w:tabs>
          <w:tab w:leader="none" w:pos="1356"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Sufficient Number of Shares Registered</w:t>
      </w:r>
      <w:r>
        <w:rPr>
          <w:rFonts w:ascii="Times New Roman" w:cs="Times New Roman" w:eastAsia="Times New Roman" w:hAnsi="Times New Roman"/>
          <w:sz w:val="18"/>
          <w:szCs w:val="18"/>
          <w:color w:val="auto"/>
        </w:rPr>
        <w:t>. In the event the number of shares available under the Resale Registration Statement at any time is insufficient to cover the Registrable Securities, the Company shall, to the extent necessary and permissible, amend the Resale Registration Statement or file a new registration statement (together with any prospectuses or prospectus supplements thereunder,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so as to cover all of such Registrable Securities as soon as reasonably practicable, but in any event not later than ten (10) Business Days after the necessity therefore arises (the “</w:t>
      </w:r>
      <w:r>
        <w:rPr>
          <w:rFonts w:ascii="Times New Roman" w:cs="Times New Roman" w:eastAsia="Times New Roman" w:hAnsi="Times New Roman"/>
          <w:sz w:val="18"/>
          <w:szCs w:val="18"/>
          <w:b w:val="1"/>
          <w:bCs w:val="1"/>
          <w:color w:val="auto"/>
        </w:rPr>
        <w:t>New Registration Filing Deadline</w:t>
      </w:r>
      <w:r>
        <w:rPr>
          <w:rFonts w:ascii="Times New Roman" w:cs="Times New Roman" w:eastAsia="Times New Roman" w:hAnsi="Times New Roman"/>
          <w:sz w:val="18"/>
          <w:szCs w:val="18"/>
          <w:color w:val="auto"/>
        </w:rPr>
        <w:t>”). The Company shall use its commercially reasonable efforts to have such amendment and/or New Registration Statement become effective as soon as reasonably practicable following the filing thereof but no later than the earlier of (a) the sixtieth (60th) calendar day following the earlier of (i) the initial filing date of the New Registration Statement and (ii) the Filing Deadline, if the SEC notifies the Company that it will “review” the New Registration Statement and (b) the fifth (5th) Business Day after the date the Company is notified (orally or in writing, whichever is earlier) by the SEC that the New Registration Statement will not be “reviewed” or will not be subject to further review (the earlier of such dates, the “</w:t>
      </w:r>
      <w:r>
        <w:rPr>
          <w:rFonts w:ascii="Times New Roman" w:cs="Times New Roman" w:eastAsia="Times New Roman" w:hAnsi="Times New Roman"/>
          <w:sz w:val="18"/>
          <w:szCs w:val="18"/>
          <w:b w:val="1"/>
          <w:bCs w:val="1"/>
          <w:color w:val="auto"/>
        </w:rPr>
        <w:t>New Registration Effectiveness Deadline</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shall apply to the New Registration Statement, except as modified hereby.</w:t>
      </w:r>
    </w:p>
    <w:p>
      <w:pPr>
        <w:spacing w:after="0" w:line="191" w:lineRule="exact"/>
        <w:rPr>
          <w:rFonts w:ascii="Times New Roman" w:cs="Times New Roman" w:eastAsia="Times New Roman" w:hAnsi="Times New Roman"/>
          <w:sz w:val="18"/>
          <w:szCs w:val="18"/>
          <w:color w:val="auto"/>
        </w:rPr>
      </w:pPr>
    </w:p>
    <w:p>
      <w:pPr>
        <w:ind w:left="120" w:right="300" w:firstLine="987"/>
        <w:spacing w:after="0" w:line="272" w:lineRule="auto"/>
        <w:tabs>
          <w:tab w:leader="none" w:pos="1366" w:val="left"/>
        </w:tabs>
        <w:numPr>
          <w:ilvl w:val="1"/>
          <w:numId w:val="4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Liquidated Damages. If: (i) the Resale Registration Statement is not filed with the SEC on or prior to the Filing Deadline, (ii) the Resale Registration Statement is not declared effective by the SEC (or otherwise does not become effective) for any reason on or prior to the Effectiveness Deadline, (iii) the New Registration Statement is not filed with the SEC on or prior to the New Registration Effectiveness Deadline, or</w:t>
      </w:r>
    </w:p>
    <w:p>
      <w:pPr>
        <w:spacing w:after="0" w:line="1" w:lineRule="exact"/>
        <w:rPr>
          <w:rFonts w:ascii="Times New Roman" w:cs="Times New Roman" w:eastAsia="Times New Roman" w:hAnsi="Times New Roman"/>
          <w:sz w:val="17"/>
          <w:szCs w:val="17"/>
          <w:color w:val="auto"/>
        </w:rPr>
      </w:pPr>
    </w:p>
    <w:p>
      <w:pPr>
        <w:ind w:left="120" w:right="20" w:hanging="4"/>
        <w:spacing w:after="0" w:line="251" w:lineRule="auto"/>
        <w:tabs>
          <w:tab w:leader="none" w:pos="425"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Registration Statement is not declared effective by the SEC (or otherwise does not become effective) for any reason on or prior to the New Registration Effectiveness Deadline (any such failure or breach in clauses (i) through (iv) above, but excluding any Allowed Delay, being referred to as an “Event,” and the date on which such Event occurs being referred to as an “Event Date”), then in addition to any other rights the Investors may have hereunder or under applicable law, on each such Event Date and on each monthly anniversary of each such Event Date (if the applicable Event shall not have been cured by such date) until the applicable Event is cured, the Company shall pay to each Investor an amount in cash, as liquidated damages and not as a penalty (“</w:t>
      </w:r>
      <w:r>
        <w:rPr>
          <w:rFonts w:ascii="Times New Roman" w:cs="Times New Roman" w:eastAsia="Times New Roman" w:hAnsi="Times New Roman"/>
          <w:sz w:val="18"/>
          <w:szCs w:val="18"/>
          <w:b w:val="1"/>
          <w:bCs w:val="1"/>
          <w:color w:val="auto"/>
        </w:rPr>
        <w:t>Liquidated Damages</w:t>
      </w:r>
      <w:r>
        <w:rPr>
          <w:rFonts w:ascii="Times New Roman" w:cs="Times New Roman" w:eastAsia="Times New Roman" w:hAnsi="Times New Roman"/>
          <w:sz w:val="18"/>
          <w:szCs w:val="18"/>
          <w:color w:val="auto"/>
        </w:rPr>
        <w:t>”), equal to 1.0% of the aggregate purchase price paid by such Investor pursuant to the Purchase Agreement for any Registrable Securities held by such Investor on the Event Date; provided that the parties agree that the maximum aggregate Liquidated Damages payable to an Investor of Registrable Securities under this Agreement shall be 5.0% of the aggregate purchase price paid by such Investor pursuant to the Purchase Agreement for the Registrable Securities then held by such Investor. The parties agree that notwithstanding anything to the contrary herein or in the Purchase Agreement, no Liquidated Damages shall be payable (i) if as of the relevant Event Date, the Registrable Securities may be sold by the Investor without volume or manner of sale restrictions under Rule 144, as determined by counsel to the Company pursuant to a written opinion letter to such effect, addressed and reasonably acceptable to the Investor and the Company’s transfer agent, (ii) to an Investor causing an Event that relates to or is caused by any action or inaction taken by such Investor, (iii) to an Investor in the event it is unable to lawfully sell any of its Registrable Securities because of possession of material non-public information or (iv) with respect to any period after the expiration of the Registration Period (it being understood that this clause shall not relieve the Company of any Liquidated Damages accruing prior to the expiration of the Registration Period). If the Company fails to pay any Liquidated Damages pursuant to this Section 2(d) in full within twenty (20) Business Days after the date payable, the Company will pay interest on the amount of Liquidated Damages then owing to the Investor at a rate of 0.5% per month on an annualized basis (or such lesser maximum amount that is permitted to be paid by applicable law) to the Investor, accruing daily from the date such Liquidated Damages are due until such amounts, plus all such interest thereon, are paid in full. The Company shall not be liable for Liquidated Damages under this Agreement as to any Registrable Securities which are not permitted by the SEC to be included in a Registration Statement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120"/>
          </w:cols>
          <w:pgMar w:left="320" w:top="455" w:right="459" w:bottom="1440" w:gutter="0" w:footer="0" w:header="0"/>
        </w:sectPr>
      </w:pPr>
    </w:p>
    <w:bookmarkStart w:id="620" w:name="page621"/>
    <w:bookmarkEnd w:id="6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due solely to SEC Guidance from the time that it is determined that such Registrable Securities are not permitted to be registered until such time as the provisions of this Agreement as to the other Registration Statements required to be filed hereunder are triggered, in which case the provisions of this Section 2(d) shall once again apply, if applicable. In such case, the Liquidated Damages shall be calculated to only apply to the percentage of Registrable Securities which are permitted in accordance with SEC Guidance to be included in such Registration Statement. The Liquidated Damages pursuant to the terms hereof shall apply on a daily pro rata basis for any portion of a month prior to the cure of an Event, except in the case of the first Event Date. With respect to a Holder, the Effectiveness Deadline or New Registration Effectiveness Deadline, as applicable, shall be extended without default or Liquidated Damages hereunder in the event that the Company’s failure to obtain the effectiveness of the Registration Statement on a timely basis results from the failure of such Investor to timely provide the Company with information requested by the Company and necessary to complete the Registration Statement in accordance with the requirements of the Securities Act (in which case the Effectiveness Deadline or New Registration Effectiveness Deadline, as applicable, would be extended with respect to Registrable Securities held by such Investor).</w:t>
      </w:r>
    </w:p>
    <w:p>
      <w:pPr>
        <w:spacing w:after="0" w:line="194" w:lineRule="exact"/>
        <w:rPr>
          <w:sz w:val="20"/>
          <w:szCs w:val="20"/>
          <w:color w:val="auto"/>
        </w:rPr>
      </w:pPr>
    </w:p>
    <w:p>
      <w:pPr>
        <w:ind w:left="120" w:firstLine="987"/>
        <w:spacing w:after="0" w:line="251" w:lineRule="auto"/>
        <w:tabs>
          <w:tab w:leader="none" w:pos="1356"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Allowable Delays</w:t>
      </w:r>
      <w:r>
        <w:rPr>
          <w:rFonts w:ascii="Times New Roman" w:cs="Times New Roman" w:eastAsia="Times New Roman" w:hAnsi="Times New Roman"/>
          <w:sz w:val="18"/>
          <w:szCs w:val="18"/>
          <w:color w:val="auto"/>
        </w:rPr>
        <w:t>. On no more than two (2) occasions in any twelve (12)-month period for not more than thirty (30) consecutive days or for a total of not more than sixty (60) days, the Company may delay the effectiveness of the Resale Registration Statement or any other Registration Statement, or suspend the use of any prospectus included in any Registration Statement, in the event that the Company’s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such as a proposed merger, reorganization or similar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Company’s Board of Directors, upon advice of legal counsel, to cause a Registration Statement to fail to comply with applicable disclosure requirements, or (B) 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8"/>
          <w:szCs w:val="18"/>
          <w:b w:val="1"/>
          <w:bCs w:val="1"/>
          <w:color w:val="auto"/>
        </w:rPr>
        <w:t>Allowed 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promptly (a) notify each Investor in writing of the commencement of an Allowed Delay, but shall not (without the prior written consent of an Investor) disclose to such Investor any material non-public information giving rise to an Allowed Delay and such notice shall specify that an Allowed Delay has commenced and that sales pursuant to a Registration Statement must cease, and the Company shall provide a written notice within twenty-four (24) hours after the termination of the Allowed Delay confirming the sales may be resumed;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cs="Times New Roman" w:eastAsia="Times New Roman" w:hAnsi="Times New Roman"/>
          <w:sz w:val="18"/>
          <w:szCs w:val="18"/>
          <w:b w:val="1"/>
          <w:bCs w:val="1"/>
          <w:color w:val="auto"/>
        </w:rPr>
        <w:t>Opt-Out Notice</w:t>
      </w:r>
      <w:r>
        <w:rPr>
          <w:rFonts w:ascii="Times New Roman" w:cs="Times New Roman" w:eastAsia="Times New Roman" w:hAnsi="Times New Roman"/>
          <w:sz w:val="18"/>
          <w:szCs w:val="18"/>
          <w:color w:val="auto"/>
        </w:rPr>
        <w:t xml:space="preserve">”) to the Company requesting that such Investor not receive notices from the Company otherwise required by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 xml:space="preserve"> to such Investor and such Investor shall no longer be entitled to the rights associated with any such notice (for the avoidance of doubt, without limitation to the Company’s obligation to deliver any notice described in Section 3(e)(iii) hereof).</w:t>
      </w:r>
    </w:p>
    <w:p>
      <w:pPr>
        <w:spacing w:after="0" w:line="205" w:lineRule="exact"/>
        <w:rPr>
          <w:rFonts w:ascii="Times New Roman" w:cs="Times New Roman" w:eastAsia="Times New Roman" w:hAnsi="Times New Roman"/>
          <w:sz w:val="18"/>
          <w:szCs w:val="18"/>
          <w:color w:val="auto"/>
        </w:rPr>
      </w:pPr>
    </w:p>
    <w:p>
      <w:pPr>
        <w:ind w:left="120" w:right="80" w:firstLine="436"/>
        <w:spacing w:after="0" w:line="258" w:lineRule="auto"/>
        <w:tabs>
          <w:tab w:leader="none" w:pos="785"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415; Cutback</w:t>
      </w:r>
      <w:r>
        <w:rPr>
          <w:rFonts w:ascii="Times New Roman" w:cs="Times New Roman" w:eastAsia="Times New Roman" w:hAnsi="Times New Roman"/>
          <w:sz w:val="18"/>
          <w:szCs w:val="18"/>
          <w:color w:val="auto"/>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be obligated to use reasonable best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120"/>
          </w:cols>
          <w:pgMar w:left="320" w:top="456" w:right="459" w:bottom="1440" w:gutter="0" w:footer="0" w:header="0"/>
        </w:sectPr>
      </w:pPr>
    </w:p>
    <w:bookmarkStart w:id="621" w:name="page622"/>
    <w:bookmarkEnd w:id="6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including to comment on any written submission made to the SEC with respect thereto. In the event that, despite the Company’s reasonable best efforts and compliance with the terms of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the SEC refuses to alter its position, the Company shall (A) remove from such Registration Statement such portion of the Registrable Securities and/or (B)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8"/>
          <w:szCs w:val="18"/>
          <w:b w:val="1"/>
          <w:bCs w:val="1"/>
          <w:color w:val="auto"/>
        </w:rPr>
        <w:t>SEC Restrictions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name any Investor as an “underwriter” in such Registration Statement without the prior written consent of such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8"/>
          <w:szCs w:val="18"/>
          <w:u w:val="single" w:color="auto"/>
          <w:color w:val="auto"/>
        </w:rPr>
        <w:t>Section 2(e)</w:t>
      </w:r>
      <w:r>
        <w:rPr>
          <w:rFonts w:ascii="Times New Roman" w:cs="Times New Roman" w:eastAsia="Times New Roman" w:hAnsi="Times New Roman"/>
          <w:sz w:val="18"/>
          <w:szCs w:val="18"/>
          <w:color w:val="auto"/>
        </w:rPr>
        <w:t xml:space="preserve">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 otherwise, or an Investor otherwise agrees.</w:t>
      </w:r>
    </w:p>
    <w:p>
      <w:pPr>
        <w:spacing w:after="0" w:line="197" w:lineRule="exact"/>
        <w:rPr>
          <w:sz w:val="20"/>
          <w:szCs w:val="20"/>
          <w:color w:val="auto"/>
        </w:rPr>
      </w:pPr>
    </w:p>
    <w:p>
      <w:pPr>
        <w:ind w:left="120" w:right="20" w:firstLine="987"/>
        <w:spacing w:after="0" w:line="256" w:lineRule="auto"/>
        <w:tabs>
          <w:tab w:leader="none" w:pos="1366"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cs="Times New Roman" w:eastAsia="Times New Roman" w:hAnsi="Times New Roman"/>
          <w:sz w:val="18"/>
          <w:szCs w:val="18"/>
          <w:u w:val="single" w:color="auto"/>
          <w:color w:val="auto"/>
        </w:rPr>
        <w:t>Section 2(f</w:t>
      </w:r>
      <w:r>
        <w:rPr>
          <w:rFonts w:ascii="Times New Roman" w:cs="Times New Roman" w:eastAsia="Times New Roman" w:hAnsi="Times New Roman"/>
          <w:sz w:val="18"/>
          <w:szCs w:val="18"/>
          <w:color w:val="auto"/>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maintain the effectiveness of the Registration Statement then in effect until such time as a Registration Statement on Form S-3 covering the Registrable Securities has been declared effective by the SEC.</w:t>
      </w:r>
    </w:p>
    <w:p>
      <w:pPr>
        <w:spacing w:after="0" w:line="187" w:lineRule="exact"/>
        <w:rPr>
          <w:rFonts w:ascii="Times New Roman" w:cs="Times New Roman" w:eastAsia="Times New Roman" w:hAnsi="Times New Roman"/>
          <w:sz w:val="18"/>
          <w:szCs w:val="18"/>
          <w:color w:val="auto"/>
        </w:rPr>
      </w:pPr>
    </w:p>
    <w:p>
      <w:pPr>
        <w:ind w:left="120" w:firstLine="987"/>
        <w:spacing w:after="0" w:line="269" w:lineRule="auto"/>
        <w:tabs>
          <w:tab w:leader="none" w:pos="1366" w:val="left"/>
        </w:tabs>
        <w:numPr>
          <w:ilvl w:val="1"/>
          <w:numId w:val="4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file any registration statement with the SEC (other than the Resale Registration Statement, any New Registration Statement, a registration statement on Form S-8 relating to employee benefit plans in existence on the date hereof, or amendments to registration statements filed prior to the date hereof so long as no new securities are registered on such existing registration statements) until the earlier of (A) the date on which the Resale Registration Statement covering all Registrable Securities has been declared effective by the SEC and (B) the date on which all Registrable Securities may be resold without restriction pursuant to Rule 144 without volume or manner-of-sale limitations and without the current public information requirement. Without the prior written consent of the Required Investors, the Company shall not include any securities other than Registrable Securities in the Resale Registration Statement or any New Registration Statement. The Company shall not grant registration rights to any other Person that would require the inclusion of such Person’s securities in the Resale Registration Statement or any New Registration Statement without the prior written consent of the Required Investors. Notwithstanding anything to the contrary herein, the restrictions in this Section 2(g) shall not apply to (A) any registration statement required to be filed by the Company in connection with the Mergers, (B) any registration statement filed on Form S-8 in connection with employee compensation plans, or (C) any post-effective amendment to a registration statement filed prior to the date hereof.</w:t>
      </w:r>
    </w:p>
    <w:p>
      <w:pPr>
        <w:spacing w:after="0" w:line="285" w:lineRule="exact"/>
        <w:rPr>
          <w:rFonts w:ascii="Times New Roman" w:cs="Times New Roman" w:eastAsia="Times New Roman" w:hAnsi="Times New Roman"/>
          <w:sz w:val="17"/>
          <w:szCs w:val="17"/>
          <w:color w:val="auto"/>
        </w:rPr>
      </w:pPr>
    </w:p>
    <w:p>
      <w:pPr>
        <w:ind w:left="740" w:hanging="184"/>
        <w:spacing w:after="0"/>
        <w:tabs>
          <w:tab w:leader="none" w:pos="740" w:val="left"/>
        </w:tabs>
        <w:numPr>
          <w:ilvl w:val="0"/>
          <w:numId w:val="4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COMPANY OBLIGATIONS.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With respect to any Registration Statement and whenever any Registrable Securities are to be Registered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including on the Resale Registration Statement or on any New Registration Statement,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120"/>
          </w:cols>
          <w:pgMar w:left="320" w:top="455" w:right="459" w:bottom="1440" w:gutter="0" w:footer="0" w:header="0"/>
        </w:sectPr>
      </w:pPr>
    </w:p>
    <w:bookmarkStart w:id="622" w:name="page623"/>
    <w:bookmarkEnd w:id="6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Company shall use its reasonable best efforts to effect the registration of the Registrable Securities in accordance with the intended method of disposition thereof and, pursuant thereto, the Company shall have the following obligations:</w:t>
      </w:r>
    </w:p>
    <w:p>
      <w:pPr>
        <w:spacing w:after="0" w:line="54" w:lineRule="exact"/>
        <w:rPr>
          <w:sz w:val="20"/>
          <w:szCs w:val="20"/>
          <w:color w:val="auto"/>
        </w:rPr>
      </w:pPr>
    </w:p>
    <w:p>
      <w:pPr>
        <w:ind w:left="120" w:firstLine="987"/>
        <w:spacing w:after="0" w:line="258" w:lineRule="auto"/>
        <w:tabs>
          <w:tab w:leader="none" w:pos="1356"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Notifications</w:t>
      </w:r>
      <w:r>
        <w:rPr>
          <w:rFonts w:ascii="Times New Roman" w:cs="Times New Roman" w:eastAsia="Times New Roman" w:hAnsi="Times New Roman"/>
          <w:sz w:val="18"/>
          <w:szCs w:val="18"/>
          <w:color w:val="auto"/>
        </w:rPr>
        <w:t>. The Company will promptly notify the Investors of the time when any subsequent amendment to the Resale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Investors.</w:t>
      </w:r>
    </w:p>
    <w:p>
      <w:pPr>
        <w:spacing w:after="0" w:line="183" w:lineRule="exact"/>
        <w:rPr>
          <w:rFonts w:ascii="Times New Roman" w:cs="Times New Roman" w:eastAsia="Times New Roman" w:hAnsi="Times New Roman"/>
          <w:sz w:val="18"/>
          <w:szCs w:val="18"/>
          <w:color w:val="auto"/>
        </w:rPr>
      </w:pPr>
    </w:p>
    <w:p>
      <w:pPr>
        <w:ind w:left="120" w:right="120" w:firstLine="987"/>
        <w:spacing w:after="0" w:line="256" w:lineRule="auto"/>
        <w:tabs>
          <w:tab w:leader="none" w:pos="1366"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The Company will prepare and file with the SEC any amendments, post-effective amendments or supplements to the Resale Registration Statement, any New Registration Statement or any related prospectus, as applicable, that, (a) as may be necessary to keep such Registration Statement effective for the Registration Period and to comply with the provisions of the Securities Act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56"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Review</w:t>
      </w:r>
      <w:r>
        <w:rPr>
          <w:rFonts w:ascii="Times New Roman" w:cs="Times New Roman" w:eastAsia="Times New Roman" w:hAnsi="Times New Roman"/>
          <w:sz w:val="18"/>
          <w:szCs w:val="18"/>
          <w:color w:val="auto"/>
        </w:rPr>
        <w:t>.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1"/>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Copies Available</w:t>
      </w:r>
      <w:r>
        <w:rPr>
          <w:rFonts w:ascii="Times New Roman" w:cs="Times New Roman" w:eastAsia="Times New Roman" w:hAnsi="Times New Roman"/>
          <w:sz w:val="18"/>
          <w:szCs w:val="18"/>
          <w:color w:val="auto"/>
        </w:rPr>
        <w:t xml:space="preserve">. The Company will furnish to any Investor whose Registrable Securities are included in any Registration Statement and its counsel copies of the Resale Registration Statement, any prospectus thereunder (including all documents incorporated by reference therein), any prospectus supplement thereunder, any New Registration Statement and all amendments to the Resale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to furnish any document to such Investor to the extent such document is available on the SEC’s Electronic Data Gathering, Analysis, and Retrieval system.</w:t>
      </w:r>
    </w:p>
    <w:p>
      <w:pPr>
        <w:spacing w:after="0" w:line="191" w:lineRule="exact"/>
        <w:rPr>
          <w:rFonts w:ascii="Times New Roman" w:cs="Times New Roman" w:eastAsia="Times New Roman" w:hAnsi="Times New Roman"/>
          <w:sz w:val="18"/>
          <w:szCs w:val="18"/>
          <w:color w:val="auto"/>
        </w:rPr>
      </w:pPr>
    </w:p>
    <w:p>
      <w:pPr>
        <w:jc w:val="both"/>
        <w:ind w:left="120" w:right="120" w:firstLine="987"/>
        <w:spacing w:after="0" w:line="272" w:lineRule="auto"/>
        <w:tabs>
          <w:tab w:leader="none" w:pos="1356" w:val="left"/>
        </w:tabs>
        <w:numPr>
          <w:ilvl w:val="1"/>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Notification of Stop Orders; Material Changes</w:t>
      </w:r>
      <w:r>
        <w:rPr>
          <w:rFonts w:ascii="Times New Roman" w:cs="Times New Roman" w:eastAsia="Times New Roman" w:hAnsi="Times New Roman"/>
          <w:sz w:val="17"/>
          <w:szCs w:val="17"/>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twenty-four (24) hours) and shall confirm such advice in writing, in each case:</w:t>
      </w:r>
    </w:p>
    <w:p>
      <w:pPr>
        <w:spacing w:after="0" w:line="1" w:lineRule="exact"/>
        <w:rPr>
          <w:rFonts w:ascii="Times New Roman" w:cs="Times New Roman" w:eastAsia="Times New Roman" w:hAnsi="Times New Roman"/>
          <w:sz w:val="17"/>
          <w:szCs w:val="17"/>
          <w:color w:val="auto"/>
        </w:rPr>
      </w:pPr>
    </w:p>
    <w:p>
      <w:pPr>
        <w:ind w:left="120" w:right="60" w:hanging="4"/>
        <w:spacing w:after="0" w:line="252" w:lineRule="auto"/>
        <w:tabs>
          <w:tab w:leader="none" w:pos="335"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Resale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100"/>
          </w:cols>
          <w:pgMar w:left="320" w:top="456" w:right="479" w:bottom="1440" w:gutter="0" w:footer="0" w:header="0"/>
        </w:sectPr>
      </w:pPr>
    </w:p>
    <w:bookmarkStart w:id="623" w:name="page624"/>
    <w:bookmarkEnd w:id="6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(and shall not so disclose to any Investor without such Investor’s prior written consent) the substance of specific reasons of any of the events set forth in clauses (i) through (iii) of the immediately preceding sentence (each, a “</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but rather, shall only be required to disclose that the event has occurred; provided that the Company shall not provide any material non-public 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Resale Registration Statement, any New Registration Statement or any prospectus, or prospectus supplement as the case may be. In the event of a Suspension Event set forth in clause (iii) of the second sentence of this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the Company will use its commercially reasonable efforts to publicly disclose such event as soon as reasonably practicable, or otherwise resolve the matter such that sales under Registration Statements may resume; provided, however, that if the Company has a bona fide business purpose for not making such information public, the Company may suspend the use of all Registration Statements for up to sixty (60)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Company may not suspend the use of all Registration Statements more than twice, or for more than ninety (90) total days, in each case during any twelve (12) -month period. The Company shall not provide any specific information regarding the Suspension Event unless requested by the Investor, which in any event shall not include any material non-public information unless such specific information constitutes material non-public information.</w:t>
      </w:r>
    </w:p>
    <w:p>
      <w:pPr>
        <w:spacing w:after="0" w:line="189" w:lineRule="exact"/>
        <w:rPr>
          <w:sz w:val="20"/>
          <w:szCs w:val="20"/>
          <w:color w:val="auto"/>
        </w:rPr>
      </w:pPr>
    </w:p>
    <w:p>
      <w:pPr>
        <w:ind w:left="120" w:right="40" w:firstLine="987"/>
        <w:spacing w:after="0" w:line="261" w:lineRule="auto"/>
        <w:tabs>
          <w:tab w:leader="none" w:pos="1336"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Confirmation of Effectiveness</w:t>
      </w:r>
      <w:r>
        <w:rPr>
          <w:rFonts w:ascii="Times New Roman" w:cs="Times New Roman" w:eastAsia="Times New Roman" w:hAnsi="Times New Roman"/>
          <w:sz w:val="18"/>
          <w:szCs w:val="18"/>
          <w:color w:val="auto"/>
        </w:rPr>
        <w:t>. If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79"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reasonable best efforts to cause all Registrable Securities covered by a Registration Statement to be listed and to maintain such listing on the Nasdaq Capital Market or any other National Exchange upon which the Registrable Securities are listed.</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53" w:lineRule="auto"/>
        <w:tabs>
          <w:tab w:leader="none" w:pos="1366"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xml:space="preserve">. The Company shall otherwise use reasonable best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the applicable Registration Statement is declared effective, promptly inform the Investors in writing if, at any time during the Registration Period, the Company does not satisfy the conditions specified in Rule 172 and, as a result thereof, the Investors are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8"/>
          <w:szCs w:val="18"/>
          <w:u w:val="single" w:color="auto"/>
          <w:color w:val="auto"/>
        </w:rPr>
        <w:t>Section 3(h)</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Availability Date</w:t>
      </w:r>
      <w:r>
        <w:rPr>
          <w:rFonts w:ascii="Times New Roman" w:cs="Times New Roman" w:eastAsia="Times New Roman" w:hAnsi="Times New Roman"/>
          <w:sz w:val="18"/>
          <w:szCs w:val="18"/>
          <w:color w:val="auto"/>
        </w:rPr>
        <w:t>” means the forty-fifth</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120"/>
          </w:cols>
          <w:pgMar w:left="320" w:top="455" w:right="459" w:bottom="1440" w:gutter="0" w:footer="0" w:header="0"/>
        </w:sectPr>
      </w:pPr>
    </w:p>
    <w:bookmarkStart w:id="624" w:name="page625"/>
    <w:bookmarkEnd w:id="6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60"/>
        <w:spacing w:after="0" w:line="207" w:lineRule="auto"/>
        <w:rPr>
          <w:sz w:val="20"/>
          <w:szCs w:val="20"/>
          <w:color w:val="auto"/>
        </w:rPr>
      </w:pPr>
      <w:r>
        <w:rPr>
          <w:rFonts w:ascii="Times New Roman" w:cs="Times New Roman" w:eastAsia="Times New Roman" w:hAnsi="Times New Roman"/>
          <w:sz w:val="17"/>
          <w:szCs w:val="17"/>
          <w:color w:val="auto"/>
        </w:rPr>
        <w:t>(45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following the end of the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fiscal quarter that includes the effective date of such Registration Statement, except that, if such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fiscal quarter is the last quarter of the Company’s fiscal year, “Availability Date” means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day after the end of such fourth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fiscal quarter).</w:t>
      </w:r>
    </w:p>
    <w:p>
      <w:pPr>
        <w:spacing w:after="0" w:line="199" w:lineRule="exact"/>
        <w:rPr>
          <w:sz w:val="20"/>
          <w:szCs w:val="20"/>
          <w:color w:val="auto"/>
        </w:rPr>
      </w:pPr>
    </w:p>
    <w:p>
      <w:pPr>
        <w:ind w:left="120" w:firstLine="987"/>
        <w:spacing w:after="0" w:line="256" w:lineRule="auto"/>
        <w:tabs>
          <w:tab w:leader="none" w:pos="1326"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Blue-Sky</w:t>
      </w:r>
      <w:r>
        <w:rPr>
          <w:rFonts w:ascii="Times New Roman" w:cs="Times New Roman" w:eastAsia="Times New Roman" w:hAnsi="Times New Roman"/>
          <w:sz w:val="18"/>
          <w:szCs w:val="18"/>
          <w:color w:val="auto"/>
        </w:rPr>
        <w:t xml:space="preserve">. The Company shall use commercially reasonable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(ii) subject itself to general taxation in any jurisdiction where it would not otherwise be so subject but for this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or (iii) file a general consent to service of process in any such jurisdiction.</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53" w:lineRule="auto"/>
        <w:tabs>
          <w:tab w:leader="none" w:pos="1326" w:val="left"/>
        </w:tabs>
        <w:numPr>
          <w:ilvl w:val="2"/>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With a view to making available to the Investors the benefits of Rule 144 (or its successor rule) and any other rule or regulation of the SEC that may at any time permit the Investors to sell Registrable Securities to the public without registration, the Company covenants and agrees to use commercially reasonable efforts to, for so long as any Registrable Securities are outstanding, (i) make and keep adequate current public information available, as those terms are understood and defined in Rule 144, until the date as all of the Registrable Securities may be sold without restriction by the holders thereof pursuant to Rule 144 or any other rule of similar effect (without the requirement for the Company to be in compliance with any current public information requirements), (ii) maintain the registration of the Exchange Shares under Section 12(b) or 12(g) of the Exchange Act and file with the SEC in a timely manner all reports and other documents required of the Company under the Exchange Act; and</w:t>
      </w:r>
    </w:p>
    <w:p>
      <w:pPr>
        <w:spacing w:after="0" w:line="2" w:lineRule="exact"/>
        <w:rPr>
          <w:rFonts w:ascii="Times New Roman" w:cs="Times New Roman" w:eastAsia="Times New Roman" w:hAnsi="Times New Roman"/>
          <w:sz w:val="18"/>
          <w:szCs w:val="18"/>
          <w:color w:val="auto"/>
        </w:rPr>
      </w:pPr>
    </w:p>
    <w:p>
      <w:pPr>
        <w:ind w:left="120" w:right="120" w:hanging="4"/>
        <w:spacing w:after="0" w:line="252" w:lineRule="auto"/>
        <w:tabs>
          <w:tab w:leader="none" w:pos="435"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 The Company shall use its reasonable best efforts to facilitate and expedite transfers of Registrable Securities pursuant to Rule 144, which efforts shall include timely notice to its transfer agent to expedite such transfers of Registrable Securities and delivery of any opinions requested by the transfer agent.</w:t>
      </w:r>
    </w:p>
    <w:p>
      <w:pPr>
        <w:spacing w:after="0" w:line="189"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66" w:val="left"/>
        </w:tabs>
        <w:numPr>
          <w:ilvl w:val="2"/>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w:t>
      </w:r>
    </w:p>
    <w:p>
      <w:pPr>
        <w:spacing w:after="0" w:line="183" w:lineRule="exact"/>
        <w:rPr>
          <w:rFonts w:ascii="Times New Roman" w:cs="Times New Roman" w:eastAsia="Times New Roman" w:hAnsi="Times New Roman"/>
          <w:sz w:val="18"/>
          <w:szCs w:val="18"/>
          <w:color w:val="auto"/>
        </w:rPr>
      </w:pPr>
    </w:p>
    <w:p>
      <w:pPr>
        <w:ind w:left="120" w:right="340" w:firstLine="987"/>
        <w:spacing w:after="0" w:line="289" w:lineRule="auto"/>
        <w:tabs>
          <w:tab w:leader="none" w:pos="1326" w:val="left"/>
        </w:tabs>
        <w:numPr>
          <w:ilvl w:val="2"/>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Removal of Restrictive Legends</w:t>
      </w:r>
      <w:r>
        <w:rPr>
          <w:rFonts w:ascii="Times New Roman" w:cs="Times New Roman" w:eastAsia="Times New Roman" w:hAnsi="Times New Roman"/>
          <w:sz w:val="17"/>
          <w:szCs w:val="17"/>
          <w:color w:val="auto"/>
        </w:rPr>
        <w:t>. Without limiting Section 5.5 of the Purchase Agreement, the Company shall use reasonable best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spacing w:after="0" w:line="261" w:lineRule="exact"/>
        <w:rPr>
          <w:rFonts w:ascii="Times New Roman" w:cs="Times New Roman" w:eastAsia="Times New Roman" w:hAnsi="Times New Roman"/>
          <w:sz w:val="17"/>
          <w:szCs w:val="17"/>
          <w:color w:val="auto"/>
        </w:rPr>
      </w:pPr>
    </w:p>
    <w:p>
      <w:pPr>
        <w:ind w:left="740" w:hanging="184"/>
        <w:spacing w:after="0"/>
        <w:tabs>
          <w:tab w:leader="none" w:pos="740" w:val="left"/>
        </w:tabs>
        <w:numPr>
          <w:ilvl w:val="1"/>
          <w:numId w:val="4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THE INVESTORS.</w:t>
      </w:r>
    </w:p>
    <w:p>
      <w:pPr>
        <w:spacing w:after="0" w:line="121" w:lineRule="exact"/>
        <w:rPr>
          <w:rFonts w:ascii="Times New Roman" w:cs="Times New Roman" w:eastAsia="Times New Roman" w:hAnsi="Times New Roman"/>
          <w:sz w:val="18"/>
          <w:szCs w:val="18"/>
          <w:b w:val="1"/>
          <w:bCs w:val="1"/>
          <w:color w:val="auto"/>
        </w:rPr>
      </w:pPr>
    </w:p>
    <w:p>
      <w:pPr>
        <w:ind w:left="120" w:firstLine="987"/>
        <w:spacing w:after="0" w:line="268" w:lineRule="auto"/>
        <w:tabs>
          <w:tab w:leader="none" w:pos="1356" w:val="left"/>
        </w:tabs>
        <w:numPr>
          <w:ilvl w:val="2"/>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Investor Information</w:t>
      </w:r>
      <w:r>
        <w:rPr>
          <w:rFonts w:ascii="Times New Roman" w:cs="Times New Roman" w:eastAsia="Times New Roman" w:hAnsi="Times New Roman"/>
          <w:sz w:val="18"/>
          <w:szCs w:val="18"/>
          <w:color w:val="auto"/>
        </w:rPr>
        <w:t xml:space="preserve">. Each Investor shall provide a completed Investor Questionnaire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such other information reasonably requested by the Company in connection with the registration of the Registrable Securities within three (3) Business Days of request by the Company and no later than the end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Business Day following the date on which such Investor receives draft</w:t>
      </w:r>
    </w:p>
    <w:p>
      <w:pPr>
        <w:jc w:val="center"/>
        <w:ind w:right="-139"/>
        <w:spacing w:after="0"/>
        <w:rPr>
          <w:sz w:val="20"/>
          <w:szCs w:val="20"/>
          <w:color w:val="auto"/>
        </w:rPr>
      </w:pPr>
      <w:r>
        <w:rPr>
          <w:rFonts w:ascii="Times New Roman" w:cs="Times New Roman" w:eastAsia="Times New Roman" w:hAnsi="Times New Roman"/>
          <w:sz w:val="18"/>
          <w:szCs w:val="18"/>
          <w:color w:val="auto"/>
        </w:rPr>
        <w:t>G-9</w:t>
      </w:r>
    </w:p>
    <w:p>
      <w:pPr>
        <w:sectPr>
          <w:pgSz w:w="11900" w:h="16838" w:orient="portrait"/>
          <w:cols w:equalWidth="0" w:num="1">
            <w:col w:w="11120"/>
          </w:cols>
          <w:pgMar w:left="320" w:top="456" w:right="459" w:bottom="1440" w:gutter="0" w:footer="0" w:header="0"/>
        </w:sectPr>
      </w:pPr>
    </w:p>
    <w:bookmarkStart w:id="625" w:name="page626"/>
    <w:bookmarkEnd w:id="6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 xml:space="preserve">materials in accordance with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If the Company has not received such completed questionnaire from an Investor within five (5) days of the Company’s request, the Company may file the Registration Statement without including such Investor’s Registrable Securities.</w:t>
      </w:r>
    </w:p>
    <w:p>
      <w:pPr>
        <w:spacing w:after="0" w:line="162" w:lineRule="exact"/>
        <w:rPr>
          <w:sz w:val="20"/>
          <w:szCs w:val="20"/>
          <w:color w:val="auto"/>
        </w:rPr>
      </w:pPr>
    </w:p>
    <w:p>
      <w:pPr>
        <w:ind w:left="120" w:right="20" w:firstLine="987"/>
        <w:spacing w:after="0" w:line="252" w:lineRule="auto"/>
        <w:tabs>
          <w:tab w:leader="none" w:pos="1366"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 provided, for the avoidance of doubt, that the foregoing shall not limit the right of the Investor to sell or otherwise dispose of the Registrable Securities pursuant to Rule 144 or any other exemption from the registration requirements of the Securities Act or to settle a transaction pursuant to a Registration Statement as to which a contract for such sale was entered into prior to such Investor’s receipt of the notice from the Company of the existence of the Allowed Delay or Suspension Event. The Company shall use its reasonable best efforts to cause its transfer agent to deliver unlegended shares of Exchange Shares to a transferee of an Investor in accordance with any sale of Registrable Securities pursuant to a Registration Statement with respect to which such Investor has entered into a contract for sale prior to such Investor’s receipt of the notice from the Company of the existence of the Allowed Delay or Suspension Event. (c)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301" w:lineRule="exact"/>
        <w:rPr>
          <w:rFonts w:ascii="Times New Roman" w:cs="Times New Roman" w:eastAsia="Times New Roman" w:hAnsi="Times New Roman"/>
          <w:sz w:val="18"/>
          <w:szCs w:val="18"/>
          <w:color w:val="auto"/>
        </w:rPr>
      </w:pPr>
    </w:p>
    <w:p>
      <w:pPr>
        <w:ind w:left="740" w:hanging="184"/>
        <w:spacing w:after="0"/>
        <w:tabs>
          <w:tab w:leader="none" w:pos="740" w:val="left"/>
        </w:tabs>
        <w:numPr>
          <w:ilvl w:val="0"/>
          <w:numId w:val="4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OF REGISTRATION.</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Registration Expenses incurred in connection with registrations pursuant to this Agreement and pursuant to any Registration Statement shall be borne by the Company. All Selling Expenses relating to securities registered on behalf of an Investor shall be borne by the Investor incurring the relevant Selling Expenses.</w:t>
      </w:r>
    </w:p>
    <w:p>
      <w:pPr>
        <w:spacing w:after="0" w:line="280" w:lineRule="exact"/>
        <w:rPr>
          <w:sz w:val="20"/>
          <w:szCs w:val="20"/>
          <w:color w:val="auto"/>
        </w:rPr>
      </w:pPr>
    </w:p>
    <w:p>
      <w:pPr>
        <w:ind w:left="740" w:hanging="184"/>
        <w:spacing w:after="0"/>
        <w:tabs>
          <w:tab w:leader="none" w:pos="740" w:val="left"/>
        </w:tabs>
        <w:numPr>
          <w:ilvl w:val="0"/>
          <w:numId w:val="4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w:t>
      </w:r>
    </w:p>
    <w:p>
      <w:pPr>
        <w:spacing w:after="0" w:line="121" w:lineRule="exact"/>
        <w:rPr>
          <w:rFonts w:ascii="Times New Roman" w:cs="Times New Roman" w:eastAsia="Times New Roman" w:hAnsi="Times New Roman"/>
          <w:sz w:val="18"/>
          <w:szCs w:val="18"/>
          <w:b w:val="1"/>
          <w:bCs w:val="1"/>
          <w:color w:val="auto"/>
        </w:rPr>
      </w:pPr>
    </w:p>
    <w:p>
      <w:pPr>
        <w:ind w:left="120" w:firstLine="987"/>
        <w:spacing w:after="0" w:line="252" w:lineRule="auto"/>
        <w:tabs>
          <w:tab w:leader="none" w:pos="1353"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the Company will, and hereby does, indemnify, hold harmless and defend each Investor, each Person, if any, who controls each Investor, the members,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against any losses, obligation, claims, damages, liabilities, contingencies, judgments, fines, penalties, charges and costs (including, without limitation, court costs and costs of preparation), reasonable and documented attorneys’ fees, amounts paid in settlement (with the prior written consent of the Company, such consent not to be unreasonably withheld, conditioned or delayed) and reasonable and documented expenses (collectively, “</w:t>
      </w:r>
      <w:r>
        <w:rPr>
          <w:rFonts w:ascii="Times New Roman" w:cs="Times New Roman" w:eastAsia="Times New Roman" w:hAnsi="Times New Roman"/>
          <w:sz w:val="18"/>
          <w:szCs w:val="18"/>
          <w:b w:val="1"/>
          <w:bCs w:val="1"/>
          <w:color w:val="auto"/>
        </w:rPr>
        <w:t>Claims</w:t>
      </w:r>
      <w:r>
        <w:rPr>
          <w:rFonts w:ascii="Times New Roman" w:cs="Times New Roman" w:eastAsia="Times New Roman" w:hAnsi="Times New Roman"/>
          <w:sz w:val="18"/>
          <w:szCs w:val="18"/>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(the “</w:t>
      </w:r>
      <w:r>
        <w:rPr>
          <w:rFonts w:ascii="Times New Roman" w:cs="Times New Roman" w:eastAsia="Times New Roman" w:hAnsi="Times New Roman"/>
          <w:sz w:val="18"/>
          <w:szCs w:val="18"/>
          <w:b w:val="1"/>
          <w:bCs w:val="1"/>
          <w:color w:val="auto"/>
        </w:rPr>
        <w:t>Indemnified Damages</w:t>
      </w:r>
      <w:r>
        <w:rPr>
          <w:rFonts w:ascii="Times New Roman" w:cs="Times New Roman" w:eastAsia="Times New Roman" w:hAnsi="Times New Roman"/>
          <w:sz w:val="18"/>
          <w:szCs w:val="18"/>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any preliminary prospectus or final prospectus thereto, or any amendment or supplement thereof,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the registration of the Registrable Securities pursuant to any Registration Statement (the matters in the foregoing clauses (i) and (ii) being, collectively, “</w:t>
      </w:r>
      <w:r>
        <w:rPr>
          <w:rFonts w:ascii="Times New Roman" w:cs="Times New Roman" w:eastAsia="Times New Roman" w:hAnsi="Times New Roman"/>
          <w:sz w:val="18"/>
          <w:szCs w:val="18"/>
          <w:b w:val="1"/>
          <w:bCs w:val="1"/>
          <w:color w:val="auto"/>
        </w:rPr>
        <w:t>Violations</w:t>
      </w:r>
      <w:r>
        <w:rPr>
          <w:rFonts w:ascii="Times New Roman" w:cs="Times New Roman" w:eastAsia="Times New Roman" w:hAnsi="Times New Roman"/>
          <w:sz w:val="18"/>
          <w:szCs w:val="18"/>
          <w:color w:val="auto"/>
        </w:rPr>
        <w:t>”). The</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G-10</w:t>
      </w:r>
    </w:p>
    <w:p>
      <w:pPr>
        <w:sectPr>
          <w:pgSz w:w="11900" w:h="16838" w:orient="portrait"/>
          <w:cols w:equalWidth="0" w:num="1">
            <w:col w:w="11120"/>
          </w:cols>
          <w:pgMar w:left="320" w:top="455" w:right="459" w:bottom="1440" w:gutter="0" w:footer="0" w:header="0"/>
        </w:sectPr>
      </w:pPr>
    </w:p>
    <w:bookmarkStart w:id="626" w:name="page627"/>
    <w:bookmarkEnd w:id="6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 xml:space="preserve">Company shall reimburse each Indemnified Person promptly as such expenses are incurred and are due and payable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(A) shall not apply to a Claim by an Indemnified Person arising out of or based upon a Violation which occurs in reliance upon and in conformity with information furnished in writing to the Company by the relevant Investor or such relevant Indemnified Person specifically for use in such Registration Statement or prospectus and was reviewed and approved in writing by such Investor or such Indemnified Person expressly for use in connection with the preparation of any Registration Statement, any prospectus or any such amendment thereof or supplement thereto if the foregoing was timely made available by the Company;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relevant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an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120" w:firstLine="987"/>
        <w:spacing w:after="0" w:line="252" w:lineRule="auto"/>
        <w:tabs>
          <w:tab w:leader="none" w:pos="136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Resale Registration Statement, any New Registration Statement or any prospectus thereto, each Investor, severally and not jointly, agrees to indemnify, hold harmless and defend, the Company, each of its directors, and officers who signed the Resale Registration Statement or signs any New Registration Statement, and each Person, if any, who controls the Company within the meaning of the Securities Act or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against any losses, claims, damages, liabilities and expense (including reasonable attorney fees) resulting from (i) any untrue statement or alleged untrue statement or omission or alleged omission of any material fact contained in any Registration Statement to the extent, and only to the extent, that such untrue statement or alleged untrue statement or omission or alleged omission occurred in reliance upon and in conformity with information about the relevant Investor furnished and approved in writing by such Investor to the Company expressly for use in connection with the preparation of the Registration Statement, any New Registration Statement, any prospectus thereto or any such amendment thereof or supplement thereto or (ii) any violation or alleged violation by such Investor of its obligations under this Agreement. In no event shall the liability of an Investor under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be greater in amount than the dollar amount of the proceeds (net of all expense paid by such Investor in connection with any claim relating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the amount of any damages such Investor has otherwise been required to pay by reason of such untrue statement or omission, such alleged untrue statement or omission, such violation or such alleged violation)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shall not apply to amounts paid in settlement of any Claim if such settlement is effected without the prior written consent of such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ind w:left="120" w:right="340" w:firstLine="987"/>
        <w:spacing w:after="0" w:line="261" w:lineRule="auto"/>
        <w:tabs>
          <w:tab w:leader="none" w:pos="135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deliver to the indemnifying party a written notice of the commencement thereof, and the indemnifying party shall have the right to participate in, and, to the extent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G-11</w:t>
      </w:r>
    </w:p>
    <w:p>
      <w:pPr>
        <w:sectPr>
          <w:pgSz w:w="11900" w:h="16838" w:orient="portrait"/>
          <w:cols w:equalWidth="0" w:num="1">
            <w:col w:w="11120"/>
          </w:cols>
          <w:pgMar w:left="320" w:top="456" w:right="459" w:bottom="1440" w:gutter="0" w:footer="0" w:header="0"/>
        </w:sectPr>
      </w:pPr>
    </w:p>
    <w:bookmarkStart w:id="627" w:name="page628"/>
    <w:bookmarkEnd w:id="6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 xml:space="preserve">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 out of such claim or litigation in favor of, and</w:t>
      </w:r>
    </w:p>
    <w:p>
      <w:pPr>
        <w:spacing w:after="0" w:line="10" w:lineRule="exact"/>
        <w:rPr>
          <w:sz w:val="20"/>
          <w:szCs w:val="20"/>
          <w:color w:val="auto"/>
        </w:rPr>
      </w:pPr>
    </w:p>
    <w:p>
      <w:pPr>
        <w:ind w:left="440" w:hanging="324"/>
        <w:spacing w:after="0"/>
        <w:tabs>
          <w:tab w:leader="none" w:pos="44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admission of fault, culpability, wrongdoing, or wrongdoing or malfeasance by or on behalf of, the Indemnified Party or</w:t>
      </w:r>
    </w:p>
    <w:p>
      <w:pPr>
        <w:spacing w:after="0" w:line="9" w:lineRule="exact"/>
        <w:rPr>
          <w:rFonts w:ascii="Times New Roman" w:cs="Times New Roman" w:eastAsia="Times New Roman" w:hAnsi="Times New Roman"/>
          <w:sz w:val="18"/>
          <w:szCs w:val="18"/>
          <w:color w:val="auto"/>
        </w:rPr>
      </w:pPr>
    </w:p>
    <w:p>
      <w:pPr>
        <w:ind w:left="12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except to the extent that the indemnifying party is prejudiced in its ability to defend such action.</w:t>
      </w:r>
    </w:p>
    <w:p>
      <w:pPr>
        <w:spacing w:after="0" w:line="186"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required by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which person is later determined to not be entitled to such payment shall promptly return such payment (including reimbursement of expenses) to the person making it.</w:t>
      </w:r>
    </w:p>
    <w:p>
      <w:pPr>
        <w:spacing w:after="0" w:line="179"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56" w:val="left"/>
        </w:tabs>
        <w:numPr>
          <w:ilvl w:val="1"/>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7. CONTRIBUTION.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To the extent any indemnification by an indemnifying party is prohibited or limited by law, the indemnifying party agrees to make the maximum contribution with respect to any amounts for which it would otherwise be liable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the fullest extent permitted by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no seller of Registrable Securities guilty of fraudulent misrepresentation (within the meaning of Section 11(f) of the Securities Act) shall be entitled to contribution from any seller of Registrable Securities who was not guilty of fraudulent misrepresentation; and (ii) 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the amount of any damages such holder has otherwise been required to pay by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G-12</w:t>
      </w:r>
    </w:p>
    <w:p>
      <w:pPr>
        <w:sectPr>
          <w:pgSz w:w="11900" w:h="16838" w:orient="portrait"/>
          <w:cols w:equalWidth="0" w:num="1">
            <w:col w:w="11120"/>
          </w:cols>
          <w:pgMar w:left="320" w:top="455" w:right="459" w:bottom="1440" w:gutter="0" w:footer="0" w:header="0"/>
        </w:sectPr>
      </w:pPr>
    </w:p>
    <w:bookmarkStart w:id="628" w:name="page629"/>
    <w:bookmarkEnd w:id="6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reason of such untrue or alleged untrue statement or omission or alleged omission) received by such seller from the sale of such Registrable Securities giving rise to such contribution obligation.</w:t>
      </w:r>
    </w:p>
    <w:p>
      <w:pPr>
        <w:spacing w:after="0" w:line="2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8. ASSIGNMENT OF REGISTRATION RIGHTS.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not assign this Agreement or any rights or obligations hereunder (whether by operation of law or otherwise) without the prior written consent of the Required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such Investor in connection with such transaction unless such securities are otherwise freely tradable by such Investor after giving effect to such transaction, and the prior written consent of the Required Investors shall not be required for such transaction. An Investor may transfer or assign its rights hereunder, in whole or in part from time to time to one or more Persons, provided that such Investor complies with all laws applicable thereto, and the provisions of the Purchase Agreement, and provides written notice of assignment to the Company promptly after such assignment is effected, and such Person agrees in writing to be bound by all the provisions contained herein.</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9. AMENDMENTS AND WAIVERS.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provisions of this Agreement, including the provisions of this sentence, may be amended, modified or supplemented, or waived only by a written instrument executed by (a) the Company and (b) the Required Investors,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shares of Series C Preferred Stock then outstanding have been converted in full without regard to any limitations on the conversion of such shares of Series C Preferred Stock) to which such waiver or consent relates; provided such consenting Investors shall not in any event be paid any separate consideration in connection with any such amendment or waiver.</w:t>
      </w:r>
    </w:p>
    <w:p>
      <w:pPr>
        <w:spacing w:after="0" w:line="296" w:lineRule="exact"/>
        <w:rPr>
          <w:sz w:val="20"/>
          <w:szCs w:val="20"/>
          <w:color w:val="auto"/>
        </w:rPr>
      </w:pPr>
    </w:p>
    <w:p>
      <w:pPr>
        <w:ind w:left="820" w:hanging="264"/>
        <w:spacing w:after="0"/>
        <w:tabs>
          <w:tab w:leader="none" w:pos="820" w:val="left"/>
        </w:tabs>
        <w:numPr>
          <w:ilvl w:val="1"/>
          <w:numId w:val="4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21" w:lineRule="exact"/>
        <w:rPr>
          <w:rFonts w:ascii="Times New Roman" w:cs="Times New Roman" w:eastAsia="Times New Roman" w:hAnsi="Times New Roman"/>
          <w:sz w:val="18"/>
          <w:szCs w:val="18"/>
          <w:b w:val="1"/>
          <w:bCs w:val="1"/>
          <w:color w:val="auto"/>
        </w:rPr>
      </w:pPr>
    </w:p>
    <w:p>
      <w:pPr>
        <w:ind w:left="120" w:right="60" w:firstLine="987"/>
        <w:spacing w:after="0" w:line="270" w:lineRule="auto"/>
        <w:tabs>
          <w:tab w:leader="none" w:pos="1356" w:val="left"/>
        </w:tabs>
        <w:numPr>
          <w:ilvl w:val="2"/>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w:t>
      </w:r>
    </w:p>
    <w:p>
      <w:pPr>
        <w:spacing w:after="0" w:line="2" w:lineRule="exact"/>
        <w:rPr>
          <w:rFonts w:ascii="Times New Roman" w:cs="Times New Roman" w:eastAsia="Times New Roman" w:hAnsi="Times New Roman"/>
          <w:sz w:val="17"/>
          <w:szCs w:val="17"/>
          <w:color w:val="auto"/>
        </w:rPr>
      </w:pPr>
    </w:p>
    <w:p>
      <w:pPr>
        <w:ind w:left="120" w:hanging="4"/>
        <w:spacing w:after="0" w:line="260" w:lineRule="auto"/>
        <w:tabs>
          <w:tab w:leader="none" w:pos="37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Business Day after deposit with a nationally recognized overnight courier, freight prepaid, specifying next business day delivery, with written verification of receipt:</w:t>
      </w:r>
    </w:p>
    <w:p>
      <w:pPr>
        <w:spacing w:after="0" w:line="7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 If to the Company, addressed as follows: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 Lindenwood Drive, Suite 225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President and Principal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Address: [***]</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G-13</w:t>
      </w:r>
    </w:p>
    <w:p>
      <w:pPr>
        <w:sectPr>
          <w:pgSz w:w="11900" w:h="16838" w:orient="portrait"/>
          <w:cols w:equalWidth="0" w:num="1">
            <w:col w:w="11120"/>
          </w:cols>
          <w:pgMar w:left="320" w:top="456" w:right="459" w:bottom="1440" w:gutter="0" w:footer="0" w:header="0"/>
        </w:sectPr>
      </w:pPr>
    </w:p>
    <w:bookmarkStart w:id="629" w:name="page630"/>
    <w:bookmarkEnd w:id="6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copy (which shall not constitute notice):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2850 Quarry Lake Drive, Suite 301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Baltimore, Maryland 21209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Asher Rubin; Istvan Hajdu; Kayla West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Address: arubin@sidley.com; ihajdu@sidley.com; kwest@sidley.com</w:t>
      </w:r>
    </w:p>
    <w:p>
      <w:pPr>
        <w:spacing w:after="0" w:line="207" w:lineRule="exact"/>
        <w:rPr>
          <w:sz w:val="20"/>
          <w:szCs w:val="20"/>
          <w:color w:val="auto"/>
        </w:rPr>
      </w:pPr>
    </w:p>
    <w:p>
      <w:pPr>
        <w:ind w:left="120" w:right="560" w:firstLine="987"/>
        <w:spacing w:after="0" w:line="282" w:lineRule="auto"/>
        <w:tabs>
          <w:tab w:leader="none" w:pos="1301"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each of its e-mail addresses or addresses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Purchase Agreement or to such e-mail addresses, or addresses as subsequently modified by written notice given in accordance with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Person may change the addresses to which notices and communications to it are to be addressed by notification as provided for herein.</w:t>
      </w:r>
    </w:p>
    <w:p>
      <w:pPr>
        <w:spacing w:after="0" w:line="225" w:lineRule="exact"/>
        <w:rPr>
          <w:sz w:val="20"/>
          <w:szCs w:val="20"/>
          <w:color w:val="auto"/>
        </w:rPr>
      </w:pPr>
    </w:p>
    <w:p>
      <w:pPr>
        <w:ind w:left="1360" w:hanging="253"/>
        <w:spacing w:after="0"/>
        <w:tabs>
          <w:tab w:leader="none" w:pos="1360"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 w:right="340" w:firstLine="987"/>
        <w:spacing w:after="0" w:line="266" w:lineRule="auto"/>
        <w:tabs>
          <w:tab w:leader="none" w:pos="135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No failure or delay on the part of any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Submission to Jurisdiction; Venue; Waiver of Trial by Jury</w:t>
      </w:r>
      <w:r>
        <w:rPr>
          <w:rFonts w:ascii="Times New Roman" w:cs="Times New Roman" w:eastAsia="Times New Roman" w:hAnsi="Times New Roman"/>
          <w:sz w:val="18"/>
          <w:szCs w:val="18"/>
          <w:color w:val="auto"/>
        </w:rPr>
        <w:t xml:space="preserve">. The provisions of Section 8.6 of the Purchase Agreement are incorporated by reference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5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3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36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t>
      </w:r>
      <w:r>
        <w:rPr>
          <w:rFonts w:ascii="Times New Roman" w:cs="Times New Roman" w:eastAsia="Times New Roman" w:hAnsi="Times New Roman"/>
          <w:sz w:val="18"/>
          <w:szCs w:val="18"/>
          <w:i w:val="1"/>
          <w:iCs w:val="1"/>
          <w:color w:val="auto"/>
        </w:rPr>
        <w:t>www.docusign.com</w:t>
      </w:r>
      <w:r>
        <w:rPr>
          <w:rFonts w:ascii="Times New Roman" w:cs="Times New Roman" w:eastAsia="Times New Roman" w:hAnsi="Times New Roman"/>
          <w:sz w:val="18"/>
          <w:szCs w:val="18"/>
          <w:color w:val="auto"/>
        </w:rPr>
        <w:t xml:space="preserve">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rFonts w:ascii="Times New Roman" w:cs="Times New Roman" w:eastAsia="Times New Roman" w:hAnsi="Times New Roman"/>
          <w:sz w:val="18"/>
          <w:szCs w:val="18"/>
          <w:color w:val="auto"/>
        </w:rPr>
      </w:pPr>
    </w:p>
    <w:p>
      <w:pPr>
        <w:ind w:left="120" w:firstLine="987"/>
        <w:spacing w:after="0" w:line="266" w:lineRule="auto"/>
        <w:tabs>
          <w:tab w:leader="none" w:pos="136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5" w:lineRule="exact"/>
        <w:rPr>
          <w:rFonts w:ascii="Times New Roman" w:cs="Times New Roman" w:eastAsia="Times New Roman" w:hAnsi="Times New Roman"/>
          <w:sz w:val="18"/>
          <w:szCs w:val="18"/>
          <w:color w:val="auto"/>
        </w:rPr>
      </w:pPr>
    </w:p>
    <w:p>
      <w:pPr>
        <w:ind w:left="120" w:right="400" w:firstLine="987"/>
        <w:spacing w:after="0" w:line="282" w:lineRule="auto"/>
        <w:tabs>
          <w:tab w:leader="none" w:pos="132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 Interpretation</w:t>
      </w:r>
      <w:r>
        <w:rPr>
          <w:rFonts w:ascii="Times New Roman" w:cs="Times New Roman" w:eastAsia="Times New Roman" w:hAnsi="Times New Roman"/>
          <w:sz w:val="18"/>
          <w:szCs w:val="18"/>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2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nothing in this Agreement is intended for the benefit of any party other than the parties hereto and their respective permitted successors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G-14</w:t>
      </w:r>
    </w:p>
    <w:p>
      <w:pPr>
        <w:sectPr>
          <w:pgSz w:w="11900" w:h="16838" w:orient="portrait"/>
          <w:cols w:equalWidth="0" w:num="1">
            <w:col w:w="11120"/>
          </w:cols>
          <w:pgMar w:left="320" w:top="455" w:right="459" w:bottom="1440" w:gutter="0" w:footer="0" w:header="0"/>
        </w:sectPr>
      </w:pPr>
    </w:p>
    <w:bookmarkStart w:id="630" w:name="page631"/>
    <w:bookmarkEnd w:id="6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58" w:lineRule="exact"/>
        <w:rPr>
          <w:sz w:val="20"/>
          <w:szCs w:val="20"/>
          <w:color w:val="auto"/>
        </w:rPr>
      </w:pPr>
    </w:p>
    <w:p>
      <w:pPr>
        <w:ind w:left="120" w:right="180" w:firstLine="987"/>
        <w:spacing w:after="0" w:line="261" w:lineRule="auto"/>
        <w:tabs>
          <w:tab w:leader="none" w:pos="136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79" w:lineRule="exact"/>
        <w:rPr>
          <w:rFonts w:ascii="Times New Roman" w:cs="Times New Roman" w:eastAsia="Times New Roman" w:hAnsi="Times New Roman"/>
          <w:sz w:val="18"/>
          <w:szCs w:val="18"/>
          <w:color w:val="auto"/>
        </w:rPr>
      </w:pPr>
    </w:p>
    <w:p>
      <w:pPr>
        <w:ind w:left="120" w:firstLine="987"/>
        <w:spacing w:after="0" w:line="254" w:lineRule="auto"/>
        <w:tabs>
          <w:tab w:leader="none" w:pos="132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91" w:lineRule="exact"/>
        <w:rPr>
          <w:rFonts w:ascii="Times New Roman" w:cs="Times New Roman" w:eastAsia="Times New Roman" w:hAnsi="Times New Roman"/>
          <w:sz w:val="18"/>
          <w:szCs w:val="18"/>
          <w:color w:val="auto"/>
        </w:rPr>
      </w:pPr>
    </w:p>
    <w:p>
      <w:pPr>
        <w:ind w:left="120" w:right="480" w:firstLine="987"/>
        <w:spacing w:after="0" w:line="266" w:lineRule="auto"/>
        <w:tabs>
          <w:tab w:leader="none" w:pos="141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remedies provided by law.</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have caused this Registration Rights Agreement to be duly executed as of date first written above.</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GALERA THERAPEUTICS, INC.</w:t>
      </w:r>
    </w:p>
    <w:p>
      <w:pPr>
        <w:spacing w:after="0" w:line="224"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28854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 Mel Sorensen, M.D.</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GAZELLE PARENT, INC.</w:t>
      </w:r>
    </w:p>
    <w:p>
      <w:pPr>
        <w:spacing w:after="0" w:line="224"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228854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 Mel Sorensen</w:t>
      </w:r>
    </w:p>
    <w:p>
      <w:pPr>
        <w:spacing w:after="0" w:line="27"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G-15</w:t>
      </w:r>
    </w:p>
    <w:p>
      <w:pPr>
        <w:sectPr>
          <w:pgSz w:w="11900" w:h="16838" w:orient="portrait"/>
          <w:cols w:equalWidth="0" w:num="1">
            <w:col w:w="11100"/>
          </w:cols>
          <w:pgMar w:left="320" w:top="456" w:right="479" w:bottom="1440" w:gutter="0" w:footer="0" w:header="0"/>
        </w:sectPr>
      </w:pPr>
    </w:p>
    <w:bookmarkStart w:id="631" w:name="page632"/>
    <w:bookmarkEnd w:id="6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have caused this Registration Rights Agreement to be duly executed as of date first written above.</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160"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G-16</w:t>
      </w:r>
    </w:p>
    <w:p>
      <w:pPr>
        <w:sectPr>
          <w:pgSz w:w="11900" w:h="16838" w:orient="portrait"/>
          <w:cols w:equalWidth="0" w:num="1">
            <w:col w:w="10520"/>
          </w:cols>
          <w:pgMar w:left="320" w:top="455" w:right="1059" w:bottom="1440" w:gutter="0" w:footer="0" w:header="0"/>
        </w:sectPr>
      </w:pPr>
    </w:p>
    <w:bookmarkStart w:id="632" w:name="page633"/>
    <w:bookmarkEnd w:id="6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26"/>
          <w:szCs w:val="26"/>
          <w:b w:val="1"/>
          <w:bCs w:val="1"/>
          <w:u w:val="single" w:color="auto"/>
          <w:color w:val="auto"/>
          <w:vertAlign w:val="superscript"/>
        </w:rPr>
        <w:t>1</w:t>
      </w:r>
    </w:p>
    <w:p>
      <w:pPr>
        <w:spacing w:after="0" w:line="4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05"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selling stockholders may use any one or more of the following methods when disposing of shares or interests therein:</w:t>
      </w:r>
    </w:p>
    <w:p>
      <w:pPr>
        <w:spacing w:after="0" w:line="131" w:lineRule="exact"/>
        <w:rPr>
          <w:sz w:val="20"/>
          <w:szCs w:val="20"/>
          <w:color w:val="auto"/>
        </w:rPr>
      </w:pPr>
    </w:p>
    <w:p>
      <w:pPr>
        <w:ind w:left="1080" w:hanging="424"/>
        <w:spacing w:after="0"/>
        <w:tabs>
          <w:tab w:leader="none" w:pos="10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and settlement of short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stockholders for purposes of this prospectus.</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77152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5" w:lineRule="exact"/>
        <w:rPr>
          <w:sz w:val="20"/>
          <w:szCs w:val="20"/>
          <w:color w:val="auto"/>
        </w:rPr>
      </w:pPr>
    </w:p>
    <w:p>
      <w:pPr>
        <w:ind w:left="540" w:hanging="424"/>
        <w:spacing w:after="0"/>
        <w:tabs>
          <w:tab w:leader="none" w:pos="540" w:val="left"/>
        </w:tabs>
        <w:numPr>
          <w:ilvl w:val="0"/>
          <w:numId w:val="49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Definitions to be conformed to resale S-3.</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G-17</w:t>
      </w:r>
    </w:p>
    <w:p>
      <w:pPr>
        <w:sectPr>
          <w:pgSz w:w="11900" w:h="16838" w:orient="portrait"/>
          <w:cols w:equalWidth="0" w:num="1">
            <w:col w:w="11120"/>
          </w:cols>
          <w:pgMar w:left="320" w:top="456" w:right="459" w:bottom="1440" w:gutter="0" w:footer="0" w:header="0"/>
        </w:sectPr>
      </w:pPr>
    </w:p>
    <w:bookmarkStart w:id="633" w:name="page634"/>
    <w:bookmarkEnd w:id="6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80"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spacing w:after="0" w:line="17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The selling stockholders and any underwriters, broker-dealers or agents that participate in the sale of the common stock or interests therein may be “underwriters” within the meaning of Section 2(a)(11) of the Securities Act (it being understood that the selling stockholders shall not be deemed to be underwriters solely as a result of their participation in this offering). Any discounts, commissions, concessions or profit they earn on any resale of the shares may be underwriting discounts and commissions under the Securities Act. Selling stockholders who are “underwriters” within the meaning of Section 2(a)(11) of the Securities Act will be subject to the prospectus delivery requirements of the Securities Act.</w:t>
      </w:r>
    </w:p>
    <w:p>
      <w:pPr>
        <w:spacing w:after="0" w:line="183"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To the extent required, the shares of our common stock to be sold, the names of the selling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80"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62"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We have agreed with the selling stockholders to use commercially reasonable efforts to cause the registration statement of which this prospectus constitutes a part to become effective and to remain continuously effective until the earlier of: (i) the date on which the selling stockholders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stockholders without registration and without regard to any volume or manner-of-sale limitations and without current public information pursuant to Rule 144 under the Securities Act or any other rule of similar effect.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G-18</w:t>
      </w:r>
    </w:p>
    <w:p>
      <w:pPr>
        <w:sectPr>
          <w:pgSz w:w="11900" w:h="16838" w:orient="portrait"/>
          <w:cols w:equalWidth="0" w:num="1">
            <w:col w:w="11120"/>
          </w:cols>
          <w:pgMar w:left="320" w:top="455" w:right="459" w:bottom="1440" w:gutter="0" w:footer="0" w:header="0"/>
        </w:sectPr>
      </w:pPr>
    </w:p>
    <w:bookmarkStart w:id="634" w:name="page635"/>
    <w:bookmarkEnd w:id="6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1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Investor Questionnaire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52" w:lineRule="exact"/>
        <w:rPr>
          <w:sz w:val="20"/>
          <w:szCs w:val="20"/>
          <w:color w:val="auto"/>
        </w:rPr>
      </w:pPr>
    </w:p>
    <w:p>
      <w:pPr>
        <w:ind w:left="540" w:hanging="424"/>
        <w:spacing w:after="0"/>
        <w:tabs>
          <w:tab w:leader="none" w:pos="540" w:val="left"/>
        </w:tabs>
        <w:numPr>
          <w:ilvl w:val="0"/>
          <w:numId w:val="5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121" w:lineRule="exact"/>
        <w:rPr>
          <w:sz w:val="20"/>
          <w:szCs w:val="20"/>
          <w:color w:val="auto"/>
        </w:rPr>
      </w:pPr>
    </w:p>
    <w:p>
      <w:pPr>
        <w:ind w:left="360" w:hanging="244"/>
        <w:spacing w:after="0"/>
        <w:tabs>
          <w:tab w:leader="none" w:pos="360"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Investor</w:t>
      </w:r>
    </w:p>
    <w:p>
      <w:pPr>
        <w:spacing w:after="0" w:line="387"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387" w:lineRule="exact"/>
        <w:rPr>
          <w:rFonts w:ascii="Times New Roman" w:cs="Times New Roman" w:eastAsia="Times New Roman" w:hAnsi="Times New Roman"/>
          <w:sz w:val="18"/>
          <w:szCs w:val="18"/>
          <w:color w:val="auto"/>
        </w:rPr>
      </w:pPr>
    </w:p>
    <w:p>
      <w:pPr>
        <w:ind w:left="120" w:right="260" w:hanging="4"/>
        <w:spacing w:after="0" w:line="282" w:lineRule="auto"/>
        <w:tabs>
          <w:tab w:leader="none" w:pos="365"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-751205</wp:posOffset>
            </wp:positionV>
            <wp:extent cx="699516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-374015</wp:posOffset>
            </wp:positionV>
            <wp:extent cx="699516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hanging="424"/>
        <w:spacing w:after="0"/>
        <w:tabs>
          <w:tab w:leader="none" w:pos="540" w:val="left"/>
        </w:tabs>
        <w:numPr>
          <w:ilvl w:val="0"/>
          <w:numId w:val="5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379730</wp:posOffset>
            </wp:positionV>
            <wp:extent cx="699516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577215</wp:posOffset>
            </wp:positionV>
            <wp:extent cx="699516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540" w:hanging="424"/>
        <w:spacing w:after="0"/>
        <w:tabs>
          <w:tab w:leader="none" w:pos="540" w:val="left"/>
        </w:tabs>
        <w:numPr>
          <w:ilvl w:val="0"/>
          <w:numId w:val="5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135" w:lineRule="exact"/>
        <w:rPr>
          <w:sz w:val="20"/>
          <w:szCs w:val="20"/>
          <w:color w:val="auto"/>
        </w:rPr>
      </w:pPr>
    </w:p>
    <w:p>
      <w:pPr>
        <w:ind w:left="540" w:hanging="424"/>
        <w:spacing w:after="0"/>
        <w:tabs>
          <w:tab w:leader="none" w:pos="54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jc w:val="center"/>
        <w:ind w:right="-37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66" w:lineRule="exact"/>
        <w:rPr>
          <w:sz w:val="20"/>
          <w:szCs w:val="20"/>
          <w:color w:val="auto"/>
        </w:rPr>
      </w:pPr>
    </w:p>
    <w:p>
      <w:pPr>
        <w:ind w:left="4840" w:right="780" w:hanging="4724"/>
        <w:spacing w:after="0" w:line="347" w:lineRule="exact"/>
        <w:tabs>
          <w:tab w:leader="none" w:pos="372"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“yes” to Section 3(a), did you receive your Registrable Securities as compensation for investment banking services to the Company?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If “no” to Section 3(b), the SEC’s staff has indicated that you should be identified as an underwriter in the Registration Statement.</w:t>
      </w:r>
    </w:p>
    <w:p>
      <w:pPr>
        <w:spacing w:after="0" w:line="252" w:lineRule="exact"/>
        <w:rPr>
          <w:sz w:val="20"/>
          <w:szCs w:val="20"/>
          <w:color w:val="auto"/>
        </w:rPr>
      </w:pPr>
    </w:p>
    <w:p>
      <w:pPr>
        <w:ind w:left="540" w:hanging="424"/>
        <w:spacing w:after="0"/>
        <w:tabs>
          <w:tab w:leader="none" w:pos="54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184" w:lineRule="exact"/>
        <w:rPr>
          <w:sz w:val="20"/>
          <w:szCs w:val="20"/>
          <w:color w:val="auto"/>
        </w:rPr>
      </w:pPr>
    </w:p>
    <w:p>
      <w:pPr>
        <w:jc w:val="center"/>
        <w:ind w:right="-379"/>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p>
      <w:pPr>
        <w:spacing w:after="0" w:line="266" w:lineRule="exact"/>
        <w:rPr>
          <w:sz w:val="20"/>
          <w:szCs w:val="20"/>
          <w:color w:val="auto"/>
        </w:rPr>
      </w:pPr>
    </w:p>
    <w:p>
      <w:pPr>
        <w:ind w:left="120" w:hanging="4"/>
        <w:spacing w:after="0" w:line="266" w:lineRule="auto"/>
        <w:tabs>
          <w:tab w:leader="none" w:pos="375"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0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G-19</w:t>
      </w:r>
    </w:p>
    <w:p>
      <w:pPr>
        <w:sectPr>
          <w:pgSz w:w="11900" w:h="16838" w:orient="portrait"/>
          <w:cols w:equalWidth="0" w:num="1">
            <w:col w:w="10860"/>
          </w:cols>
          <w:pgMar w:left="320" w:top="456" w:right="719" w:bottom="1440" w:gutter="0" w:footer="0" w:header="0"/>
        </w:sectPr>
      </w:pPr>
    </w:p>
    <w:bookmarkStart w:id="635" w:name="page636"/>
    <w:bookmarkEnd w:id="6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3" w:lineRule="exact"/>
        <w:rPr>
          <w:sz w:val="20"/>
          <w:szCs w:val="20"/>
          <w:color w:val="auto"/>
        </w:rPr>
      </w:pPr>
    </w:p>
    <w:p>
      <w:pPr>
        <w:jc w:val="center"/>
        <w:ind w:right="-13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Note: If “no” to Section 3(d), the SEC’s staff has indicated that you should be identified as an underwriter in the Registration Statement.</w:t>
      </w:r>
    </w:p>
    <w:p>
      <w:pPr>
        <w:spacing w:after="0" w:line="248" w:lineRule="exact"/>
        <w:rPr>
          <w:sz w:val="20"/>
          <w:szCs w:val="20"/>
          <w:color w:val="auto"/>
        </w:rPr>
      </w:pPr>
    </w:p>
    <w:p>
      <w:pPr>
        <w:ind w:left="540" w:hanging="424"/>
        <w:spacing w:after="0"/>
        <w:tabs>
          <w:tab w:leader="none" w:pos="540" w:val="left"/>
        </w:tabs>
        <w:numPr>
          <w:ilvl w:val="0"/>
          <w:numId w:val="5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Securities of the Company Owned by the Investor.</w:t>
      </w:r>
    </w:p>
    <w:p>
      <w:pPr>
        <w:spacing w:after="0" w:line="227" w:lineRule="exact"/>
        <w:rPr>
          <w:sz w:val="20"/>
          <w:szCs w:val="20"/>
          <w:color w:val="auto"/>
        </w:rPr>
      </w:pPr>
    </w:p>
    <w:p>
      <w:pPr>
        <w:ind w:left="120" w:right="560"/>
        <w:spacing w:after="0" w:line="284" w:lineRule="auto"/>
        <w:rPr>
          <w:sz w:val="20"/>
          <w:szCs w:val="20"/>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87" w:lineRule="exact"/>
        <w:rPr>
          <w:sz w:val="20"/>
          <w:szCs w:val="20"/>
          <w:color w:val="auto"/>
        </w:rPr>
      </w:pPr>
    </w:p>
    <w:p>
      <w:pPr>
        <w:ind w:left="540" w:hanging="424"/>
        <w:spacing w:after="0"/>
        <w:tabs>
          <w:tab w:leader="none" w:pos="54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377190</wp:posOffset>
            </wp:positionV>
            <wp:extent cx="699516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0" w:hanging="424"/>
        <w:spacing w:after="0"/>
        <w:tabs>
          <w:tab w:leader="none" w:pos="540" w:val="left"/>
        </w:tabs>
        <w:numPr>
          <w:ilvl w:val="0"/>
          <w:numId w:val="5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Relationships with the Company:</w:t>
      </w:r>
    </w:p>
    <w:p>
      <w:pPr>
        <w:spacing w:after="0" w:line="22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377190</wp:posOffset>
            </wp:positionV>
            <wp:extent cx="699516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undersigned acknowledges that the Securities Act and the rules and regulations promulgated thereunder may require the undersigned to promptly notify the Company of any material inaccuracies or changes in the information provided herein that may occur subsequent to the date hereof at any time as long as the undersigned holds Registrable Securities (as defined in the Registration Rights Agreement). In the absence of any such notification, the Company shall be entitled to continue to rely on the accuracy of the information in this Notice and Questionnaire.</w:t>
      </w:r>
    </w:p>
    <w:p>
      <w:pPr>
        <w:spacing w:after="0" w:line="18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89" w:lineRule="exact"/>
        <w:rPr>
          <w:sz w:val="20"/>
          <w:szCs w:val="20"/>
          <w:color w:val="auto"/>
        </w:rPr>
      </w:pPr>
    </w:p>
    <w:p>
      <w:pPr>
        <w:ind w:left="120"/>
        <w:spacing w:after="0"/>
        <w:tabs>
          <w:tab w:leader="none" w:pos="5500" w:val="left"/>
        </w:tabs>
        <w:rPr>
          <w:sz w:val="20"/>
          <w:szCs w:val="20"/>
          <w:color w:val="auto"/>
        </w:rPr>
      </w:pPr>
      <w:r>
        <w:rPr>
          <w:rFonts w:ascii="Times New Roman" w:cs="Times New Roman" w:eastAsia="Times New Roman" w:hAnsi="Times New Roman"/>
          <w:sz w:val="18"/>
          <w:szCs w:val="18"/>
          <w:color w:val="auto"/>
        </w:rPr>
        <w:t xml:space="preserve">Date:                          </w:t>
      </w:r>
      <w:r>
        <w:rPr>
          <w:sz w:val="20"/>
          <w:szCs w:val="20"/>
          <w:color w:val="auto"/>
        </w:rPr>
        <w:tab/>
      </w:r>
      <w:r>
        <w:rPr>
          <w:rFonts w:ascii="Times New Roman" w:cs="Times New Roman" w:eastAsia="Times New Roman" w:hAnsi="Times New Roman"/>
          <w:sz w:val="18"/>
          <w:szCs w:val="18"/>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00375"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3000375" cy="8255"/>
                    </a:xfrm>
                    <a:prstGeom prst="rect">
                      <a:avLst/>
                    </a:prstGeom>
                    <a:noFill/>
                  </pic:spPr>
                </pic:pic>
              </a:graphicData>
            </a:graphic>
          </wp:anchor>
        </w:drawing>
        <w:drawing>
          <wp:anchor simplePos="0" relativeHeight="251657728" behindDoc="1" locked="0" layoutInCell="0" allowOverlap="1">
            <wp:simplePos x="0" y="0"/>
            <wp:positionH relativeFrom="column">
              <wp:posOffset>349885</wp:posOffset>
            </wp:positionH>
            <wp:positionV relativeFrom="paragraph">
              <wp:posOffset>-7620</wp:posOffset>
            </wp:positionV>
            <wp:extent cx="102870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0037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QUESTIONNAIRE TO:</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Fax:</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G-20</w:t>
      </w:r>
    </w:p>
    <w:p>
      <w:pPr>
        <w:sectPr>
          <w:pgSz w:w="11900" w:h="16838" w:orient="portrait"/>
          <w:cols w:equalWidth="0" w:num="1">
            <w:col w:w="11100"/>
          </w:cols>
          <w:pgMar w:left="320" w:top="455" w:right="479" w:bottom="1440" w:gutter="0" w:footer="0" w:header="0"/>
        </w:sectPr>
      </w:pPr>
    </w:p>
    <w:bookmarkStart w:id="636" w:name="page637"/>
    <w:bookmarkEnd w:id="6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H</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 SECURITIES PURCHASE AGREEMENT</w:t>
      </w:r>
    </w:p>
    <w:p>
      <w:pPr>
        <w:spacing w:after="0" w:line="225" w:lineRule="exact"/>
        <w:rPr>
          <w:sz w:val="20"/>
          <w:szCs w:val="20"/>
          <w:color w:val="auto"/>
        </w:rPr>
      </w:pPr>
    </w:p>
    <w:p>
      <w:pPr>
        <w:jc w:val="both"/>
        <w:ind w:left="120"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dated as of April 14, 2026, by and among Galera Therapeutics,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Gazelle Parent, Inc., a Delaware corporation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(solely with respect to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hereof), Obsidian Therapeutics, Inc., a Delaware corporation (“</w:t>
      </w:r>
      <w:r>
        <w:rPr>
          <w:rFonts w:ascii="Times New Roman" w:cs="Times New Roman" w:eastAsia="Times New Roman" w:hAnsi="Times New Roman"/>
          <w:sz w:val="18"/>
          <w:szCs w:val="18"/>
          <w:b w:val="1"/>
          <w:bCs w:val="1"/>
          <w:color w:val="auto"/>
        </w:rPr>
        <w:t>Obsidian</w:t>
      </w:r>
      <w:r>
        <w:rPr>
          <w:rFonts w:ascii="Times New Roman" w:cs="Times New Roman" w:eastAsia="Times New Roman" w:hAnsi="Times New Roman"/>
          <w:sz w:val="18"/>
          <w:szCs w:val="18"/>
          <w:color w:val="auto"/>
        </w:rPr>
        <w:t xml:space="preserve">”) (solely with respect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hereof), and each of the Persons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to this Agreement (each, an “</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7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Investors are executing and delivering this Agreement in reliance upon the exemption from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afforded by Section 4(a)(2) of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each Investor, severally and not jointly, wishes to purchase, and the Company wishes to issue and sell, upon the terms and</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conditions stated in this Agreement, an aggregate of approximately $350,000,000 worth of shares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of Series C Non-Voting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Convertible Preferred Stock, par value $0.001 per share (the “</w:t>
      </w:r>
      <w:r>
        <w:rPr>
          <w:rFonts w:ascii="Times New Roman" w:cs="Times New Roman" w:eastAsia="Times New Roman" w:hAnsi="Times New Roman"/>
          <w:sz w:val="18"/>
          <w:szCs w:val="18"/>
          <w:b w:val="1"/>
          <w:bCs w:val="1"/>
          <w:color w:val="auto"/>
        </w:rPr>
        <w:t>Series C Preferred Stock</w:t>
      </w:r>
      <w:r>
        <w:rPr>
          <w:rFonts w:ascii="Times New Roman" w:cs="Times New Roman" w:eastAsia="Times New Roman" w:hAnsi="Times New Roman"/>
          <w:sz w:val="18"/>
          <w:szCs w:val="18"/>
          <w:color w:val="auto"/>
        </w:rPr>
        <w:t>”) of the Company, at a per share purchase price equal 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Price (as defined below), having the designation, preferences, conversion or other rights, voting powers, restrictions, limitations as to dividends,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qualifications and terms and conditions as specified in the Certificate of Designations,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Designations</w:t>
      </w:r>
      <w:r>
        <w:rPr>
          <w:rFonts w:ascii="Times New Roman" w:cs="Times New Roman" w:eastAsia="Times New Roman" w:hAnsi="Times New Roman"/>
          <w:sz w:val="18"/>
          <w:szCs w:val="18"/>
          <w:color w:val="auto"/>
        </w:rPr>
        <w:t>”), which will be convertible into shares (the “</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of the Company’s common stock, par value $0.001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in accordance with the terms set forth in the Certificate of Designations.</w:t>
      </w:r>
    </w:p>
    <w:p>
      <w:pPr>
        <w:spacing w:after="0" w:line="203"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with the sale of the Preferred Shares, the Company and the Investors will execute and deliver a Registration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pursuant to which the Company will agree to provide certain registration rights with respect to the Exchange Shares (as defined in the Registration Rights Agreement) under the Securities Act and applicable state securities laws;</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is party to that certain Agreement and Plan of Merger by and among the Company, Obsidian, Parent, Onyx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MergerSub, Inc., a Delaware corporation and a direct, wholly owned subsidiary of Parent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Onyx Merger Sub</w:t>
      </w:r>
      <w:r>
        <w:rPr>
          <w:rFonts w:ascii="Times New Roman" w:cs="Times New Roman" w:eastAsia="Times New Roman" w:hAnsi="Times New Roman"/>
          <w:sz w:val="18"/>
          <w:szCs w:val="18"/>
          <w:color w:val="auto"/>
        </w:rPr>
        <w:t xml:space="preserve">”), and Gazelle Merger Subsidiary, Inc., a Delaware corporation and a direct, wholly owned subsidiary of Parent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Gazelle Merger Sub</w:t>
      </w:r>
      <w:r>
        <w:rPr>
          <w:rFonts w:ascii="Times New Roman" w:cs="Times New Roman" w:eastAsia="Times New Roman" w:hAnsi="Times New Roman"/>
          <w:sz w:val="18"/>
          <w:szCs w:val="18"/>
          <w:color w:val="auto"/>
        </w:rPr>
        <w:t xml:space="preserve">”), dated April 14, 2026 (as amended from time to time in accordance with the terms thereof and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xml:space="preserve"> hereof, and as supplemented by any disclosure schedules or letters thereto,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pursuant to which (i) Onyx Merger Sub will merge with and into Obsidian and Obsidian will become a wholly-owned subsidiary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(the “</w:t>
      </w:r>
      <w:r>
        <w:rPr>
          <w:rFonts w:ascii="Times New Roman" w:cs="Times New Roman" w:eastAsia="Times New Roman" w:hAnsi="Times New Roman"/>
          <w:sz w:val="18"/>
          <w:szCs w:val="18"/>
          <w:b w:val="1"/>
          <w:bCs w:val="1"/>
          <w:color w:val="auto"/>
        </w:rPr>
        <w:t>Obsidian Merger</w:t>
      </w:r>
      <w:r>
        <w:rPr>
          <w:rFonts w:ascii="Times New Roman" w:cs="Times New Roman" w:eastAsia="Times New Roman" w:hAnsi="Times New Roman"/>
          <w:sz w:val="18"/>
          <w:szCs w:val="18"/>
          <w:color w:val="auto"/>
        </w:rPr>
        <w:t>”) and (ii) Gazelle Merger Sub will merge with and into Galera and Galera will become a wholly-owned subsidiary of Parent (the “</w:t>
      </w:r>
      <w:r>
        <w:rPr>
          <w:rFonts w:ascii="Times New Roman" w:cs="Times New Roman" w:eastAsia="Times New Roman" w:hAnsi="Times New Roman"/>
          <w:sz w:val="18"/>
          <w:szCs w:val="18"/>
          <w:b w:val="1"/>
          <w:bCs w:val="1"/>
          <w:color w:val="auto"/>
        </w:rPr>
        <w:t>Galera Merger</w:t>
      </w:r>
      <w:r>
        <w:rPr>
          <w:rFonts w:ascii="Times New Roman" w:cs="Times New Roman" w:eastAsia="Times New Roman" w:hAnsi="Times New Roman"/>
          <w:sz w:val="18"/>
          <w:szCs w:val="18"/>
          <w:color w:val="auto"/>
        </w:rPr>
        <w:t>” and, together with the Obsidian Merger, the “</w:t>
      </w:r>
      <w:r>
        <w:rPr>
          <w:rFonts w:ascii="Times New Roman" w:cs="Times New Roman" w:eastAsia="Times New Roman" w:hAnsi="Times New Roman"/>
          <w:sz w:val="18"/>
          <w:szCs w:val="18"/>
          <w:b w:val="1"/>
          <w:bCs w:val="1"/>
          <w:color w:val="auto"/>
        </w:rPr>
        <w:t>Mergers</w:t>
      </w:r>
      <w:r>
        <w:rPr>
          <w:rFonts w:ascii="Times New Roman" w:cs="Times New Roman" w:eastAsia="Times New Roman" w:hAnsi="Times New Roman"/>
          <w:sz w:val="18"/>
          <w:szCs w:val="18"/>
          <w:color w:val="auto"/>
        </w:rPr>
        <w:t>”), with Parent acting as the parent company for the combined businesses of Obsidian and Galera;</w:t>
      </w:r>
    </w:p>
    <w:p>
      <w:pPr>
        <w:spacing w:after="0" w:line="18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upon consummation of the Mergers and pursuant to the terms and conditions in the Merger Agreement, the Conversion Shares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exchanged for Exchange Shares on the Closing Date (as defined in the Merger Agreement); and</w:t>
      </w:r>
    </w:p>
    <w:p>
      <w:pPr>
        <w:spacing w:after="0" w:line="155"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representations, warranties and covenants herein contained,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Investor, severally and not jointly, agree as follows:</w:t>
      </w:r>
    </w:p>
    <w:p>
      <w:pPr>
        <w:spacing w:after="0" w:line="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following respective meanings:</w:t>
      </w:r>
    </w:p>
    <w:p>
      <w:pPr>
        <w:spacing w:after="0" w:line="113"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2026 SEC Reports</w:t>
      </w:r>
      <w:r>
        <w:rPr>
          <w:rFonts w:ascii="Times New Roman" w:cs="Times New Roman" w:eastAsia="Times New Roman" w:hAnsi="Times New Roman"/>
          <w:sz w:val="18"/>
          <w:szCs w:val="18"/>
          <w:color w:val="auto"/>
        </w:rPr>
        <w:t>” means (a) the Company’s Annual Report on Form 10-K for the fiscal year ended December 31, 2025, (b) any Quarterly Reports on Form 10-Q filed in 2026, (c) proxy statements, or (d) any</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140"/>
          </w:cols>
          <w:pgMar w:left="320" w:top="456" w:right="439" w:bottom="1440" w:gutter="0" w:footer="0" w:header="0"/>
        </w:sectPr>
      </w:pPr>
    </w:p>
    <w:bookmarkStart w:id="637" w:name="page638"/>
    <w:bookmarkEnd w:id="6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Current Reports on Form 8-K filed or furnished (as applicable) by the Company after January 1, 2026 and prior to the Business Day immediately preceding the date hereof, together in each case with any documents incorporated by reference therein or exhibits thereto.</w:t>
      </w:r>
    </w:p>
    <w:p>
      <w:pPr>
        <w:spacing w:after="0" w:line="158"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such Person.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Purchase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Benefit Plans</w:t>
      </w:r>
      <w:r>
        <w:rPr>
          <w:rFonts w:ascii="Times New Roman" w:cs="Times New Roman" w:eastAsia="Times New Roman" w:hAnsi="Times New Roman"/>
          <w:sz w:val="18"/>
          <w:szCs w:val="18"/>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means the Amended and Restated Bylaws of the Company, as currently in effect and as in effect on the Closing Date.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Restated Certificate of Incorporation of the Company, as amended, as currently in effect and as in effect on the Closing Date.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$0.001 per share, of the Company.</w:t>
      </w:r>
    </w:p>
    <w:p>
      <w:pPr>
        <w:spacing w:after="0" w:line="225"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that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w:t>
      </w:r>
    </w:p>
    <w:p>
      <w:pPr>
        <w:spacing w:after="0" w:line="171"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the Company for all periods prior to the occurrence of each of the Obsidian Effective Time and the Galera Effective Time (each, as defined in the Merger Agreement) and Parent for all periods following the occurrence of each of the Obsidian Effective Time and the Galera Effective Time.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Shares</w:t>
      </w:r>
      <w:r>
        <w:rPr>
          <w:rFonts w:ascii="Times New Roman" w:cs="Times New Roman" w:eastAsia="Times New Roman" w:hAnsi="Times New Roman"/>
          <w:sz w:val="18"/>
          <w:szCs w:val="18"/>
          <w:color w:val="auto"/>
        </w:rPr>
        <w:t>” has the meaning set forth in the recitals hereof.</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H-2</w:t>
      </w:r>
    </w:p>
    <w:p>
      <w:pPr>
        <w:sectPr>
          <w:pgSz w:w="11900" w:h="16838" w:orient="portrait"/>
          <w:cols w:equalWidth="0" w:num="1">
            <w:col w:w="11060"/>
          </w:cols>
          <w:pgMar w:left="320" w:top="455" w:right="519" w:bottom="1440" w:gutter="0" w:footer="0" w:header="0"/>
        </w:sectPr>
      </w:pPr>
    </w:p>
    <w:bookmarkStart w:id="638" w:name="page639"/>
    <w:bookmarkEnd w:id="6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Delaware General Corporation Law, as amended or superseded from time to time.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Document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Disclosure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Drug Regulatory Agency</w:t>
      </w:r>
      <w:r>
        <w:rPr>
          <w:rFonts w:ascii="Times New Roman" w:cs="Times New Roman" w:eastAsia="Times New Roman" w:hAnsi="Times New Roman"/>
          <w:sz w:val="18"/>
          <w:szCs w:val="18"/>
          <w:color w:val="auto"/>
        </w:rPr>
        <w:t>” means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U.S. Employee Retirement Income Security Act of 1974,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 and all of the rules and regulations promulgated thereunder.</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Fundamental Representations</w:t>
      </w:r>
      <w:r>
        <w:rPr>
          <w:rFonts w:ascii="Times New Roman" w:cs="Times New Roman" w:eastAsia="Times New Roman" w:hAnsi="Times New Roman"/>
          <w:sz w:val="18"/>
          <w:szCs w:val="18"/>
          <w:color w:val="auto"/>
        </w:rPr>
        <w:t>” means the representations and warranties made by the Company in Sections 3.1 (Organization and Power), 3.2 (Capitalization), 3.4 (Authorization), 3.5 (Valid Issuance), 3.6 (No Conflict), 3.7 (Consents), 3.8 (SEC Filings; Financial Statements), 3.18 (OTCQB Stock Market), 3.19 (Sarbanes-Oxley Act), 3.23 (Price Stabilization of Common Stock), 3.24 (Investment Company Act), 3.25 (General Solicitation; No Integration or Aggregation), 3.26 (Brokers and Finders), 3.27 (Reliance by the Investors) and 3.28 (No Additional Agreements).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Investors</w:t>
      </w:r>
      <w:r>
        <w:rPr>
          <w:rFonts w:ascii="Times New Roman" w:cs="Times New Roman" w:eastAsia="Times New Roman" w:hAnsi="Times New Roman"/>
          <w:sz w:val="18"/>
          <w:szCs w:val="18"/>
          <w:color w:val="auto"/>
        </w:rPr>
        <w:t>” have the meanings set forth in the recitals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change, event, circumstance, development, condition, occurrence or effect that, individually or in the aggregate, (a) was, is, or would reasonably be expected to be, materially adverse to the business, condition (financial or otherwise), properties, assets, liabilities, stockholders’ equity or results of operations of the Company and its Subsidiaries, taken as a whole, or (b) materially delays or materially impairs the ability of the Company to timely comply, or prevents the Company from timely complying, with its</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H-3</w:t>
      </w:r>
    </w:p>
    <w:p>
      <w:pPr>
        <w:sectPr>
          <w:pgSz w:w="11900" w:h="16838" w:orient="portrait"/>
          <w:cols w:equalWidth="0" w:num="1">
            <w:col w:w="11120"/>
          </w:cols>
          <w:pgMar w:left="320" w:top="456" w:right="459" w:bottom="1440" w:gutter="0" w:footer="0" w:header="0"/>
        </w:sectPr>
      </w:pPr>
    </w:p>
    <w:bookmarkStart w:id="639" w:name="page640"/>
    <w:bookmarkEnd w:id="6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obligations under this Agreement, the other Transaction Agreements, the Merger Agreement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180" w:lineRule="exact"/>
        <w:rPr>
          <w:sz w:val="20"/>
          <w:szCs w:val="20"/>
          <w:color w:val="auto"/>
        </w:rPr>
      </w:pPr>
    </w:p>
    <w:p>
      <w:pPr>
        <w:jc w:val="both"/>
        <w:ind w:left="120" w:right="20" w:firstLine="436"/>
        <w:spacing w:after="0" w:line="266" w:lineRule="auto"/>
        <w:tabs>
          <w:tab w:leader="none" w:pos="77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spacing w:after="0" w:line="175" w:lineRule="exact"/>
        <w:rPr>
          <w:rFonts w:ascii="Times New Roman" w:cs="Times New Roman" w:eastAsia="Times New Roman" w:hAnsi="Times New Roman"/>
          <w:sz w:val="18"/>
          <w:szCs w:val="18"/>
          <w:color w:val="auto"/>
        </w:rPr>
      </w:pPr>
    </w:p>
    <w:p>
      <w:pPr>
        <w:ind w:left="120" w:right="440" w:firstLine="436"/>
        <w:spacing w:after="0" w:line="282" w:lineRule="auto"/>
        <w:tabs>
          <w:tab w:leader="none" w:pos="82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financial, credit or capital market conditions, including interest rates or exchange rates, or any changes therein, provided that the Company or its Subsidiaries are not disproportionately affected thereby;</w:t>
      </w:r>
    </w:p>
    <w:p>
      <w:pPr>
        <w:spacing w:after="0" w:line="161" w:lineRule="exact"/>
        <w:rPr>
          <w:rFonts w:ascii="Times New Roman" w:cs="Times New Roman" w:eastAsia="Times New Roman" w:hAnsi="Times New Roman"/>
          <w:sz w:val="18"/>
          <w:szCs w:val="18"/>
          <w:color w:val="auto"/>
        </w:rPr>
      </w:pPr>
    </w:p>
    <w:p>
      <w:pPr>
        <w:ind w:left="120" w:right="140" w:firstLine="436"/>
        <w:spacing w:after="0" w:line="282" w:lineRule="auto"/>
        <w:tabs>
          <w:tab w:leader="none" w:pos="87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that generally affects industries in which the Company and its Subsidiaries conduct business, provided that the Company and its Subsidiaries are not disproportionately affected thereby;</w:t>
      </w:r>
    </w:p>
    <w:p>
      <w:pPr>
        <w:spacing w:after="0" w:line="161" w:lineRule="exact"/>
        <w:rPr>
          <w:rFonts w:ascii="Times New Roman" w:cs="Times New Roman" w:eastAsia="Times New Roman" w:hAnsi="Times New Roman"/>
          <w:sz w:val="18"/>
          <w:szCs w:val="18"/>
          <w:color w:val="auto"/>
        </w:rPr>
      </w:pPr>
    </w:p>
    <w:p>
      <w:pPr>
        <w:ind w:left="120" w:right="180" w:firstLine="436"/>
        <w:spacing w:after="0" w:line="266" w:lineRule="auto"/>
        <w:tabs>
          <w:tab w:leader="none" w:pos="86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fires or other natural disasters, weather conditions, global pandemics, epidemics or similar health emergencies, and other force majeure events in the United States or any other location, provided that the Company and its Subsidiaries are not disproportionately affected thereby;</w:t>
      </w:r>
    </w:p>
    <w:p>
      <w:pPr>
        <w:spacing w:after="0" w:line="175" w:lineRule="exact"/>
        <w:rPr>
          <w:rFonts w:ascii="Times New Roman" w:cs="Times New Roman" w:eastAsia="Times New Roman" w:hAnsi="Times New Roman"/>
          <w:sz w:val="18"/>
          <w:szCs w:val="18"/>
          <w:color w:val="auto"/>
        </w:rPr>
      </w:pPr>
    </w:p>
    <w:p>
      <w:pPr>
        <w:ind w:left="120" w:right="120" w:firstLine="436"/>
        <w:spacing w:after="0" w:line="266" w:lineRule="auto"/>
        <w:tabs>
          <w:tab w:leader="none" w:pos="81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spacing w:after="0" w:line="175" w:lineRule="exact"/>
        <w:rPr>
          <w:rFonts w:ascii="Times New Roman" w:cs="Times New Roman" w:eastAsia="Times New Roman" w:hAnsi="Times New Roman"/>
          <w:sz w:val="18"/>
          <w:szCs w:val="18"/>
          <w:color w:val="auto"/>
        </w:rPr>
      </w:pPr>
    </w:p>
    <w:p>
      <w:pPr>
        <w:ind w:left="860" w:hanging="304"/>
        <w:spacing w:after="0"/>
        <w:tabs>
          <w:tab w:leader="none" w:pos="8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in laws after the date of this Agreement; and</w:t>
      </w:r>
    </w:p>
    <w:p>
      <w:pPr>
        <w:spacing w:after="0" w:line="225" w:lineRule="exact"/>
        <w:rPr>
          <w:rFonts w:ascii="Times New Roman" w:cs="Times New Roman" w:eastAsia="Times New Roman" w:hAnsi="Times New Roman"/>
          <w:sz w:val="18"/>
          <w:szCs w:val="18"/>
          <w:color w:val="auto"/>
        </w:rPr>
      </w:pPr>
    </w:p>
    <w:p>
      <w:pPr>
        <w:ind w:left="120" w:right="160" w:firstLine="436"/>
        <w:spacing w:after="0" w:line="261" w:lineRule="auto"/>
        <w:tabs>
          <w:tab w:leader="none" w:pos="91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in Interest of the Purchasers</w:t>
      </w:r>
      <w:r>
        <w:rPr>
          <w:rFonts w:ascii="Times New Roman" w:cs="Times New Roman" w:eastAsia="Times New Roman" w:hAnsi="Times New Roman"/>
          <w:sz w:val="18"/>
          <w:szCs w:val="18"/>
          <w:color w:val="auto"/>
        </w:rPr>
        <w:t>” means Investors holding a majority of the Preferred Shares issued and Conversion Shares issuable.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120"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Registration Statement</w:t>
      </w:r>
      <w:r>
        <w:rPr>
          <w:rFonts w:ascii="Times New Roman" w:cs="Times New Roman" w:eastAsia="Times New Roman" w:hAnsi="Times New Roman"/>
          <w:sz w:val="18"/>
          <w:szCs w:val="18"/>
          <w:color w:val="auto"/>
        </w:rPr>
        <w:t>” means registration statement on Form S-4 registering Parent Common Stock (as defined in the Merger Agreement) pursuant to the terms of the Merger 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means the Nasdaq Stock Market LLC.</w:t>
      </w:r>
    </w:p>
    <w:p>
      <w:pPr>
        <w:spacing w:after="0" w:line="225"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National Exchange</w:t>
      </w:r>
      <w:r>
        <w:rPr>
          <w:rFonts w:ascii="Times New Roman" w:cs="Times New Roman" w:eastAsia="Times New Roman" w:hAnsi="Times New Roman"/>
          <w:sz w:val="18"/>
          <w:szCs w:val="18"/>
          <w:color w:val="auto"/>
        </w:rPr>
        <w:t>” means (i) on and prior to the Closing Date, the OTCQB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OTCQB Market</w:t>
      </w:r>
      <w:r>
        <w:rPr>
          <w:rFonts w:ascii="Times New Roman" w:cs="Times New Roman" w:eastAsia="Times New Roman" w:hAnsi="Times New Roman"/>
          <w:sz w:val="18"/>
          <w:szCs w:val="18"/>
          <w:color w:val="auto"/>
        </w:rPr>
        <w:t>” means the Over-The-Counter Quote Bulletin Board – Venture Market.</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H-4</w:t>
      </w:r>
    </w:p>
    <w:p>
      <w:pPr>
        <w:sectPr>
          <w:pgSz w:w="11900" w:h="16838" w:orient="portrait"/>
          <w:cols w:equalWidth="0" w:num="1">
            <w:col w:w="11080"/>
          </w:cols>
          <w:pgMar w:left="320" w:top="455" w:right="499" w:bottom="1440" w:gutter="0" w:footer="0" w:header="0"/>
        </w:sectPr>
      </w:pPr>
    </w:p>
    <w:bookmarkStart w:id="640" w:name="page641"/>
    <w:bookmarkEnd w:id="6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 hereof.</w:t>
      </w:r>
    </w:p>
    <w:p>
      <w:pPr>
        <w:spacing w:after="0" w:line="22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partnership, corporation, limited liability company, business trust, joint stock company, trust, unincorporated association, joint venture or any other entity or organization.</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120"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Placement Agents</w:t>
      </w:r>
      <w:r>
        <w:rPr>
          <w:rFonts w:ascii="Times New Roman" w:cs="Times New Roman" w:eastAsia="Times New Roman" w:hAnsi="Times New Roman"/>
          <w:sz w:val="18"/>
          <w:szCs w:val="18"/>
          <w:color w:val="auto"/>
        </w:rPr>
        <w:t>” means Leerink Partners LLC, TD Securities (USA) LLC, Piper Sandler &amp; Co., William Blair &amp; Company, L.L.C., and LifeSci Capital LLC.</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the recitals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Laws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Privacy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Processing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6.1(j)</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120"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has the meaning set forth in the recitals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means the Preferred Shares and the Conversion Shares.</w:t>
      </w:r>
    </w:p>
    <w:p>
      <w:pPr>
        <w:spacing w:after="0" w:line="225"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Sales</w:t>
      </w:r>
      <w:r>
        <w:rPr>
          <w:rFonts w:ascii="Times New Roman" w:cs="Times New Roman" w:eastAsia="Times New Roman" w:hAnsi="Times New Roman"/>
          <w:sz w:val="18"/>
          <w:szCs w:val="18"/>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120" w:right="2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 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H-5</w:t>
      </w:r>
    </w:p>
    <w:p>
      <w:pPr>
        <w:sectPr>
          <w:pgSz w:w="11900" w:h="16838" w:orient="portrait"/>
          <w:cols w:equalWidth="0" w:num="1">
            <w:col w:w="11120"/>
          </w:cols>
          <w:pgMar w:left="320" w:top="456" w:right="459" w:bottom="1440" w:gutter="0" w:footer="0" w:header="0"/>
        </w:sectPr>
      </w:pPr>
    </w:p>
    <w:bookmarkStart w:id="641" w:name="page642"/>
    <w:bookmarkEnd w:id="6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 Returns</w:t>
      </w:r>
      <w:r>
        <w:rPr>
          <w:rFonts w:ascii="Times New Roman" w:cs="Times New Roman" w:eastAsia="Times New Roman" w:hAnsi="Times New Roman"/>
          <w:sz w:val="18"/>
          <w:szCs w:val="18"/>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71" w:lineRule="exact"/>
        <w:rPr>
          <w:sz w:val="20"/>
          <w:szCs w:val="20"/>
          <w:color w:val="auto"/>
        </w:rPr>
      </w:pPr>
    </w:p>
    <w:p>
      <w:pPr>
        <w:ind w:left="120"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Agreements</w:t>
      </w:r>
      <w:r>
        <w:rPr>
          <w:rFonts w:ascii="Times New Roman" w:cs="Times New Roman" w:eastAsia="Times New Roman" w:hAnsi="Times New Roman"/>
          <w:sz w:val="18"/>
          <w:szCs w:val="18"/>
          <w:color w:val="auto"/>
        </w:rPr>
        <w:t>” means this Agreement, the Certificate of Designation, the Registration Rights Agreement and any other documents or agreements explicitly contemplated hereunder.</w:t>
      </w:r>
    </w:p>
    <w:p>
      <w:pPr>
        <w:spacing w:after="0" w:line="155"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with respect to the Common Stock, Equiniti Trust Company, LLC, or such other financial institution that provides transfer agent services as the Company may engage from time to time and with respect to Parent Common Stock, such financial institution that as of the Closing provides transfer agent services as Parent may engage from time to time.</w:t>
      </w:r>
    </w:p>
    <w:p>
      <w:pPr>
        <w:spacing w:after="0" w:line="17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 Taxes</w:t>
      </w:r>
      <w:r>
        <w:rPr>
          <w:rFonts w:ascii="Times New Roman" w:cs="Times New Roman" w:eastAsia="Times New Roman" w:hAnsi="Times New Roman"/>
          <w:sz w:val="18"/>
          <w:szCs w:val="18"/>
          <w:color w:val="auto"/>
        </w:rPr>
        <w:t>”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w:t>
      </w:r>
    </w:p>
    <w:p>
      <w:pPr>
        <w:spacing w:after="0" w:line="175" w:lineRule="exact"/>
        <w:rPr>
          <w:sz w:val="20"/>
          <w:szCs w:val="20"/>
          <w:color w:val="auto"/>
        </w:rPr>
      </w:pPr>
    </w:p>
    <w:p>
      <w:pPr>
        <w:ind w:left="300" w:hanging="184"/>
        <w:spacing w:after="0"/>
        <w:tabs>
          <w:tab w:leader="none" w:pos="30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 of Securities.</w:t>
      </w:r>
    </w:p>
    <w:p>
      <w:pPr>
        <w:spacing w:after="0" w:line="225"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Investors, severally and not jointly, agree to purchase, the number of Preferred Shares set forth opposite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the “Aggregate Purchase Price”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 Subject to the satisfaction or waiver of the conditions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closing of the purchase and sale of the Preferred Shares (the</w:t>
      </w:r>
    </w:p>
    <w:p>
      <w:pPr>
        <w:spacing w:after="0" w:line="27"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date on which the Closing occurs,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shall occur remotely via the exchange of executed documents and funds at such time as agreed to by the Company and a Majority in Interest of the Purchasers. At least five (5) business days prior to the anticipated Closing Date, the Company shall provide written notice to the Investors (the “</w:t>
      </w:r>
      <w:r>
        <w:rPr>
          <w:rFonts w:ascii="Times New Roman" w:cs="Times New Roman" w:eastAsia="Times New Roman" w:hAnsi="Times New Roman"/>
          <w:sz w:val="18"/>
          <w:szCs w:val="18"/>
          <w:b w:val="1"/>
          <w:bCs w:val="1"/>
          <w:color w:val="auto"/>
        </w:rPr>
        <w:t>Funding Notice</w:t>
      </w:r>
      <w:r>
        <w:rPr>
          <w:rFonts w:ascii="Times New Roman" w:cs="Times New Roman" w:eastAsia="Times New Roman" w:hAnsi="Times New Roman"/>
          <w:sz w:val="18"/>
          <w:szCs w:val="18"/>
          <w:color w:val="auto"/>
        </w:rPr>
        <w:t>”) of the anticipated Closing Date, the price per share of Series C Preferred Stock, which shall reflect the Company’s good faith estimate of the value of one share of Common Stock of the Company as of immediately prior to the Closing, multiplied by 100 (the “</w:t>
      </w:r>
      <w:r>
        <w:rPr>
          <w:rFonts w:ascii="Times New Roman" w:cs="Times New Roman" w:eastAsia="Times New Roman" w:hAnsi="Times New Roman"/>
          <w:sz w:val="18"/>
          <w:szCs w:val="18"/>
          <w:b w:val="1"/>
          <w:bCs w:val="1"/>
          <w:color w:val="auto"/>
        </w:rPr>
        <w:t>Share Price</w:t>
      </w:r>
      <w:r>
        <w:rPr>
          <w:rFonts w:ascii="Times New Roman" w:cs="Times New Roman" w:eastAsia="Times New Roman" w:hAnsi="Times New Roman"/>
          <w:sz w:val="18"/>
          <w:szCs w:val="18"/>
          <w:color w:val="auto"/>
        </w:rPr>
        <w:t>”), the number of Preferred Shares to be purchased by each Investor, and the wire instructions for delivery of the Aggregate Purchase Amount. Such wires shall be paid into a segregated escrow fund or trust account designated by the Company in writing (the “</w:t>
      </w:r>
      <w:r>
        <w:rPr>
          <w:rFonts w:ascii="Times New Roman" w:cs="Times New Roman" w:eastAsia="Times New Roman" w:hAnsi="Times New Roman"/>
          <w:sz w:val="18"/>
          <w:szCs w:val="18"/>
          <w:b w:val="1"/>
          <w:bCs w:val="1"/>
          <w:color w:val="auto"/>
        </w:rPr>
        <w:t>Escrow Account</w:t>
      </w:r>
      <w:r>
        <w:rPr>
          <w:rFonts w:ascii="Times New Roman" w:cs="Times New Roman" w:eastAsia="Times New Roman" w:hAnsi="Times New Roman"/>
          <w:sz w:val="18"/>
          <w:szCs w:val="18"/>
          <w:color w:val="auto"/>
        </w:rPr>
        <w:t xml:space="preserve">”) to be released by the Company only upon satisfaction of each of the closing conditions set forth in this Agreement. In the event the Closing does not occur within two (2) business days of the Closing Date set forth in the Funding Notice, unless otherwise agreed to by the Company and such Investor, the Company shall, or shall cause the escrow agent for the Escrow Account to, promptly (but not later than two (2) business days thereafter) return the Aggregate Purchase Amount to each Investor by wire transfer of U.S. dollars in immediately available funds to the account specified by such Investor. At the Closing, upon release of funds from the Escrow Account, the Preferred Shares shall be issued and registered in the name of such Investor, or in such nominee name(s) as designated by such Investor, representing the number of Preferred Shares to be purchased by such Investor at such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 each case against payment to the Company of the purchase price therefor (as the same may be adjusted pursuant to the following sentence, the “</w:t>
      </w:r>
      <w:r>
        <w:rPr>
          <w:rFonts w:ascii="Times New Roman" w:cs="Times New Roman" w:eastAsia="Times New Roman" w:hAnsi="Times New Roman"/>
          <w:sz w:val="18"/>
          <w:szCs w:val="18"/>
          <w:b w:val="1"/>
          <w:bCs w:val="1"/>
          <w:color w:val="auto"/>
        </w:rPr>
        <w:t>Aggregate Purchase Amount</w:t>
      </w:r>
      <w:r>
        <w:rPr>
          <w:rFonts w:ascii="Times New Roman" w:cs="Times New Roman" w:eastAsia="Times New Roman" w:hAnsi="Times New Roman"/>
          <w:sz w:val="18"/>
          <w:szCs w:val="18"/>
          <w:color w:val="auto"/>
        </w:rPr>
        <w:t>”) in full, by wire transfer to the Company of immediately available funds, at or prior to the Closing, in accordance with wire instructions provided by the Company to the Investors in the Funding Notice. In the event</w:t>
      </w:r>
    </w:p>
    <w:p>
      <w:pPr>
        <w:spacing w:after="0" w:line="6" w:lineRule="exact"/>
        <w:rPr>
          <w:sz w:val="20"/>
          <w:szCs w:val="20"/>
          <w:color w:val="auto"/>
        </w:rPr>
      </w:pPr>
    </w:p>
    <w:p>
      <w:pPr>
        <w:jc w:val="both"/>
        <w:ind w:left="120" w:right="380" w:hanging="4"/>
        <w:spacing w:after="0" w:line="255" w:lineRule="auto"/>
        <w:tabs>
          <w:tab w:leader="none" w:pos="335"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Obsidian consummates an Interim Permitted Financing (as defined in the Merger Agreement) prior to the Closing, and (ii) an Investor hereunder funds a portion of such Interim Permitted Financing, such Investor’s Aggregate Purchase Amount hereunder shall be reduced dollar for dollar by an amount equal to such Investor’s Interim Permitted Financing</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H-6</w:t>
      </w:r>
    </w:p>
    <w:p>
      <w:pPr>
        <w:sectPr>
          <w:pgSz w:w="11900" w:h="16838" w:orient="portrait"/>
          <w:cols w:equalWidth="0" w:num="1">
            <w:col w:w="11140"/>
          </w:cols>
          <w:pgMar w:left="320" w:top="455" w:right="439" w:bottom="1440" w:gutter="0" w:footer="0" w:header="0"/>
        </w:sectPr>
      </w:pPr>
    </w:p>
    <w:bookmarkStart w:id="642" w:name="page643"/>
    <w:bookmarkEnd w:id="6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funding amount (as confirmed in writing by such Investor and verified in writing by Obsidian no less than three (3) business days prior to the Closing).</w:t>
      </w:r>
    </w:p>
    <w:p>
      <w:pPr>
        <w:spacing w:after="0" w:line="225" w:lineRule="exact"/>
        <w:rPr>
          <w:sz w:val="20"/>
          <w:szCs w:val="20"/>
          <w:color w:val="auto"/>
        </w:rPr>
      </w:pPr>
    </w:p>
    <w:p>
      <w:pPr>
        <w:ind w:left="120" w:hanging="4"/>
        <w:spacing w:after="0" w:line="252" w:lineRule="auto"/>
        <w:tabs>
          <w:tab w:leader="none" w:pos="375"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Closing Date, the Company will cause the Transfer Agent to issue the Preferred Shares in book-entry form, free and clear of all restrictive and other legends (except as expressly provided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hereof) and the Company shall provide evidence of such issuance from the Transfer Agent as soon as reasonably practical following the Closing Date to each Investor. If the Closing has not occurred within two (2) Business Days after the anticipated Closing Date or the closing of the Galera Merger and the Obsidian Merger have not occurred within three (3) Business Days after the actual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Preferred Shares shall be deemed cancelled;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this Agreement has been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such return of funds shall not terminate this Agreement or relieve such Investor of its obligation to purchase, or the Company of its obligation to issue and sell, the Preferred Shares at the Closing. Notwithstanding the foregoing and anything in this Agreement to the contrary,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Preferred Shares as of the Closing Date from the Transfer Agent in form and substance reasonably acceptable to the Investor (and the Company shall use reasonable best efforts to cause the Transfer Agent to deliver such evidence).</w:t>
      </w:r>
    </w:p>
    <w:p>
      <w:pPr>
        <w:spacing w:after="0" w:line="195" w:lineRule="exact"/>
        <w:rPr>
          <w:rFonts w:ascii="Times New Roman" w:cs="Times New Roman" w:eastAsia="Times New Roman" w:hAnsi="Times New Roman"/>
          <w:sz w:val="18"/>
          <w:szCs w:val="18"/>
          <w:color w:val="auto"/>
        </w:rPr>
      </w:pPr>
    </w:p>
    <w:p>
      <w:pPr>
        <w:ind w:left="120" w:right="120" w:hanging="4"/>
        <w:spacing w:after="0" w:line="282" w:lineRule="auto"/>
        <w:tabs>
          <w:tab w:leader="none" w:pos="365"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Date, the Company shall register the Registrable Securities (as defined in the Registration Rights Agreement) as provided for in the Registration Rights Agreement.</w:t>
      </w:r>
    </w:p>
    <w:p>
      <w:pPr>
        <w:spacing w:after="0" w:line="162" w:lineRule="exact"/>
        <w:rPr>
          <w:sz w:val="20"/>
          <w:szCs w:val="20"/>
          <w:color w:val="auto"/>
        </w:rPr>
      </w:pPr>
    </w:p>
    <w:p>
      <w:pPr>
        <w:ind w:left="120" w:right="20" w:hanging="4"/>
        <w:spacing w:after="0" w:line="273" w:lineRule="auto"/>
        <w:tabs>
          <w:tab w:leader="none" w:pos="300" w:val="left"/>
        </w:tabs>
        <w:numPr>
          <w:ilvl w:val="0"/>
          <w:numId w:val="5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the Company</w:t>
      </w:r>
      <w:r>
        <w:rPr>
          <w:rFonts w:ascii="Times New Roman" w:cs="Times New Roman" w:eastAsia="Times New Roman" w:hAnsi="Times New Roman"/>
          <w:sz w:val="17"/>
          <w:szCs w:val="17"/>
          <w:color w:val="auto"/>
        </w:rPr>
        <w:t xml:space="preserve">. Except as set forth in the 2026 SEC Reports (but excluding the Fundamental Representations, which are not so qualified, and any risk factor disclosures contained under the heading “Risk Factors,” any disclosure of risks included in any “forward-looking statements” disclaimer or any other statements that are similarly predictive or forward-looking in nature, in each case, other than any specific factual information contained therein), the Company and, solely with regards to Sections </w:t>
      </w:r>
      <w:r>
        <w:rPr>
          <w:rFonts w:ascii="Times New Roman" w:cs="Times New Roman" w:eastAsia="Times New Roman" w:hAnsi="Times New Roman"/>
          <w:sz w:val="17"/>
          <w:szCs w:val="17"/>
          <w:u w:val="single" w:color="auto"/>
          <w:color w:val="auto"/>
        </w:rPr>
        <w:t>3.2</w:t>
      </w:r>
      <w:r>
        <w:rPr>
          <w:rFonts w:ascii="Times New Roman" w:cs="Times New Roman" w:eastAsia="Times New Roman" w:hAnsi="Times New Roman"/>
          <w:sz w:val="17"/>
          <w:szCs w:val="17"/>
          <w:color w:val="auto"/>
        </w:rPr>
        <w:t xml:space="preserve"> (Capitalization),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xml:space="preserve"> (Registration Rights),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(Authorization), </w:t>
      </w:r>
      <w:r>
        <w:rPr>
          <w:rFonts w:ascii="Times New Roman" w:cs="Times New Roman" w:eastAsia="Times New Roman" w:hAnsi="Times New Roman"/>
          <w:sz w:val="17"/>
          <w:szCs w:val="17"/>
          <w:u w:val="single" w:color="auto"/>
          <w:color w:val="auto"/>
        </w:rPr>
        <w:t>3.5</w:t>
      </w:r>
      <w:r>
        <w:rPr>
          <w:rFonts w:ascii="Times New Roman" w:cs="Times New Roman" w:eastAsia="Times New Roman" w:hAnsi="Times New Roman"/>
          <w:sz w:val="17"/>
          <w:szCs w:val="17"/>
          <w:color w:val="auto"/>
        </w:rPr>
        <w:t xml:space="preserve"> (Valid Issuance), </w:t>
      </w:r>
      <w:r>
        <w:rPr>
          <w:rFonts w:ascii="Times New Roman" w:cs="Times New Roman" w:eastAsia="Times New Roman" w:hAnsi="Times New Roman"/>
          <w:sz w:val="17"/>
          <w:szCs w:val="17"/>
          <w:u w:val="single" w:color="auto"/>
          <w:color w:val="auto"/>
        </w:rPr>
        <w:t>3.6</w:t>
      </w:r>
      <w:r>
        <w:rPr>
          <w:rFonts w:ascii="Times New Roman" w:cs="Times New Roman" w:eastAsia="Times New Roman" w:hAnsi="Times New Roman"/>
          <w:sz w:val="17"/>
          <w:szCs w:val="17"/>
          <w:color w:val="auto"/>
        </w:rPr>
        <w:t xml:space="preserve"> (No Conflict), </w:t>
      </w:r>
      <w:r>
        <w:rPr>
          <w:rFonts w:ascii="Times New Roman" w:cs="Times New Roman" w:eastAsia="Times New Roman" w:hAnsi="Times New Roman"/>
          <w:sz w:val="17"/>
          <w:szCs w:val="17"/>
          <w:u w:val="single" w:color="auto"/>
          <w:color w:val="auto"/>
        </w:rPr>
        <w:t>3.7</w:t>
      </w:r>
      <w:r>
        <w:rPr>
          <w:rFonts w:ascii="Times New Roman" w:cs="Times New Roman" w:eastAsia="Times New Roman" w:hAnsi="Times New Roman"/>
          <w:sz w:val="17"/>
          <w:szCs w:val="17"/>
          <w:color w:val="auto"/>
        </w:rPr>
        <w:t xml:space="preserve"> (Consents), </w:t>
      </w:r>
      <w:r>
        <w:rPr>
          <w:rFonts w:ascii="Times New Roman" w:cs="Times New Roman" w:eastAsia="Times New Roman" w:hAnsi="Times New Roman"/>
          <w:sz w:val="17"/>
          <w:szCs w:val="17"/>
          <w:u w:val="single" w:color="auto"/>
          <w:color w:val="auto"/>
        </w:rPr>
        <w:t>3.33</w:t>
      </w:r>
      <w:r>
        <w:rPr>
          <w:rFonts w:ascii="Times New Roman" w:cs="Times New Roman" w:eastAsia="Times New Roman" w:hAnsi="Times New Roman"/>
          <w:sz w:val="17"/>
          <w:szCs w:val="17"/>
          <w:color w:val="auto"/>
        </w:rPr>
        <w:t xml:space="preserve"> (Additional Representations and Warranties), and </w:t>
      </w:r>
      <w:r>
        <w:rPr>
          <w:rFonts w:ascii="Times New Roman" w:cs="Times New Roman" w:eastAsia="Times New Roman" w:hAnsi="Times New Roman"/>
          <w:sz w:val="17"/>
          <w:szCs w:val="17"/>
          <w:u w:val="single" w:color="auto"/>
          <w:color w:val="auto"/>
        </w:rPr>
        <w:t>5.12</w:t>
      </w:r>
      <w:r>
        <w:rPr>
          <w:rFonts w:ascii="Times New Roman" w:cs="Times New Roman" w:eastAsia="Times New Roman" w:hAnsi="Times New Roman"/>
          <w:sz w:val="17"/>
          <w:szCs w:val="17"/>
          <w:color w:val="auto"/>
        </w:rPr>
        <w:t xml:space="preserve"> (Reservation of Common Stock), Parent, hereby represents and warrants to each of the Investors and the Placement Agents that the statements contained in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are true and correct as of the date of this Agreement (except for the representations and warranties that speak as of a specific date, which shall be made as of such date):</w:t>
      </w:r>
    </w:p>
    <w:p>
      <w:pPr>
        <w:spacing w:after="0" w:line="17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Organization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has the requisite power and authority to own, lease and operate its properties and to carry on its business as now conducted and described in the 2026 SEC Reports and is qualified to do business in each jurisdiction in which the character of its properties or the nature of its business requires such qualification, except where such failure to be in good standing or to have such power and authority or to so qualify has not had and would not reasonably be expected to have a Material Adverse Effect. Each of the Company’s subsidiaries (collectively,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is wholly owned by the Company. Each of the Subsidiaries is duly incorporated or organized, as applicable, and validly existing and in good standing under the laws of the jurisdiction of its incorporation or formation, as applicable, and has the requisite power and authority to carry on their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H-7</w:t>
      </w:r>
    </w:p>
    <w:p>
      <w:pPr>
        <w:sectPr>
          <w:pgSz w:w="11900" w:h="16838" w:orient="portrait"/>
          <w:cols w:equalWidth="0" w:num="1">
            <w:col w:w="11140"/>
          </w:cols>
          <w:pgMar w:left="320" w:top="456" w:right="439" w:bottom="1440" w:gutter="0" w:footer="0" w:header="0"/>
        </w:sectPr>
      </w:pPr>
    </w:p>
    <w:bookmarkStart w:id="643" w:name="page644"/>
    <w:bookmarkEnd w:id="6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authorized capital stock of the Company consists of 200,000,000 shares of Common Stock and 10,000,000 shares of preferred stock, par value $0.001 per share. As of the date hereof, (A) 200,000 shares have been designated Galera Series A Preferred Stock, of which no shares are issued and are outstanding, and (B) 119,318.285 shares have been designated Galera Series B Preferred Stock, of which 42,839.11 shares are issued and are outstanding as of the date hereof. Prior to the Closing and upon receipt of, and subject in all respects to, approval of the Galera stockholders and filing of the necessary amendment to the Certificate of Incorporation with the Secretary of State of the State of Delaware, the authorized capital stock of the Company shall be increased to 400,000,000 shares of Common Stock, with no change to the amount of authorized preferred stock. The Company’s disclosure of its issued and outstanding capital stock in the 2026 SEC Reports containing such disclosure was accurate in all material respects as of the date indicated in such 2026 SEC Reports.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As of the date of this Agreement, the capital stock of the Company conforms in all material respects to the description thereof contained in the 2026 SEC Reports;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There are no securities or instruments issued by or to which the Company is a party containing anti-dilution, rights of first refusal, rights of participation or similar provisions that will be triggered (which, for the avoidance of doubt, excludes any such anti-dilution, rights of first refusal, rights of participation or similar provision that will be waived in connection with the transactions contemplated by this Agreement and the Merger Agreement) by the issuance of the Preferred Shares or Conversion Shares pursuant to this Agreement. As of the Closing Date, Parent shall have reserved sufficient shares of unissued common stock for the issuance of the Exchange Shares.</w:t>
      </w:r>
    </w:p>
    <w:p>
      <w:pPr>
        <w:spacing w:after="0" w:line="18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Except as set forth in the Transaction Agreements and the Merger Agreement or as disclosed in the 2026 SEC Reports, the Company is presently not under any obligation, and has not granted any rights, to register under the Securities Act any of the Company’s presently outstanding securities or any of its securities that may hereafter be issued, other than such rights and obligations that have expired or been satisfied or waived.</w:t>
      </w:r>
    </w:p>
    <w:p>
      <w:pPr>
        <w:spacing w:after="0" w:line="180"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Company and Parent have all requisite corporate power and authority to enter into the Transaction Agreements and to carry out and perform its obligations under the terms of the Transaction Agreements, including the issuance and sale of the Preferred Shares and the issuance of the Conversion Shares, and in the case of Parent, the Exchange Shares. All corporate action on the part of the Company, its officers, directors and stockholders necessary for the authorization of the Shares, and on the part of Parent, its officers, directors and stockholders necessary for the authorization of the Exchange Shares, the authorization, execution, delivery and performance of the Transaction Agreements and the consummation of the transactions contemplated herein, including the issuance and sale of the Shares and the reservation of the Conversion Shares and Exchange Shares, as applicable, has been taken, including, without limitation to the extent applicable, the approval of the Board of Directors (or a committee thereof) in accordance with Section 144(a)(1) or 144(b)(1) of the DGCL. This Agreement has been duly executed and delivered by the Company and Parent and assuming the due authorization, execution and delivery by each Investor and that this Agreement constitutes the legal, valid and binding agreement of each Investor, this Agreement constitutes a legal, valid and binding obligation of the Company and Parent, enforceable against the Company and Parent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Parent and the other parties thereto and assuming that it constitutes legal, valid and binding agreements of the other parties thereto, the</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H-8</w:t>
      </w:r>
    </w:p>
    <w:p>
      <w:pPr>
        <w:sectPr>
          <w:pgSz w:w="11900" w:h="16838" w:orient="portrait"/>
          <w:cols w:equalWidth="0" w:num="1">
            <w:col w:w="11080"/>
          </w:cols>
          <w:pgMar w:left="320" w:top="455" w:right="499" w:bottom="1440" w:gutter="0" w:footer="0" w:header="0"/>
        </w:sectPr>
      </w:pPr>
    </w:p>
    <w:bookmarkStart w:id="644" w:name="page645"/>
    <w:bookmarkEnd w:id="6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Registration Rights Agreement will constitute a legal, valid and binding obligation of the Company and Parent, enforceable against the Company and Parent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8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xml:space="preserve">. The Preferred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restrictions on transfer under applicable state and federal securities laws or as set forth in the Certificate of Designation) and the holder of the Preferred Shares shall be entitled to all rights accorded to a holder of Preferred Shares. The Conversion Shares have been duly and validly authorized and reserved for issuance and, upon issuance in accordance with the Certificate of Designation, will be duly and validly issued, fully paid and non-assessable and will be issued free and clear of any liens or other restrictions (other than restrictions on transfer under applicable state and federal securities laws) and the holder of the Conversion Shares shall be entitled to all rights accorded to a holder of Common Stock. As of the Closing Date, the Exchange Shares will have been duly and validly authorized and reserved for issuance and, upon issuance, will be duly and validly issued, fully paid and non-assessable and will be issued free and clear of any liens or other restrictions (other than restrictions on transfer under applicable state and federal securities laws) and the holder of the Exchange Shares shall be entitled to all rights accorded to a holder of common stock of Parent. Subject to the accuracy of the representations and warranties made by the Investors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the offer and sale of the Preferred Shares to the Investors is and will be, and the issuance of the Conversion Shares and Exchange Shares will be, in compliance with applicable exemptions from (i) the registration and prospectus delivery requirements of the Securities Act and (ii) the registration and qualification requirements of applicable securities laws of the states of the United States.</w:t>
      </w:r>
    </w:p>
    <w:p>
      <w:pPr>
        <w:spacing w:after="0" w:line="19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Subject to approval of the Nasdaq Listing Application (as defined in the Merger Agreement), the execution, delivery and performance of the Transaction Agreements by the Company and Parent, the issuance and sale of the Preferred Shares and the Exchange Shares and the consummation of the other transactions contemplated by the Transaction Agreements do not and will not (i) violate any provision of the Certificate of Incorporation or Bylaws of the Company or the certificate of incorporation or bylaws of Parent, (ii) conflict with or result in a violation of or default (with or without notice or lapse of time, or the giving of consent or waiver,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Parent or any respective Subsidiary or their respective properties or assets, (iii) result in a violation of any law, rule, regulation, order, judgment, injunction, decree or other restriction of any court or governmental authority to which the Company, Parent or any respective or any Subsidiary is subject (including federal and state securities laws and regulations) and the rules and regulations of any self-regulatory organization to which the Company or Parent or its securities are or will be subject (including, without limitation, all applicable listing rules of the OTCQB Market in regard to the Company), or by which any property or asset of the Company or any Subsidiary is bound or affected, or (iv) conflict with, result in a breach of, or require any consent, approval, authorization or waiver under the Merger Agreement that has not been obtained or made, except, in the case of clauses (ii) and (iii), as has not and would not, individually or in the aggregate, be reasonably expected to have a Material Adverse Effect.</w:t>
      </w:r>
    </w:p>
    <w:p>
      <w:pPr>
        <w:spacing w:after="0" w:line="197"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xml:space="preserve">. Assuming the accuracy of the representations and warranties of the Investors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no consent, approval, authorization, filing with or order of or registration with, any court or governmental agency or body or other Person is required in connection with the authorization, execution or delivery by the Company of the Transaction Agreements, the issuance and sale of the Preferred Shares and the performance by the Company of its other obligations under the Transaction Agreements, except (a) as have been or will be obtained or made under the Securities Act or the Exchange Act, (b) the filing of any requisite notices and/or application(s) to the National Exchange for the issuance and sale of the Shares and the listing of the Shares for trading or quotation, as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H-9</w:t>
      </w:r>
    </w:p>
    <w:p>
      <w:pPr>
        <w:sectPr>
          <w:pgSz w:w="11900" w:h="16838" w:orient="portrait"/>
          <w:cols w:equalWidth="0" w:num="1">
            <w:col w:w="11120"/>
          </w:cols>
          <w:pgMar w:left="320" w:top="456" w:right="459" w:bottom="1440" w:gutter="0" w:footer="0" w:header="0"/>
        </w:sectPr>
      </w:pPr>
    </w:p>
    <w:bookmarkStart w:id="645" w:name="page646"/>
    <w:bookmarkEnd w:id="6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 case may be, thereon in the time and manner required thereby, (c) customary post-closing filings with the SEC or pursuant to state securities laws in connection with the offer and sale of the Shares by the Company in the manner contemplated herein, which will be filed on a timely basis, (d) the filing of a registration statement required to be filed by the Registration Rights Agreement, (e) the Nasdaq Listing Application or (f) such that the failure of which to obtain has not had and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SEC Filings;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60" w:hanging="4"/>
        <w:spacing w:after="0" w:line="269" w:lineRule="auto"/>
        <w:tabs>
          <w:tab w:leader="none" w:pos="365" w:val="left"/>
        </w:tabs>
        <w:numPr>
          <w:ilvl w:val="0"/>
          <w:numId w:val="5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timely filed or furnished, as applicable, all forms, statements, certifications, reports and documents required to be filed or furnished by it with the SEC under Section 13, 14(a) and 15(d) of the Exchange Act for the one year preceding the date of this Agreement and is in compliance with General Instruction I.A.3 of Form S-3. As of the time it was filed with the SEC (or, if amended or superseded by a filing prior to the date of this Agreement, then on the date of such filing), each of the filed 2026 SEC Reports complied in all material respects with the applicable requirements of the Securities Act and the Exchange Act, and the rules and regulations promulgated thereunder, and, as of the time they were filed or furnished, none of the filed 2026 SEC Reports contained any untrue statement of a material fact or omitted to state a material fact required to be stated therein or necessary in order to make the statements therein, in light of the circumstances under which they were made, not misleading. There are no outstanding or unresolved comments from the SEC staff with respect to the 2026 SEC Reports. To the Company’s knowledge, none of the 2026 SEC Reports are the subject of an ongoing SEC review. The interactive data in eXtensible Business Reporting Language included in the 2026 SEC Reports fairly presents the information called for in all material respects and has been prepared in accordance with the SEC’s rules and guidelines applicable thereto. The Company is not, and has never been, and after the Closing will not be, an issuer subject to Rule 144(i) under the Securities Act.</w:t>
      </w:r>
    </w:p>
    <w:p>
      <w:pPr>
        <w:spacing w:after="0" w:line="181" w:lineRule="exact"/>
        <w:rPr>
          <w:rFonts w:ascii="Times New Roman" w:cs="Times New Roman" w:eastAsia="Times New Roman" w:hAnsi="Times New Roman"/>
          <w:sz w:val="17"/>
          <w:szCs w:val="17"/>
          <w:color w:val="auto"/>
        </w:rPr>
      </w:pPr>
    </w:p>
    <w:p>
      <w:pPr>
        <w:ind w:left="120" w:hanging="4"/>
        <w:spacing w:after="0" w:line="253" w:lineRule="auto"/>
        <w:tabs>
          <w:tab w:leader="none" w:pos="375"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of the Company included in the 2026 SEC Reports (together with the related schedules and notes thereto, collectively,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consolidated financial position of the Company and its Subsidiaries as of the dates indicated, and the results of its operations and cash flows for the periods therein specified, and have been prepared in accordance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(except as otherwise noted therein,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92" w:lineRule="exact"/>
        <w:rPr>
          <w:sz w:val="20"/>
          <w:szCs w:val="20"/>
          <w:color w:val="auto"/>
        </w:rPr>
      </w:pPr>
    </w:p>
    <w:p>
      <w:pPr>
        <w:jc w:val="both"/>
        <w:ind w:left="120" w:right="20"/>
        <w:spacing w:after="0" w:line="276"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Absence of Changes</w:t>
      </w:r>
      <w:r>
        <w:rPr>
          <w:rFonts w:ascii="Times New Roman" w:cs="Times New Roman" w:eastAsia="Times New Roman" w:hAnsi="Times New Roman"/>
          <w:sz w:val="17"/>
          <w:szCs w:val="17"/>
          <w:color w:val="auto"/>
        </w:rPr>
        <w:t>. Except for the execution and performance of this Agreement and the discussions, negotiations and transactions related thereto, including the Merger Agreement and transactions related thereto, and except as otherwise disclosed in the 2026 SEC Reports, since December 31, 2025:</w:t>
      </w:r>
    </w:p>
    <w:p>
      <w:pPr>
        <w:spacing w:after="0" w:line="1" w:lineRule="exact"/>
        <w:rPr>
          <w:sz w:val="20"/>
          <w:szCs w:val="20"/>
          <w:color w:val="auto"/>
        </w:rPr>
      </w:pPr>
    </w:p>
    <w:p>
      <w:pPr>
        <w:ind w:left="120" w:right="20" w:hanging="4"/>
        <w:spacing w:after="0" w:line="273" w:lineRule="auto"/>
        <w:tabs>
          <w:tab w:leader="none" w:pos="365"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conducted its business only in the ordinary course of business and there have been no material transactions entered into by the Company or its Subsidiaries; (b) no material change to any material contract or arrangement by which the Company or its Subsidiaries is bound or to which any of its assets or properties is subject has been entered into that has not been disclosed in writing to the Investors and the Placement Agents; and (c) there has not been any other event or condition of any character that has had or would reasonably be expected to have a Material Adverse Effect.</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H-10</w:t>
      </w:r>
    </w:p>
    <w:p>
      <w:pPr>
        <w:sectPr>
          <w:pgSz w:w="11900" w:h="16838" w:orient="portrait"/>
          <w:cols w:equalWidth="0" w:num="1">
            <w:col w:w="11100"/>
          </w:cols>
          <w:pgMar w:left="320" w:top="455" w:right="479" w:bottom="1440" w:gutter="0" w:footer="0" w:header="0"/>
        </w:sectPr>
      </w:pPr>
    </w:p>
    <w:bookmarkStart w:id="646" w:name="page647"/>
    <w:bookmarkEnd w:id="6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spacing w:after="0" w:line="18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Compliance with Law; Permits</w:t>
      </w:r>
      <w:r>
        <w:rPr>
          <w:rFonts w:ascii="Times New Roman" w:cs="Times New Roman" w:eastAsia="Times New Roman" w:hAnsi="Times New Roman"/>
          <w:sz w:val="18"/>
          <w:szCs w:val="18"/>
          <w:color w:val="auto"/>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8"/>
          <w:szCs w:val="18"/>
          <w:b w:val="1"/>
          <w:bCs w:val="1"/>
          <w:color w:val="auto"/>
        </w:rPr>
        <w:t>Governmental Authorizations</w:t>
      </w:r>
      <w:r>
        <w:rPr>
          <w:rFonts w:ascii="Times New Roman" w:cs="Times New Roman" w:eastAsia="Times New Roman" w:hAnsi="Times New Roman"/>
          <w:sz w:val="18"/>
          <w:szCs w:val="18"/>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88"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or have rights to use, all material inventions, patent applications, patents, trademarks, trade names, service names, service marks, copyrights, trade secrets, know how (including unpatented and/or unpatentable proprietary or confidential information, systems or procedures) and other intellectual property as described in the 2026 SEC Reports that is necessary for, or used in the conduct of their respective businesses (collectively,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except where any failure to own, possess or acquire such Intellectual Property has not had, and would not, individually or in the aggregate, 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except, in each case, which, individually or in the aggregate, have not had and would not reasonably be expected to have a Material Adverse Effect.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spacing w:after="0" w:line="193"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H-11</w:t>
      </w:r>
    </w:p>
    <w:p>
      <w:pPr>
        <w:sectPr>
          <w:pgSz w:w="11900" w:h="16838" w:orient="portrait"/>
          <w:cols w:equalWidth="0" w:num="1">
            <w:col w:w="11120"/>
          </w:cols>
          <w:pgMar w:left="320" w:top="455" w:right="459" w:bottom="1440" w:gutter="0" w:footer="0" w:header="0"/>
        </w:sectPr>
      </w:pPr>
    </w:p>
    <w:bookmarkStart w:id="647" w:name="page648"/>
    <w:bookmarkEnd w:id="6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183"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December 31, 2024,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897(c)(1)(A)(ii).</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and other Governmental Authorizations required under applicable Environmental Laws to conduct its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have not had and would not, individually or in the aggregate, reasonably be expected to have a Material Adverse Effect. None of the Company or any Subsidiary has received since December 31,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has not had and would not reasonably be expected to have a Material Adverse Effect. To the knowledge of the Company: (i) no current or (during the time a prior property was leased or controlled by the Company) prior property leased or controlled by the Company or any Subsidiary has received since December 31,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spacing w:after="0" w:line="19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Each of the Company and its Subsidiaries has good and marketable title to all personal property owned by it that is material to the business of the Company, free and clear of all liens, encumbrances and defects except such as do not materially and adversely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H-12</w:t>
      </w:r>
    </w:p>
    <w:p>
      <w:pPr>
        <w:sectPr>
          <w:pgSz w:w="11900" w:h="16838" w:orient="portrait"/>
          <w:cols w:equalWidth="0" w:num="1">
            <w:col w:w="11140"/>
          </w:cols>
          <w:pgMar w:left="320" w:top="455" w:right="439" w:bottom="1440" w:gutter="0" w:footer="0" w:header="0"/>
        </w:sectPr>
      </w:pPr>
    </w:p>
    <w:bookmarkStart w:id="648" w:name="page649"/>
    <w:bookmarkEnd w:id="6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not materially and adversely interfere with the use made and proposed to be made of such property and buildings by the Company or its Subsidiaries, as the case may be. The Company does not own any real property.</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December 31,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w:t>
      </w:r>
    </w:p>
    <w:p>
      <w:pPr>
        <w:spacing w:after="0" w:line="187"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OTCQB Stock Market</w:t>
      </w:r>
      <w:r>
        <w:rPr>
          <w:rFonts w:ascii="Times New Roman" w:cs="Times New Roman" w:eastAsia="Times New Roman" w:hAnsi="Times New Roman"/>
          <w:sz w:val="18"/>
          <w:szCs w:val="18"/>
          <w:color w:val="auto"/>
        </w:rPr>
        <w:t>. The issued and outstanding shares of Common Stock are registered pursuant to Section 12(b) of the Exchange Act and are listed for trading on the OTCQB Market under the symbol “GRTX.” The Company is in compliance with all listing requirements of the OTCQB Market applicable to the Company. There is no suit, action, proceeding or investigation pending or, to the knowledge of the Company, threatened against the Company by the OTCQB Market or the SEC, respectively, to prohibit or terminate the listing of the Common Stock on the OTCQB Market or to deregister the Common Stock under the Exchange Act. The Company has taken no action that is designed to terminate the registration of the Common Stock under the Exchange Act.</w:t>
      </w:r>
    </w:p>
    <w:p>
      <w:pPr>
        <w:spacing w:after="0" w:line="187"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 Company is, and since December 31, 2025 has been, in compliance in all material respects with all applicable requirements of the Sarbanes-Oxley Act of 2002 and applicable rules and regulations promulgated by the SEC thereunder.</w:t>
      </w:r>
    </w:p>
    <w:p>
      <w:pPr>
        <w:spacing w:after="0" w:line="16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Clinical Data and Regulatory Compliance</w:t>
      </w:r>
      <w:r>
        <w:rPr>
          <w:rFonts w:ascii="Times New Roman" w:cs="Times New Roman" w:eastAsia="Times New Roman" w:hAnsi="Times New Roman"/>
          <w:sz w:val="18"/>
          <w:szCs w:val="18"/>
          <w:color w:val="auto"/>
        </w:rPr>
        <w:t>. Except as would not reasonably be expected to result in a Material Adverse Effect: (i) the preclinical tests and clinical trials, and other studies used to support regulatory approval (collectively, “</w:t>
      </w:r>
      <w:r>
        <w:rPr>
          <w:rFonts w:ascii="Times New Roman" w:cs="Times New Roman" w:eastAsia="Times New Roman" w:hAnsi="Times New Roman"/>
          <w:sz w:val="18"/>
          <w:szCs w:val="18"/>
          <w:b w:val="1"/>
          <w:bCs w:val="1"/>
          <w:color w:val="auto"/>
        </w:rPr>
        <w:t>studies</w:t>
      </w:r>
      <w:r>
        <w:rPr>
          <w:rFonts w:ascii="Times New Roman" w:cs="Times New Roman" w:eastAsia="Times New Roman" w:hAnsi="Times New Roman"/>
          <w:sz w:val="18"/>
          <w:szCs w:val="18"/>
          <w:color w:val="auto"/>
        </w:rPr>
        <w:t>”) being conducted by or on behalf of, or sponsored by, the Company or its Subsidiaries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and are inconsistent with, or otherwise call into question, the results described or referred to in the 2026 SEC Reports;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8"/>
          <w:szCs w:val="18"/>
          <w:b w:val="1"/>
          <w:bCs w:val="1"/>
          <w:color w:val="auto"/>
        </w:rPr>
        <w:t>Regulatory Agencies</w:t>
      </w:r>
      <w:r>
        <w:rPr>
          <w:rFonts w:ascii="Times New Roman" w:cs="Times New Roman" w:eastAsia="Times New Roman" w:hAnsi="Times New Roman"/>
          <w:sz w:val="18"/>
          <w:szCs w:val="18"/>
          <w:color w:val="auto"/>
        </w:rPr>
        <w:t>”) for the conduct of its business; (iv) neither the Company nor any of its Subsidiaries has received any notice of, or correspondence from, any Regulatory Agency requiring the termination or suspension of or imposing any clinical hold on any clinical trials; and (v) the Company and its Subsidiaries have each operated and currently are in compliance in all material respects with all applicable rules, regulations and policies of the Regulatory Agencies.</w:t>
      </w:r>
    </w:p>
    <w:p>
      <w:pPr>
        <w:spacing w:after="0" w:line="187" w:lineRule="exact"/>
        <w:rPr>
          <w:sz w:val="20"/>
          <w:szCs w:val="20"/>
          <w:color w:val="auto"/>
        </w:rPr>
      </w:pPr>
    </w:p>
    <w:p>
      <w:pPr>
        <w:ind w:left="120" w:right="140"/>
        <w:spacing w:after="0" w:line="276" w:lineRule="auto"/>
        <w:rPr>
          <w:sz w:val="20"/>
          <w:szCs w:val="20"/>
          <w:color w:val="auto"/>
        </w:rPr>
      </w:pPr>
      <w:r>
        <w:rPr>
          <w:rFonts w:ascii="Times New Roman" w:cs="Times New Roman" w:eastAsia="Times New Roman" w:hAnsi="Times New Roman"/>
          <w:sz w:val="17"/>
          <w:szCs w:val="17"/>
          <w:color w:val="auto"/>
        </w:rPr>
        <w:t xml:space="preserve">3.21 </w:t>
      </w:r>
      <w:r>
        <w:rPr>
          <w:rFonts w:ascii="Times New Roman" w:cs="Times New Roman" w:eastAsia="Times New Roman" w:hAnsi="Times New Roman"/>
          <w:sz w:val="17"/>
          <w:szCs w:val="17"/>
          <w:u w:val="single" w:color="auto"/>
          <w:color w:val="auto"/>
        </w:rPr>
        <w:t>Compliance with Health Care Laws</w:t>
      </w:r>
      <w:r>
        <w:rPr>
          <w:rFonts w:ascii="Times New Roman" w:cs="Times New Roman" w:eastAsia="Times New Roman" w:hAnsi="Times New Roman"/>
          <w:sz w:val="17"/>
          <w:szCs w:val="17"/>
          <w:color w:val="auto"/>
        </w:rPr>
        <w:t>. The Company and its Subsidiaries are in compliance in all material respects with all Health Care Laws to the extent applicable to the Company’s current business and research use only products. For purposes of this Agreement, “</w:t>
      </w:r>
      <w:r>
        <w:rPr>
          <w:rFonts w:ascii="Times New Roman" w:cs="Times New Roman" w:eastAsia="Times New Roman" w:hAnsi="Times New Roman"/>
          <w:sz w:val="17"/>
          <w:szCs w:val="17"/>
          <w:b w:val="1"/>
          <w:bCs w:val="1"/>
          <w:color w:val="auto"/>
        </w:rPr>
        <w:t>Health Care Laws</w:t>
      </w:r>
      <w:r>
        <w:rPr>
          <w:rFonts w:ascii="Times New Roman" w:cs="Times New Roman" w:eastAsia="Times New Roman" w:hAnsi="Times New Roman"/>
          <w:sz w:val="17"/>
          <w:szCs w:val="17"/>
          <w:color w:val="auto"/>
        </w:rPr>
        <w:t>” means:</w:t>
      </w:r>
    </w:p>
    <w:p>
      <w:pPr>
        <w:spacing w:after="0" w:line="1" w:lineRule="exact"/>
        <w:rPr>
          <w:sz w:val="20"/>
          <w:szCs w:val="20"/>
          <w:color w:val="auto"/>
        </w:rPr>
      </w:pPr>
    </w:p>
    <w:p>
      <w:pPr>
        <w:ind w:left="120" w:right="80" w:hanging="4"/>
        <w:spacing w:after="0" w:line="253" w:lineRule="auto"/>
        <w:tabs>
          <w:tab w:leader="none" w:pos="335"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(21 U.S.C. Section 301 et seq.) and the Public Health Service Act (42 U.S.C. Section 201 et seq.), and the regulations promulgated thereunder; (ii) all applicable federal, state, local and foreign health care fraud and abuse laws, including, without limitation, the Anti-Kickback Statute (42 U.S.C. Section 1320a-7b(b)); (iii)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(iv) the Patient Protection and Affordable Care Act of 2010, as amended by the Health Care and Education Reconciliation Act of 2010; (v)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H-13</w:t>
      </w:r>
    </w:p>
    <w:p>
      <w:pPr>
        <w:sectPr>
          <w:pgSz w:w="11900" w:h="16838" w:orient="portrait"/>
          <w:cols w:equalWidth="0" w:num="1">
            <w:col w:w="11120"/>
          </w:cols>
          <w:pgMar w:left="320" w:top="455" w:right="459" w:bottom="1440" w:gutter="0" w:footer="0" w:header="0"/>
        </w:sectPr>
      </w:pPr>
    </w:p>
    <w:bookmarkStart w:id="649" w:name="page650"/>
    <w:bookmarkEnd w:id="6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80"/>
        <w:spacing w:after="0" w:line="274" w:lineRule="auto"/>
        <w:rPr>
          <w:sz w:val="20"/>
          <w:szCs w:val="20"/>
          <w:color w:val="auto"/>
        </w:rPr>
      </w:pPr>
      <w:r>
        <w:rPr>
          <w:rFonts w:ascii="Times New Roman" w:cs="Times New Roman" w:eastAsia="Times New Roman" w:hAnsi="Times New Roman"/>
          <w:sz w:val="17"/>
          <w:szCs w:val="17"/>
          <w:color w:val="auto"/>
        </w:rPr>
        <w:t>European Union (“</w:t>
      </w:r>
      <w:r>
        <w:rPr>
          <w:rFonts w:ascii="Times New Roman" w:cs="Times New Roman" w:eastAsia="Times New Roman" w:hAnsi="Times New Roman"/>
          <w:sz w:val="17"/>
          <w:szCs w:val="17"/>
          <w:b w:val="1"/>
          <w:bCs w:val="1"/>
          <w:color w:val="auto"/>
        </w:rPr>
        <w:t>EU</w:t>
      </w:r>
      <w:r>
        <w:rPr>
          <w:rFonts w:ascii="Times New Roman" w:cs="Times New Roman" w:eastAsia="Times New Roman" w:hAnsi="Times New Roman"/>
          <w:sz w:val="17"/>
          <w:szCs w:val="17"/>
          <w:color w:val="auto"/>
        </w:rPr>
        <w:t>”) Clinical Trials Regulation (Regulation (EU) No. 536/2014); (vi) the EU Regulation regarding community procedures for authorization and supervision of medicinal products for human and veterinary use and establishing a European Medicines Agency (Regulation (EC) No. 726/2004); (vii) licensure, quality, safety and accreditation requirements under applicable federal, state, local or foreign laws or regulatory bodies;</w:t>
      </w:r>
    </w:p>
    <w:p>
      <w:pPr>
        <w:spacing w:after="0" w:line="1" w:lineRule="exact"/>
        <w:rPr>
          <w:sz w:val="20"/>
          <w:szCs w:val="20"/>
          <w:color w:val="auto"/>
        </w:rPr>
      </w:pPr>
    </w:p>
    <w:p>
      <w:pPr>
        <w:ind w:left="120" w:right="100" w:hanging="4"/>
        <w:spacing w:after="0" w:line="251" w:lineRule="auto"/>
        <w:tabs>
          <w:tab w:leader="none" w:pos="525"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local, state, federal, national, supranational and foreign laws, relating to the regulation of the Company or its Subsidiaries, and (ix) the regulations promulgated pursuant to such statutes and any state or non-U.S. counterpart thereof. Neither the Company nor any of its Subsidiaries has received written or, to the Company’s knowledge, oral 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9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Accounting Controls and Disclosure Controls and Procedures</w:t>
      </w:r>
      <w:r>
        <w:rPr>
          <w:rFonts w:ascii="Times New Roman" w:cs="Times New Roman" w:eastAsia="Times New Roman" w:hAnsi="Times New Roman"/>
          <w:sz w:val="18"/>
          <w:szCs w:val="18"/>
          <w:color w:val="auto"/>
        </w:rPr>
        <w:t>. The Company maintains a system of internal control over financial reporting (as defined in Rules 13a-15(f) and 15d-15(f) of the Exchange Act) that is designed to comply with the requirements of the Exchange Act applicable to the Company and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 (iv) regarding prevention or timely detection of the unauthorized acquisition, use or disposition of the Company’s assets that could have a material effect on the Company’s financial statements. Since the end of the Company’s most recent audited fiscal year, there has been (a) no material weaknesses in the design or operation of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196"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Price Stabilization of Common Stock</w:t>
      </w:r>
      <w:r>
        <w:rPr>
          <w:rFonts w:ascii="Times New Roman" w:cs="Times New Roman" w:eastAsia="Times New Roman" w:hAnsi="Times New Roman"/>
          <w:sz w:val="18"/>
          <w:szCs w:val="18"/>
          <w:color w:val="auto"/>
        </w:rPr>
        <w:t>. The Company has not taken, nor will it take, directly or indirectly, any action designed to stabilize or manipulate the price of the Common Stock to facilitate the sale or resale of the Preferred Shares.</w:t>
      </w:r>
    </w:p>
    <w:p>
      <w:pPr>
        <w:spacing w:after="0" w:line="162"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and immediately after receipt of payment for the Preferred Shares will not be, an “investment company” within the meaning of the U.S. Investment Company Act of 1940, as amended.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H-14</w:t>
      </w:r>
    </w:p>
    <w:p>
      <w:pPr>
        <w:sectPr>
          <w:pgSz w:w="11900" w:h="16838" w:orient="portrait"/>
          <w:cols w:equalWidth="0" w:num="1">
            <w:col w:w="11120"/>
          </w:cols>
          <w:pgMar w:left="320" w:top="455" w:right="459" w:bottom="1440" w:gutter="0" w:footer="0" w:header="0"/>
        </w:sectPr>
      </w:pPr>
    </w:p>
    <w:bookmarkStart w:id="650" w:name="page651"/>
    <w:bookmarkEnd w:id="6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General Solicitation; No Integration or Aggregation</w:t>
      </w:r>
      <w:r>
        <w:rPr>
          <w:rFonts w:ascii="Times New Roman" w:cs="Times New Roman" w:eastAsia="Times New Roman" w:hAnsi="Times New Roman"/>
          <w:sz w:val="18"/>
          <w:szCs w:val="18"/>
          <w:color w:val="auto"/>
        </w:rPr>
        <w:t xml:space="preserve">. Neither the Company nor any other Person or entity authorized by the Company to act on its behalf has engaged in a general solicitation or general advertising (within the meaning of Regulation D of the Securities Act) of investors with respect to offers or sales of the Preferred Shares pursuant to this Agreement. The Company has not, directly or indirectly, sold, offered for sale, solicited offers to buy or otherwise negotiated in respect of, any security (as defined in the Securities Act) which, to its knowledge, is or will be (i) integrated with the offer and sale of the Preferred Shares pursuant to this Agreement for purposes of the Securities Act or (ii) aggregated with prior offerings by the Company for the purposes of the rules and regulations of the OTCQB Market. Assuming the accuracy of the representations and warranties of the Investors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and/or Regulation D promulgated thereunder for the exemption from registration for the transactions contemplated hereby.</w:t>
      </w:r>
    </w:p>
    <w:p>
      <w:pPr>
        <w:spacing w:after="0" w:line="19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Other than the Placement Agents, neither the Company nor any other Person authorized by the Company to act on its behalf has retained, utilized or been represented by any broker or finder in connection with the transactions contemplated by this Agreement.</w:t>
      </w:r>
    </w:p>
    <w:p>
      <w:pPr>
        <w:spacing w:after="0" w:line="162"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Reliance by the Investors</w:t>
      </w:r>
      <w:r>
        <w:rPr>
          <w:rFonts w:ascii="Times New Roman" w:cs="Times New Roman" w:eastAsia="Times New Roman" w:hAnsi="Times New Roman"/>
          <w:sz w:val="18"/>
          <w:szCs w:val="18"/>
          <w:color w:val="auto"/>
        </w:rPr>
        <w:t xml:space="preserve">. The Company has a reasonable basis for making each of the representations set forth in this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No Additional Agreements</w:t>
      </w:r>
      <w:r>
        <w:rPr>
          <w:rFonts w:ascii="Times New Roman" w:cs="Times New Roman" w:eastAsia="Times New Roman" w:hAnsi="Times New Roman"/>
          <w:sz w:val="18"/>
          <w:szCs w:val="18"/>
          <w:color w:val="auto"/>
        </w:rPr>
        <w:t>. There are no agreements or understandings between the Company, on one hand, and any Investor, on the other hand, with respect to the transactions contemplated by the Transaction Agreements other than as specified in the Transaction Agreements (other than confidentiality, nondisclosure, or similar agreements).</w:t>
      </w:r>
    </w:p>
    <w:p>
      <w:pPr>
        <w:spacing w:after="0" w:line="176"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u w:val="single" w:color="auto"/>
          <w:color w:val="auto"/>
        </w:rPr>
        <w:t>Anti-Bribery and Anti-Money Laundering Laws; Sanctions</w:t>
      </w:r>
      <w:r>
        <w:rPr>
          <w:rFonts w:ascii="Times New Roman" w:cs="Times New Roman" w:eastAsia="Times New Roman" w:hAnsi="Times New Roman"/>
          <w:sz w:val="18"/>
          <w:szCs w:val="18"/>
          <w:color w:val="auto"/>
        </w:rPr>
        <w:t>. Each of the Company, its Subsidiaries and, to the knowledge of the Company, any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  </w:t>
      </w:r>
    </w:p>
    <w:p>
      <w:pPr>
        <w:spacing w:after="0" w:line="197" w:lineRule="exact"/>
        <w:rPr>
          <w:sz w:val="20"/>
          <w:szCs w:val="20"/>
          <w:color w:val="auto"/>
        </w:rPr>
      </w:pPr>
    </w:p>
    <w:p>
      <w:pPr>
        <w:jc w:val="both"/>
        <w:ind w:left="120" w:right="520"/>
        <w:spacing w:after="0" w:line="261"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and are free and clear of all material Trojan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H-15</w:t>
      </w:r>
    </w:p>
    <w:p>
      <w:pPr>
        <w:sectPr>
          <w:pgSz w:w="11900" w:h="16838" w:orient="portrait"/>
          <w:cols w:equalWidth="0" w:num="1">
            <w:col w:w="11100"/>
          </w:cols>
          <w:pgMar w:left="320" w:top="455" w:right="479" w:bottom="1440" w:gutter="0" w:footer="0" w:header="0"/>
        </w:sectPr>
      </w:pPr>
    </w:p>
    <w:bookmarkStart w:id="651" w:name="page652"/>
    <w:bookmarkEnd w:id="6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8"/>
          <w:szCs w:val="18"/>
          <w:b w:val="1"/>
          <w:bCs w:val="1"/>
          <w:color w:val="auto"/>
        </w:rPr>
        <w:t>Confidential Data</w:t>
      </w:r>
      <w:r>
        <w:rPr>
          <w:rFonts w:ascii="Times New Roman" w:cs="Times New Roman" w:eastAsia="Times New Roman" w:hAnsi="Times New Roman"/>
          <w:sz w:val="18"/>
          <w:szCs w:val="18"/>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HIPAA;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 The Company has not received any written notice, complaint, or claim from any Person, or any notice from any Regulatory Agency, alleging that the Company or any Subsidiary has violated or is not in compliance with any Privacy Laws (as defined below) or that the Company or any Subsidiary must undertake, or has failed to undertake, any action to comply with any Privacy Laws.</w:t>
      </w:r>
    </w:p>
    <w:p>
      <w:pPr>
        <w:spacing w:after="0" w:line="187"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 xml:space="preserve">3.31 </w:t>
      </w:r>
      <w:r>
        <w:rPr>
          <w:rFonts w:ascii="Times New Roman" w:cs="Times New Roman" w:eastAsia="Times New Roman" w:hAnsi="Times New Roman"/>
          <w:sz w:val="17"/>
          <w:szCs w:val="17"/>
          <w:u w:val="single" w:color="auto"/>
          <w:color w:val="auto"/>
        </w:rPr>
        <w:t>Compliance with Data Privacy Laws</w:t>
      </w:r>
      <w:r>
        <w:rPr>
          <w:rFonts w:ascii="Times New Roman" w:cs="Times New Roman" w:eastAsia="Times New Roman" w:hAnsi="Times New Roman"/>
          <w:sz w:val="17"/>
          <w:szCs w:val="17"/>
          <w:color w:val="auto"/>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7"/>
          <w:szCs w:val="17"/>
          <w:b w:val="1"/>
          <w:bCs w:val="1"/>
          <w:color w:val="auto"/>
        </w:rPr>
        <w:t>Process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Processing</w:t>
      </w:r>
      <w:r>
        <w:rPr>
          <w:rFonts w:ascii="Times New Roman" w:cs="Times New Roman" w:eastAsia="Times New Roman" w:hAnsi="Times New Roman"/>
          <w:sz w:val="17"/>
          <w:szCs w:val="17"/>
          <w:color w:val="auto"/>
        </w:rPr>
        <w:t>”) of Personal Data, including without limitation HIPAA, the EU General Data Protection Regulation (“</w:t>
      </w:r>
      <w:r>
        <w:rPr>
          <w:rFonts w:ascii="Times New Roman" w:cs="Times New Roman" w:eastAsia="Times New Roman" w:hAnsi="Times New Roman"/>
          <w:sz w:val="17"/>
          <w:szCs w:val="17"/>
          <w:b w:val="1"/>
          <w:bCs w:val="1"/>
          <w:color w:val="auto"/>
        </w:rPr>
        <w:t>GDPR</w:t>
      </w:r>
      <w:r>
        <w:rPr>
          <w:rFonts w:ascii="Times New Roman" w:cs="Times New Roman" w:eastAsia="Times New Roman" w:hAnsi="Times New Roman"/>
          <w:sz w:val="17"/>
          <w:szCs w:val="17"/>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7"/>
          <w:szCs w:val="17"/>
          <w:b w:val="1"/>
          <w:bCs w:val="1"/>
          <w:color w:val="auto"/>
        </w:rPr>
        <w:t>Privacy Laws</w:t>
      </w:r>
      <w:r>
        <w:rPr>
          <w:rFonts w:ascii="Times New Roman" w:cs="Times New Roman" w:eastAsia="Times New Roman" w:hAnsi="Times New Roman"/>
          <w:sz w:val="17"/>
          <w:szCs w:val="17"/>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7"/>
          <w:szCs w:val="17"/>
          <w:b w:val="1"/>
          <w:bCs w:val="1"/>
          <w:color w:val="auto"/>
        </w:rPr>
        <w:t>Privacy Statements</w:t>
      </w:r>
      <w:r>
        <w:rPr>
          <w:rFonts w:ascii="Times New Roman" w:cs="Times New Roman" w:eastAsia="Times New Roman" w:hAnsi="Times New Roman"/>
          <w:sz w:val="17"/>
          <w:szCs w:val="17"/>
          <w:color w:val="auto"/>
        </w:rPr>
        <w:t>”). The Company and its Subsidiaries have, except as would not reasonably be expected, individually or in the aggregate, to result in a Material Adverse Effect, at all times since December 31, 2023 provided accurate notice of its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8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No relationship, direct or indirect, exists between or among the Company,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has not been so described (or will not be so described, following the Closing) in accordance with the Exchange Act.</w:t>
      </w:r>
    </w:p>
    <w:p>
      <w:pPr>
        <w:spacing w:after="0" w:line="180"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Additional Representations and Warranties</w:t>
      </w:r>
      <w:r>
        <w:rPr>
          <w:rFonts w:ascii="Times New Roman" w:cs="Times New Roman" w:eastAsia="Times New Roman" w:hAnsi="Times New Roman"/>
          <w:sz w:val="18"/>
          <w:szCs w:val="18"/>
          <w:color w:val="auto"/>
        </w:rPr>
        <w:t>. As of the date hereof and as of the Closing Date, (i) the representations and warranties of the Company contained in Article 4 of the Merger Agreement and in any certificate or other writing delivered by the Company pursuant thereto are true and correct in all material respects (or, if any such representations or warranties are qualified by materiality, material adverse effect or similar language, true and correct in all respects), (ii) to the Company’s knowledge after conducting reasonable due diligence with respect to Obsidian and its business, the representations and warranties of Obsidian contained in Article 3 of the Merger Agreement (as qualified therein and in the disclosure schedules thereto) and in any certificate or other writing delivered by Obsidian pursuant thereto were, true and correct as though given in accordance with Article 3 of the Merger Agreement (or, if any such representations or warranties are qualified by materiality, material adverse effect or similar language, true and correct in all respects), and (iii) to the Company’s knowledge, the representations and warranties of Parent contained in Article 5 of the Merger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H-16</w:t>
      </w:r>
    </w:p>
    <w:p>
      <w:pPr>
        <w:sectPr>
          <w:pgSz w:w="11900" w:h="16838" w:orient="portrait"/>
          <w:cols w:equalWidth="0" w:num="1">
            <w:col w:w="11100"/>
          </w:cols>
          <w:pgMar w:left="320" w:top="455" w:right="479" w:bottom="1440" w:gutter="0" w:footer="0" w:header="0"/>
        </w:sectPr>
      </w:pPr>
    </w:p>
    <w:bookmarkStart w:id="652" w:name="page653"/>
    <w:bookmarkEnd w:id="6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Agreement (as qualified therein and in the disclosure schedules thereto) were true and correct in all material respects (or, if any such representations or warranties are qualified by materiality, material adverse effect or similar language, true and correct in all respects). All necessary corporate action has been duly and validly taken by the Company, Parent, Obsidian (to the Company’s knowledge), Obsidian Merger Sub and Galera Merger Sub to authorize the execution, delivery and performance of the Merger Agreement. The Merger Agreement has been duly and validly authorized, executed and delivered by the Company, Parent, Obsidian (to the Company’s knowledge), Obsidian Merger Sub and Galera Merger Sub and, assuming due authorization, execution and delivery by the other parties thereto, constitutes a valid and binding agreement of the Company, Parent, Obsidian (to the Company’s knowledge), Obsidian Merger Sub and Galera Merger Sub, enforceable against the Company, Parent, Obsidian (to the Company’s knowledge), Obsidian Merger Sub and Galera Merger Sub in accordance with its terms, except as enforceability may be limited by applicable bankruptcy, insolvency or similar laws affecting the enforcement of creditors’ rights generally or by equitable principles relating to enforceability. The Company has furnished or otherwise made available to each Investor a true and complete executed copy of the Merger Agreement as in effect as of the date hereof.</w:t>
      </w:r>
    </w:p>
    <w:p>
      <w:pPr>
        <w:spacing w:after="0" w:line="192"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 xml:space="preserve">3.34 </w:t>
      </w:r>
      <w:r>
        <w:rPr>
          <w:rFonts w:ascii="Times New Roman" w:cs="Times New Roman" w:eastAsia="Times New Roman" w:hAnsi="Times New Roman"/>
          <w:sz w:val="17"/>
          <w:szCs w:val="17"/>
          <w:u w:val="single" w:color="auto"/>
          <w:color w:val="auto"/>
        </w:rPr>
        <w:t>Disclosure</w:t>
      </w:r>
      <w:r>
        <w:rPr>
          <w:rFonts w:ascii="Times New Roman" w:cs="Times New Roman" w:eastAsia="Times New Roman" w:hAnsi="Times New Roman"/>
          <w:sz w:val="17"/>
          <w:szCs w:val="17"/>
          <w:color w:val="auto"/>
        </w:rPr>
        <w:t>. The Company confirms that it has not provided, and to the Company’s knowledge, none of its officers or directors nor any other Person acting on its or their behalf (including, without limitation, the Placement Agents) has provided, and it has not authorized the Placement Agents to provide, any Investor or its respective agents or counsel with any information that it believes constitutes material, non-public information except insofar as the existence, provisions and terms of the Transaction Agreements, the Merger Agreement, and the proposed transactions hereunder and thereunder may constitute such information, all of which will be disclosed by the Company in the Disclosure Document as contemplated by Section 5.3 hereof. The Company understands and confirms that the Investors will rely on the foregoing representations in effecting transactions in securities of the Company.</w:t>
      </w:r>
    </w:p>
    <w:p>
      <w:pPr>
        <w:spacing w:after="0" w:line="173" w:lineRule="exact"/>
        <w:rPr>
          <w:sz w:val="20"/>
          <w:szCs w:val="20"/>
          <w:color w:val="auto"/>
        </w:rPr>
      </w:pPr>
    </w:p>
    <w:p>
      <w:pPr>
        <w:ind w:left="120" w:right="60" w:hanging="4"/>
        <w:spacing w:after="0" w:line="266" w:lineRule="auto"/>
        <w:tabs>
          <w:tab w:leader="none" w:pos="30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Each Investor</w:t>
      </w:r>
      <w:r>
        <w:rPr>
          <w:rFonts w:ascii="Times New Roman" w:cs="Times New Roman" w:eastAsia="Times New Roman" w:hAnsi="Times New Roman"/>
          <w:sz w:val="18"/>
          <w:szCs w:val="18"/>
          <w:color w:val="auto"/>
        </w:rPr>
        <w:t xml:space="preserve">. Each Investor, severally for itself and not jointly with any other Investor, represents and warrants to the Company and the Placement Agents that the statements contained in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true and correct as of the date hereof (except for the representations and warranties that speak as of a specific date, which shall be made as of such date):</w:t>
      </w:r>
    </w:p>
    <w:p>
      <w:pPr>
        <w:spacing w:after="0" w:line="176"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Such Investor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6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 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9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Agreements by such Investor, the purchase of the Preferred Shares in accordance with their terms and the consummation by such Investor of the other transactions contemplated hereby will not conflict with or result in any violation of, breach or default 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H-17</w:t>
      </w:r>
    </w:p>
    <w:p>
      <w:pPr>
        <w:sectPr>
          <w:pgSz w:w="11900" w:h="16838" w:orient="portrait"/>
          <w:cols w:equalWidth="0" w:num="1">
            <w:col w:w="11120"/>
          </w:cols>
          <w:pgMar w:left="320" w:top="455" w:right="459" w:bottom="1440" w:gutter="0" w:footer="0" w:header="0"/>
        </w:sectPr>
      </w:pPr>
    </w:p>
    <w:bookmarkStart w:id="653" w:name="page654"/>
    <w:bookmarkEnd w:id="6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w:t>
      </w:r>
    </w:p>
    <w:p>
      <w:pPr>
        <w:spacing w:after="0" w:line="18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xml:space="preserve">. Such Investor’s residence (if an individual) or offices in which its investment decision with respect to the Preferred Shares was made (if an entity) are located at the address immediately below such Investor’s name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except as otherwise communicated by such Investor to the Company.</w:t>
      </w:r>
    </w:p>
    <w:p>
      <w:pPr>
        <w:spacing w:after="0" w:line="176"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Brokers and Finders</w:t>
      </w:r>
      <w:r>
        <w:rPr>
          <w:rFonts w:ascii="Times New Roman" w:cs="Times New Roman" w:eastAsia="Times New Roman" w:hAnsi="Times New Roman"/>
          <w:sz w:val="18"/>
          <w:szCs w:val="18"/>
          <w:color w:val="auto"/>
        </w:rPr>
        <w:t>. Such Investor has not retained, utilized or been represented by any broker or finder in connection with the transactions contemplated by this Agreement whose fees the Company would be required to pay.</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Investment Representations and Warranties</w:t>
      </w:r>
      <w:r>
        <w:rPr>
          <w:rFonts w:ascii="Times New Roman" w:cs="Times New Roman" w:eastAsia="Times New Roman" w:hAnsi="Times New Roman"/>
          <w:sz w:val="18"/>
          <w:szCs w:val="18"/>
          <w:color w:val="auto"/>
        </w:rPr>
        <w:t>. Each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Preferred Shares. Each Investor further represents and warrants that (x) it is capable of evaluating the merits and risk of such investment, and (y) that it has not been organized for the purpose of acquiring the Preferred Shares and is an “institutional account” as defined by FINRA Rule 4512(c). Such Investor understands and agrees that the offering and sale of the Preferred Shares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spacing w:after="0" w:line="19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Intent</w:t>
      </w:r>
      <w:r>
        <w:rPr>
          <w:rFonts w:ascii="Times New Roman" w:cs="Times New Roman" w:eastAsia="Times New Roman" w:hAnsi="Times New Roman"/>
          <w:sz w:val="18"/>
          <w:szCs w:val="18"/>
          <w:color w:val="auto"/>
        </w:rPr>
        <w:t>. Each Investor is purchasing the Preferred Shares solely for investment purposes, for such Investor’s own account and not for the account of others, and not with a view to the resale or distribution of any part thereof (or any Conversion Shares or Exchange Shares) in violation of the Securities Act, and the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Preferred Shares as a fiduciary or agent for one or more investor accounts, such Investor has full investment discretion with respect to each such account, and the full power and authority to make the acknowledgements, representations and agreements herein on behalf of each owner of each such account. Each Investor has no present arrangement to sell the Preferred Shares (or any Conversion Shares or Exchange Shares) to or through any Person or entity. Each Investor understands that the Preferred Shares (and any Conversion Shares and Exchange Shares) must be held indefinitely unless such securities are resold pursuant to a registration statement under the Securities Act or an exemption from registration is available. Nothing contained herein shall be deemed a representation or warranty by such Investor to hold the Preferred Shares (or any Conversion Shares or Exchange Shares) for any period of time.</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Investment Experience; Ability to Protect Its Own Interests and Bear Economic Risks</w:t>
      </w:r>
      <w:r>
        <w:rPr>
          <w:rFonts w:ascii="Times New Roman" w:cs="Times New Roman" w:eastAsia="Times New Roman" w:hAnsi="Times New Roman"/>
          <w:sz w:val="18"/>
          <w:szCs w:val="18"/>
          <w:color w:val="auto"/>
        </w:rPr>
        <w:t>. Each Investor acknowledges that it can bear the economic risk and complete loss of its investment in the Preferred Shares and has knowledge and experience in finance, securities, taxation, investments and other business matters as to be capable of evaluating the merits and risks of investments of the kind described in this Agreement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H-18</w:t>
      </w:r>
    </w:p>
    <w:p>
      <w:pPr>
        <w:sectPr>
          <w:pgSz w:w="11900" w:h="16838" w:orient="portrait"/>
          <w:cols w:equalWidth="0" w:num="1">
            <w:col w:w="11120"/>
          </w:cols>
          <w:pgMar w:left="320" w:top="455" w:right="459" w:bottom="1440" w:gutter="0" w:footer="0" w:header="0"/>
        </w:sectPr>
      </w:pPr>
    </w:p>
    <w:bookmarkStart w:id="654" w:name="page655"/>
    <w:bookmarkEnd w:id="6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contemplated hereby, and the Investor has had an opportunity to seek, and has sought, such accounting, legal, business and tax advice as such Investor has considered necessary to make an informed investment decision.</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Each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Preferred Shares. Each Investor acknowledges that such Investor is aware that there are substantial risks incident to the purchase and ownership of the Preferred Shares, including those set forth in the Company’s filings with the SEC. Alone, or together with any professional advisor(s), such Investor has adequately analyzed and fully considered the risks of an investment in the Preferred Shares and determined that the Preferred Shares are a suitable investment for the Investor. Each Investor is, at this time and in the foreseeable future, able to afford the loss of such Investor’s entire investment in the Preferred Shares and such Investor acknowledges specifically that a possibility of total loss exists.</w:t>
      </w:r>
    </w:p>
    <w:p>
      <w:pPr>
        <w:spacing w:after="0" w:line="192"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Independent Investment Decision</w:t>
      </w:r>
      <w:r>
        <w:rPr>
          <w:rFonts w:ascii="Times New Roman" w:cs="Times New Roman" w:eastAsia="Times New Roman" w:hAnsi="Times New Roman"/>
          <w:sz w:val="18"/>
          <w:szCs w:val="18"/>
          <w:color w:val="auto"/>
        </w:rPr>
        <w:t>. Such Investor understands that nothing in the Transaction Agreements or any other materials presented by or on behalf of the Company or Obsidian to such Investor in connection with the purchase of the Preferred Shares constitutes legal, tax or investment advice. Such Investor has consulted such legal, tax and investment advisors as it, in its sole discretion, has deemed necessary or appropriate in connection with its purchase of the Preferred Shares.</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Securities Not Registered; Legends</w:t>
      </w:r>
      <w:r>
        <w:rPr>
          <w:rFonts w:ascii="Times New Roman" w:cs="Times New Roman" w:eastAsia="Times New Roman" w:hAnsi="Times New Roman"/>
          <w:sz w:val="18"/>
          <w:szCs w:val="18"/>
          <w:color w:val="auto"/>
        </w:rPr>
        <w:t>. Such Investor acknowledges and agrees that the Preferred Shares are being offered in a transaction not involving any public offering within the meaning of the Securities Act, and such Investor understands that the Preferred Shares have not been registered under the Securities Act, by reason of their issuance by the Company in a transaction exempt from the registration requirements of the Securities Act, and that the Preferred Shares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Preferred Shares. Such Investor acknowledges that no federal or state agency has passed upon or endorsed the merits of the offering of the Preferred Shares or made any findings or determination as to the fairness of this investment.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Investor understands that any book-entry notations evidencing the Preferred Shares may bear the following legend:</w:t>
      </w:r>
    </w:p>
    <w:p>
      <w:pPr>
        <w:spacing w:after="0" w:line="117"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OFFER AND SALE OF THE SECURITIES REPRESENTED HEREBY HAVE NOT BEEN REGISTERED UNDER THE SECURITIES ACT OF 1933, AS AMENDED, OR THE SECURITIES LAWS OF ANY STATE OF THE UNITED STATES. THE SECURITIES MAY NOT BE SOLD, OFFERED FOR SALE, PLEDGED, HYPOTHECATED, TRANSFERRED OR ASSIGNED IN THE ABSENCE OF AN EFFECTIVE REGISTRATION STATEMENT FOR THE SECURITIES UNDER APPLICABLE SECURITIES LAWS, OR UNLESS OFFERED, SOLD, PLEDGED, HYPOTHECATED OR TRANSFERRED PURSUANT TO AN AVAILABLE EXEMPTION FROM THE REGISTRATION REQUIREMENTS OF THOSE LAWS. NOTWITHSTANDING THE FOREGOING, (I) THE SECURITIES MAY BE TRANSFERRED WITHOUT CONSIDERATION TO AN AFFILIATE OF SUCH HOLDER OR A CUSTODIAL NOMINEE AND (II) THE SECURITIES MAY BE PLEDGED IN CONNECTION WITH A BONA FIDE MARGIN ACCOUNT OR OTHER LOAN OR FINANCING ARRANGEMENT SECURED BY THE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H-19</w:t>
      </w:r>
    </w:p>
    <w:p>
      <w:pPr>
        <w:sectPr>
          <w:pgSz w:w="11900" w:h="16838" w:orient="portrait"/>
          <w:cols w:equalWidth="0" w:num="1">
            <w:col w:w="11120"/>
          </w:cols>
          <w:pgMar w:left="320" w:top="455" w:right="459" w:bottom="1440" w:gutter="0" w:footer="0" w:header="0"/>
        </w:sectPr>
      </w:pPr>
    </w:p>
    <w:bookmarkStart w:id="655" w:name="page656"/>
    <w:bookmarkEnd w:id="6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the Preferred Shares may contain a legend regarding affiliate status of the Investor, if applicable, provided that the Company will notify the Investor in advance of Closing if such a legend is to be placed on its Shares.</w:t>
      </w:r>
    </w:p>
    <w:p>
      <w:pPr>
        <w:spacing w:after="0" w:line="162"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Each Investor hereby acknowledges and agrees that (a) the Placement Agents are acting solely as Placement Agents in connection with the execution, delivery and performance of the Transaction Agreements and the issuance of the Preferred Shares to the Investor and neither the Placement Agents nor any of its Affiliates have acted as an underwriter or in any other capacity and are not and shall not be construed as a fiduciary or financial advisor for such Investor, the Company, Obsidian or any other Person or entity in connection with the execution, delivery and performance of the Transaction Agreements and the issuance and purchase of the Preferred Shares, (b) the Placement Agents have not made and do not make any representation or warranty, whether express or implied, of any kind or character, and the Placement Agents have not provided any advice or recommendation in connection with the execution, delivery and performance of the Transaction Agreements or with respect to the Preferred Shares, nor is such information or advice necessary or desired, (c) the Placement Agents will not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or Obsidian, and (d) the Placement Agents will not have any liability or obligation (including without limitation, for or with respect to any losses, claims, damages, obligations, penalties, judgments, awards, liabilities, costs, expenses or disbursements incurred by such Investor, the Company, Obsidian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bad faith. No disclosure or offering document has been prepared by the Placement Agents or any of their respective Affiliates in connection with the offer and sale of the Preferred Shares. Neither the Placement Agents nor any of its Affiliates have made or make any representation as to the quality or value of the Preferred Shares and the Placement Agents and its Affiliates may have acquired non-public information with respect to the Company or Obsidian which the Investor agrees need not be provided to it. On behalf of itself and its Affiliates, the Investor releases the Placement Agents in respect of any and all losses, claims, damages, liabilities, costs (including, without limitation, reasonable attorneys’ fees) or expenses related to the transactions contemplated by this Agreement and the purchase and sale of the Preferred Shares hereunder, except in each case for the Placement Agents’ gross negligence, willful misconduct or bad faith. Each Investor agrees not to commence any litigation or bring any claim against the Placement Agents in any court or any other forum which relates to, may arise out of, or is in connection with, the transactions contemplated by this Agreement and the purchase and sale of the Preferred Shares hereunder, except in each case for the Placement Agents’ gross negligence, willful misconduct or bad faith. This undertaking is given freely and after obtaining independent legal advice.</w:t>
      </w:r>
    </w:p>
    <w:p>
      <w:pPr>
        <w:spacing w:after="0" w:line="20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Each Investor acknowledges and agrees that the Investor is purchasing the Preferred Shares directly from the Company. Such Investor became aware of this offering of the Preferred Shares solely by means of direct contact from the Placement Agents or directly from Obsidian or the Company as a result of a pre-existing, substantive relationship with Obsidian,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Preferred Shares were offered to such Investor solely by direct contact between such Investor, on the one hand, and Obsidian, the Company, the Placement Agents and/or their respective representatives, on the other hand. Such Investor did not become aware of this offering of the Preferred Shares, nor were the Preferred Shares offered to such Investor, by any other means, and none of Obsidian, the Company, the Placement Agents and/or their respective representatives acted as investment advisor, broker or dealer to such Investor. Such Investor is not purchasing the Preferred Shares as a result of any advertising or, to its knowledge, general solicitation, within the meaning of the Securities Act.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H-20</w:t>
      </w:r>
    </w:p>
    <w:p>
      <w:pPr>
        <w:sectPr>
          <w:pgSz w:w="11900" w:h="16838" w:orient="portrait"/>
          <w:cols w:equalWidth="0" w:num="1">
            <w:col w:w="11120"/>
          </w:cols>
          <w:pgMar w:left="320" w:top="455" w:right="459" w:bottom="1440" w:gutter="0" w:footer="0" w:header="0"/>
        </w:sectPr>
      </w:pPr>
    </w:p>
    <w:bookmarkStart w:id="656" w:name="page657"/>
    <w:bookmarkEnd w:id="6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In making its decision to purchase the Preferred Shares, each Investor has relied solely upon independent investigation made by such Investor, and upon the representations, warranties and covenants of the Company set forth herein. Such Investor acknowledges and agrees that such Investor has received such information as such Investor deems necessary in order to make an investment decision with respect to the Preferred Shares, including, with respect to the Company and Obsidian. Without limiting the generality of the foregoing, each Investor acknowledges that copies of the 2026 SEC Reports are available on Edgar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Each Investor acknowledges and agrees that such Investors and such Investor’s professional advisor(s), if any, have had the opportunity to ask such questions, receive such answers and obtain such information from Obsidian and the Company regarding Obsidian, the Company, their respective businesses and the terms and conditions of the offering of the Preferred Shares as such Investor and such Investor’s professional advisor(s), if any, have deemed necessary to make an investment decision with respect to the Preferred Shares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Trading Activities</w:t>
      </w:r>
      <w:r>
        <w:rPr>
          <w:rFonts w:ascii="Times New Roman" w:cs="Times New Roman" w:eastAsia="Times New Roman" w:hAnsi="Times New Roman"/>
          <w:sz w:val="18"/>
          <w:szCs w:val="18"/>
          <w:color w:val="auto"/>
        </w:rPr>
        <w:t>. Other than consummating the transaction contemplated hereby, such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execution of this Agreement.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Preferred Shares covered by this Agreement and (ii) in the case of an Investor whose investment adviser utilized an information barrier with respect to the information regarding the transactions contemplated hereunder after first being contacted by the Company, Obsidian or such other Person representing the Company or Obsidian,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 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8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Regulation M</w:t>
      </w:r>
      <w:r>
        <w:rPr>
          <w:rFonts w:ascii="Times New Roman" w:cs="Times New Roman" w:eastAsia="Times New Roman" w:hAnsi="Times New Roman"/>
          <w:sz w:val="18"/>
          <w:szCs w:val="18"/>
          <w:color w:val="auto"/>
        </w:rPr>
        <w:t>. Such Investor is aware that the anti-manipulation rules of Regulation M under the Exchange Act may apply to sales of securities and other activities with respect to the Preferred Shares by the Investors.</w:t>
      </w:r>
    </w:p>
    <w:p>
      <w:pPr>
        <w:spacing w:after="0" w:line="162" w:lineRule="exact"/>
        <w:rPr>
          <w:sz w:val="20"/>
          <w:szCs w:val="20"/>
          <w:color w:val="auto"/>
        </w:rPr>
      </w:pPr>
    </w:p>
    <w:p>
      <w:pPr>
        <w:ind w:left="300" w:hanging="184"/>
        <w:spacing w:after="0"/>
        <w:tabs>
          <w:tab w:leader="none" w:pos="30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After the date hereof,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H-21</w:t>
      </w:r>
    </w:p>
    <w:p>
      <w:pPr>
        <w:sectPr>
          <w:pgSz w:w="11900" w:h="16838" w:orient="portrait"/>
          <w:cols w:equalWidth="0" w:num="1">
            <w:col w:w="11120"/>
          </w:cols>
          <w:pgMar w:left="320" w:top="455" w:right="459" w:bottom="1440" w:gutter="0" w:footer="0" w:header="0"/>
        </w:sectPr>
      </w:pPr>
    </w:p>
    <w:bookmarkStart w:id="657" w:name="page658"/>
    <w:bookmarkEnd w:id="6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20"/>
        <w:spacing w:after="0" w:line="256" w:lineRule="auto"/>
        <w:rPr>
          <w:sz w:val="20"/>
          <w:szCs w:val="20"/>
          <w:color w:val="auto"/>
        </w:rPr>
      </w:pPr>
      <w:r>
        <w:rPr>
          <w:rFonts w:ascii="Times New Roman" w:cs="Times New Roman" w:eastAsia="Times New Roman" w:hAnsi="Times New Roman"/>
          <w:sz w:val="18"/>
          <w:szCs w:val="18"/>
          <w:color w:val="auto"/>
        </w:rPr>
        <w:t xml:space="preserve">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are no longer accurate, and the Company agrees to promptly notify each Investor and the Placement Agents if any of the acknowledgments, understandings, agreements, representations and warranties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are no longer accurate.</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Prior to the Closing, the Company shall use reasonable best efforts to maintain the listing and trading of the Common Stock on the OTCQB Market and, in accordance therewith, will use reasonable best efforts to comply in all material respects with the Company’s reporting, filing and other obligations under the rules and regulations of the OTCQB Market. Parent shall also use its reasonable best efforts to take all steps necessary to cause the Exchange Shares to be approved for listing on one of the listing markets of the Nasdaq Stock Market LLC as promptly as possible and to comply in all material respects with Parent’s reporting, filing and other obligations under the rules and regulations of the Nasdaq Stock Market LLC. The Company agrees to use, and will cause Parent to use, commercially reasonable efforts to maintain the eligibility of the Exchange Shares for electronic transfer through an established clearing corporation, including, without limitation, by timely payment of fees to such clearing corporation in connection with such electronic transfer.</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Disclosure of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hanging="4"/>
        <w:spacing w:after="0" w:line="242" w:lineRule="auto"/>
        <w:tabs>
          <w:tab w:leader="none" w:pos="365" w:val="left"/>
        </w:tabs>
        <w:numPr>
          <w:ilvl w:val="0"/>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by 9:00 a.m., New York City time, on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Business Day immediately following the date 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this Agreement is executed between midnight and 9:00 a.m., New York City time on any Business Day, no later than 9:01 a.m. on the date hereof), issue a press release and ensure that the Company shall substantially contemporaneously file with the SEC a Current Report on Form 8-K (including all exhibits thereto, the “</w:t>
      </w:r>
      <w:r>
        <w:rPr>
          <w:rFonts w:ascii="Times New Roman" w:cs="Times New Roman" w:eastAsia="Times New Roman" w:hAnsi="Times New Roman"/>
          <w:sz w:val="17"/>
          <w:szCs w:val="17"/>
          <w:b w:val="1"/>
          <w:bCs w:val="1"/>
          <w:color w:val="auto"/>
        </w:rPr>
        <w:t>Disclosure Document</w:t>
      </w:r>
      <w:r>
        <w:rPr>
          <w:rFonts w:ascii="Times New Roman" w:cs="Times New Roman" w:eastAsia="Times New Roman" w:hAnsi="Times New Roman"/>
          <w:sz w:val="17"/>
          <w:szCs w:val="17"/>
          <w:color w:val="auto"/>
        </w:rPr>
        <w:t>” and the actual filing of such press release and/or Current Report on Form 8-K, the “</w:t>
      </w:r>
      <w:r>
        <w:rPr>
          <w:rFonts w:ascii="Times New Roman" w:cs="Times New Roman" w:eastAsia="Times New Roman" w:hAnsi="Times New Roman"/>
          <w:sz w:val="17"/>
          <w:szCs w:val="17"/>
          <w:b w:val="1"/>
          <w:bCs w:val="1"/>
          <w:color w:val="auto"/>
        </w:rPr>
        <w:t>Disclosure Time</w:t>
      </w:r>
      <w:r>
        <w:rPr>
          <w:rFonts w:ascii="Times New Roman" w:cs="Times New Roman" w:eastAsia="Times New Roman" w:hAnsi="Times New Roman"/>
          <w:sz w:val="17"/>
          <w:szCs w:val="17"/>
          <w:color w:val="auto"/>
        </w:rPr>
        <w:t>”) disclosing</w:t>
      </w:r>
    </w:p>
    <w:p>
      <w:pPr>
        <w:spacing w:after="0" w:line="1" w:lineRule="exact"/>
        <w:rPr>
          <w:rFonts w:ascii="Times New Roman" w:cs="Times New Roman" w:eastAsia="Times New Roman" w:hAnsi="Times New Roman"/>
          <w:sz w:val="17"/>
          <w:szCs w:val="17"/>
          <w:color w:val="auto"/>
        </w:rPr>
      </w:pPr>
    </w:p>
    <w:p>
      <w:pPr>
        <w:ind w:left="120" w:right="180" w:hanging="4"/>
        <w:spacing w:after="0" w:line="251" w:lineRule="auto"/>
        <w:tabs>
          <w:tab w:leader="none" w:pos="335"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terms of the transactions contemplated hereby and by the other Transaction Agreements and the Merger Agreement and attaching this Agreement, the other Transaction Agreements and the Merger Agreement as exhibits to such Disclosure Document, and (ii) all material non-public information concerning the Company, Obsidian,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Obsidian, their respective Subsidiaries or any of their respective officers, directors, employees or agents (including the Placement Agents). Without limiting the terms of the Registration Rights Agreement, from and after the issuance of the Disclosure Document, the Company shall not provide material non-public information to any Investor, unless otherwise specifically agreed in writing by such Investor prior to any such disclosure. Notwithstanding the foregoing, certain Investors may be in possession of additional confidential information, including certain non-public clinical updates, of Obsidian. Obsidian hereby agrees that it shall make public such confidential information by 5:00 p.m. EST on June 2, 2026. The Company and Obsidian understands and confirms that the Investors will rely on the foregoing representations in effecting securities transactions.</w:t>
      </w:r>
    </w:p>
    <w:p>
      <w:pPr>
        <w:spacing w:after="0" w:line="192" w:lineRule="exact"/>
        <w:rPr>
          <w:rFonts w:ascii="Times New Roman" w:cs="Times New Roman" w:eastAsia="Times New Roman" w:hAnsi="Times New Roman"/>
          <w:sz w:val="18"/>
          <w:szCs w:val="18"/>
          <w:color w:val="auto"/>
        </w:rPr>
      </w:pPr>
    </w:p>
    <w:p>
      <w:pPr>
        <w:ind w:left="120" w:right="300" w:hanging="4"/>
        <w:spacing w:after="0" w:line="269" w:lineRule="auto"/>
        <w:tabs>
          <w:tab w:leader="none" w:pos="375" w:val="left"/>
        </w:tabs>
        <w:numPr>
          <w:ilvl w:val="0"/>
          <w:numId w:val="5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the Company shall not disclose the name of any Investor or any of its Affiliates or advisors, or include the name of any Investor or any of its Affiliates or advisors in any marketing materials (whether or not made publicly available), press release, public announcement or filing with the SEC (other than any registration statement contemplated by the Merger Agreement or the Registration Rights Agreement) or any regulatory agency, without the prior written consent of such Investor, except (i) as required by the federal securities law in connection with (A) any registration statement contemplated by the Merger Agreement or the Registration Rights Agreement and</w:t>
      </w:r>
    </w:p>
    <w:p>
      <w:pPr>
        <w:spacing w:after="0" w:line="2" w:lineRule="exact"/>
        <w:rPr>
          <w:rFonts w:ascii="Times New Roman" w:cs="Times New Roman" w:eastAsia="Times New Roman" w:hAnsi="Times New Roman"/>
          <w:sz w:val="17"/>
          <w:szCs w:val="17"/>
          <w:color w:val="auto"/>
        </w:rPr>
      </w:pPr>
    </w:p>
    <w:p>
      <w:pPr>
        <w:ind w:left="120" w:right="16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the filing of final Transaction Agreements with the SEC or pursuant to other routine proceedings of regulatory authorities, or (ii) to the extent such disclosure is required by law, at the request of the staff of the SEC or regulatory agency or under the regulations of the OTCQB Market or Nasdaq, provided that the Company shall use commercially reasonable efforts to provide the</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H-22</w:t>
      </w:r>
    </w:p>
    <w:p>
      <w:pPr>
        <w:sectPr>
          <w:pgSz w:w="11900" w:h="16838" w:orient="portrait"/>
          <w:cols w:equalWidth="0" w:num="1">
            <w:col w:w="11120"/>
          </w:cols>
          <w:pgMar w:left="320" w:top="455" w:right="459" w:bottom="1440" w:gutter="0" w:footer="0" w:header="0"/>
        </w:sectPr>
      </w:pPr>
    </w:p>
    <w:bookmarkStart w:id="658" w:name="page659"/>
    <w:bookmarkEnd w:id="6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Investors with prior written notice of and a reasonable opportunity to review such disclosure permitted under foregoing clauses (i) and (ii).</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and shall use its reasonable best efforts to ensure that no Affiliate of the Company shall, sell, offer for sale or solicit offers to buy or otherwise negotiate in respect of any security (as defined in Section 2 of the Securities Act) that will be integrated with the offer or sale of the Preferred Shares in a manner that would require the registration under the Securities Act of the sale of the Preferred Shares to the Investors, or that will be integrated with the offer or sale of the Preferred Shares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87" w:lineRule="exact"/>
        <w:rPr>
          <w:sz w:val="20"/>
          <w:szCs w:val="20"/>
          <w:color w:val="auto"/>
        </w:rPr>
      </w:pPr>
    </w:p>
    <w:p>
      <w:pPr>
        <w:ind w:left="120" w:right="20"/>
        <w:spacing w:after="0" w:line="270"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Removal of Legends</w:t>
      </w:r>
      <w:r>
        <w:rPr>
          <w:rFonts w:ascii="Times New Roman" w:cs="Times New Roman" w:eastAsia="Times New Roman" w:hAnsi="Times New Roman"/>
          <w:sz w:val="17"/>
          <w:szCs w:val="17"/>
          <w:color w:val="auto"/>
        </w:rPr>
        <w:t>. Once the Resale Registration Statement (as defined in the Registration Rights Agreement) covering the resale of the Exchange Shares is declared or becomes effective, the Company shall instruct its Transfer Agent to remove all restrictive legends (other than, if applicable, an “affiliate” legend) within five (5) business days from such date, including the legend set forth in Section 4.10 above (or, in the event that Exchange Shares are issued after the Merger Registration Statement is declared effective, the Exchange Shares shall be issued without restrictive legends). Further,</w:t>
      </w:r>
    </w:p>
    <w:p>
      <w:pPr>
        <w:spacing w:after="0" w:line="3" w:lineRule="exact"/>
        <w:rPr>
          <w:sz w:val="20"/>
          <w:szCs w:val="20"/>
          <w:color w:val="auto"/>
        </w:rPr>
      </w:pPr>
    </w:p>
    <w:p>
      <w:pPr>
        <w:ind w:left="120" w:right="20" w:hanging="4"/>
        <w:spacing w:after="0" w:line="251" w:lineRule="auto"/>
        <w:tabs>
          <w:tab w:leader="none" w:pos="335"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a registration statement (including the Registration Statement) covering the resale of such security is effective under the Securities Act, (ii) in connection with any sale, assignment, transfer or other disposition of Exchange Shares by an Investor pursuant to Rule 144 or pursuant to any other exemption under the Securities Act such that the purchaser acquires freely tradable shares, (iii) if the Exchange Shares are eligible for sale under Rule 144 without the need to comply with the current information requirement contained in Rule 144(c), or (iv) if such legend is not required under applicable requirements of the Securities Act (including judicial interpretations and pronouncements issued by the staff of the Commission), if requested by the Investor by notice to the Company, the Company shall request its transfer agent to remove any restrictive legends related to the book entry account holding such shares and make a new, unlegended entry for such book entry shares without restrictive legends as soon as reasonably practicable (but no later than five (5) business days) following any such request therefor from the Investor, provided that the Company has timely received from the Investor customary representations and other documentation reasonably acceptable to the Company in connection therewith. The Company shall cause its counsel to issue a legal opinion to its transfer agent or the Investor promptly if required by the transfer Agent to effect the removal of the legend hereunder, or if requested by an Investor, respectively. The Company shall be responsible for the fees of its transfer agent and its legal counsel associated with such legend removal.</w:t>
      </w:r>
    </w:p>
    <w:p>
      <w:pPr>
        <w:spacing w:after="0" w:line="192"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40"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w:t>
      </w:r>
    </w:p>
    <w:p>
      <w:pPr>
        <w:spacing w:after="0" w:line="176"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Conflicting Agreements</w:t>
      </w:r>
      <w:r>
        <w:rPr>
          <w:rFonts w:ascii="Times New Roman" w:cs="Times New Roman" w:eastAsia="Times New Roman" w:hAnsi="Times New Roman"/>
          <w:sz w:val="18"/>
          <w:szCs w:val="18"/>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Reporting Status</w:t>
      </w:r>
      <w:r>
        <w:rPr>
          <w:rFonts w:ascii="Times New Roman" w:cs="Times New Roman" w:eastAsia="Times New Roman" w:hAnsi="Times New Roman"/>
          <w:sz w:val="18"/>
          <w:szCs w:val="18"/>
          <w:color w:val="auto"/>
        </w:rPr>
        <w:t>. The Company shall timely file all reports required to be filed with the SEC pursuant to the Exchange Act, and the Company shall not terminate its status as an issuer required to file reports under the Exchange Act even if the Exchange Act or the rules and regulations thereunder would otherwise permit such termination.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H-23</w:t>
      </w:r>
    </w:p>
    <w:p>
      <w:pPr>
        <w:sectPr>
          <w:pgSz w:w="11900" w:h="16838" w:orient="portrait"/>
          <w:cols w:equalWidth="0" w:num="1">
            <w:col w:w="11120"/>
          </w:cols>
          <w:pgMar w:left="320" w:top="455" w:right="459" w:bottom="1440" w:gutter="0" w:footer="0" w:header="0"/>
        </w:sectPr>
      </w:pPr>
    </w:p>
    <w:bookmarkStart w:id="659" w:name="page660"/>
    <w:bookmarkEnd w:id="6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hanging="4"/>
        <w:spacing w:after="0" w:line="252" w:lineRule="auto"/>
        <w:tabs>
          <w:tab w:leader="none" w:pos="365"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hold harmless each Investor and its Affiliates and each Person who controls such Investor (within the meaning of Section 15 of the Securities Act and Section 20 of the Exchange Act), and their respective directors, officers, trustees, members, managers, employees, investment advisers and agents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who is not an Affiliate of the Indemnified Person, whether directly or in a derivative capacity, with respect to the transactions contemplated by the Transaction Agreements (unless such action, claim or proceeding is based upon a breach of such Investor’s representations, warranties or covenants under the Transaction Agreements), and in each case will reimburse any such Indemnified Person for all such amounts as they are incurred by such Indemnified Person. For the avoidance of doubt, the indemnification obligations of the Company set forth in this Section 5.10 shall apply whether or not the transactions contemplated by this Agreement are consummated, provided that the applicable breach or action giving rise to indemnification occurred prior to or in connection with the Closing.</w:t>
      </w:r>
    </w:p>
    <w:p>
      <w:pPr>
        <w:spacing w:after="0" w:line="197" w:lineRule="exact"/>
        <w:rPr>
          <w:rFonts w:ascii="Times New Roman" w:cs="Times New Roman" w:eastAsia="Times New Roman" w:hAnsi="Times New Roman"/>
          <w:sz w:val="18"/>
          <w:szCs w:val="18"/>
          <w:color w:val="auto"/>
        </w:rPr>
      </w:pPr>
    </w:p>
    <w:p>
      <w:pPr>
        <w:ind w:left="120" w:hanging="4"/>
        <w:spacing w:after="0" w:line="251" w:lineRule="auto"/>
        <w:tabs>
          <w:tab w:leader="none" w:pos="375"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w:t>
      </w:r>
    </w:p>
    <w:p>
      <w:pPr>
        <w:spacing w:after="0" w:line="11" w:lineRule="exact"/>
        <w:rPr>
          <w:rFonts w:ascii="Times New Roman" w:cs="Times New Roman" w:eastAsia="Times New Roman" w:hAnsi="Times New Roman"/>
          <w:sz w:val="18"/>
          <w:szCs w:val="18"/>
          <w:color w:val="auto"/>
        </w:rPr>
      </w:pPr>
    </w:p>
    <w:p>
      <w:pPr>
        <w:ind w:left="120" w:right="80" w:hanging="4"/>
        <w:spacing w:after="0" w:line="253" w:lineRule="auto"/>
        <w:tabs>
          <w:tab w:leader="none" w:pos="385"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the Conversion Shares. Prior to the Closing,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H-24</w:t>
      </w:r>
    </w:p>
    <w:p>
      <w:pPr>
        <w:sectPr>
          <w:pgSz w:w="11900" w:h="16838" w:orient="portrait"/>
          <w:cols w:equalWidth="0" w:num="1">
            <w:col w:w="11100"/>
          </w:cols>
          <w:pgMar w:left="320" w:top="455" w:right="479" w:bottom="1440" w:gutter="0" w:footer="0" w:header="0"/>
        </w:sectPr>
      </w:pPr>
    </w:p>
    <w:bookmarkStart w:id="660" w:name="page661"/>
    <w:bookmarkEnd w:id="6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Parent shall reserve and shall thereafter keep at all times, free of preemptive rights, a sufficient number of shares of common stock for purposes of enabling Parent to issue the Exchange Shares.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No Amendment or Waiver of Merger Agreement Terms</w:t>
      </w:r>
      <w:r>
        <w:rPr>
          <w:rFonts w:ascii="Times New Roman" w:cs="Times New Roman" w:eastAsia="Times New Roman" w:hAnsi="Times New Roman"/>
          <w:sz w:val="18"/>
          <w:szCs w:val="18"/>
          <w:color w:val="auto"/>
        </w:rPr>
        <w:t>. The Company shall not, between the date hereof and the Closing Date, and shall not permit any of its Subsidiaries to, amend, modify, supplement, terminate or waive (or fail to contest an action regarding a breach of or agree to amend, modify, supplement, terminate or waive) any provision of the Merger Agreement or any other Transaction Agreement in a manner that would reasonably be expected to materially and adversely affect the benefits that an Investor would reasonably expect to receive pursuant to this Agreement without the prior written consent of a Majority in Interest of the Purchasers, it being agreed that any amendment or modification to the definition of “Exchange Ratio” shall be deemed to materially and adversely affect the benefits that the Investors would reasonably expect to receive under this Agreement. In seeking any such consent, the Company shall not disclose any material nonpublic information pertaining to the Company, Parent, Obsidian or their respective operations.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Equal Treatment of Investors</w:t>
      </w:r>
      <w:r>
        <w:rPr>
          <w:rFonts w:ascii="Times New Roman" w:cs="Times New Roman" w:eastAsia="Times New Roman" w:hAnsi="Times New Roman"/>
          <w:sz w:val="18"/>
          <w:szCs w:val="18"/>
          <w:color w:val="auto"/>
        </w:rPr>
        <w:t>. No consideration shall be offered or paid to any Investor to amend or consent to a waiver or modification of any provision of this Agreement unless the same consideration is also offered to all of the Investors. The Company further confirms that there are no side letters or other agreements giving any Investor any additional rights or benefits other than as set forth in the Transaction Agreements (other than confidentiality, nondisclosure, or similar agreements). The Company shall not be entitled to redeem or repurchase any of the Preferred Shares unless such redemption or repurchase is on a pro-rata basis amongst the Investors. For clarification purposes, this provision constitutes a separate right granted to each Investor by the Company and negotiated separately by each Investor and shall not in any way be construed as the Investors acting in concert or as a group with respect to the purchase, disposition or voting of shares of Common Stock or otherwise.</w:t>
      </w:r>
    </w:p>
    <w:p>
      <w:pPr>
        <w:spacing w:after="0" w:line="189" w:lineRule="exact"/>
        <w:rPr>
          <w:sz w:val="20"/>
          <w:szCs w:val="20"/>
          <w:color w:val="auto"/>
        </w:rPr>
      </w:pPr>
    </w:p>
    <w:p>
      <w:pPr>
        <w:ind w:left="120" w:right="300"/>
        <w:spacing w:after="0" w:line="276" w:lineRule="auto"/>
        <w:rPr>
          <w:sz w:val="20"/>
          <w:szCs w:val="20"/>
          <w:color w:val="auto"/>
        </w:rPr>
      </w:pPr>
      <w:r>
        <w:rPr>
          <w:rFonts w:ascii="Times New Roman" w:cs="Times New Roman" w:eastAsia="Times New Roman" w:hAnsi="Times New Roman"/>
          <w:sz w:val="17"/>
          <w:szCs w:val="17"/>
          <w:color w:val="auto"/>
        </w:rPr>
        <w:t xml:space="preserve">5.17 </w:t>
      </w:r>
      <w:r>
        <w:rPr>
          <w:rFonts w:ascii="Times New Roman" w:cs="Times New Roman" w:eastAsia="Times New Roman" w:hAnsi="Times New Roman"/>
          <w:sz w:val="17"/>
          <w:szCs w:val="17"/>
          <w:u w:val="single" w:color="auto"/>
          <w:color w:val="auto"/>
        </w:rPr>
        <w:t>Subsequent Equity Sales</w:t>
      </w:r>
      <w:r>
        <w:rPr>
          <w:rFonts w:ascii="Times New Roman" w:cs="Times New Roman" w:eastAsia="Times New Roman" w:hAnsi="Times New Roman"/>
          <w:sz w:val="17"/>
          <w:szCs w:val="17"/>
          <w:color w:val="auto"/>
        </w:rPr>
        <w:t>. From the date of this Agreement until the later of (a) ninety (90) days after the Closing Date and (b) the Business Day immediately following the effective date of the Registration Statement filed pursuant to the Registration Rights Agreement , the Company shall not</w:t>
      </w:r>
    </w:p>
    <w:p>
      <w:pPr>
        <w:spacing w:after="0" w:line="1" w:lineRule="exact"/>
        <w:rPr>
          <w:sz w:val="20"/>
          <w:szCs w:val="20"/>
          <w:color w:val="auto"/>
        </w:rPr>
      </w:pPr>
    </w:p>
    <w:p>
      <w:pPr>
        <w:ind w:left="120" w:right="40" w:hanging="4"/>
        <w:spacing w:after="0" w:line="265" w:lineRule="auto"/>
        <w:tabs>
          <w:tab w:leader="none" w:pos="415"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contemplated by the Merger Agreement, issue shares of Common Stock, Common Stock Equivalents, Parent Common Stock (as defined in the Merger Agreement), or any securities of Parent that would entitle the holder thereof to acquire at any time Parent Common Stock, including, without limitation, any debt, preferred stock, rights, options, warrants or other instrument that is at any time convertible into or exchangeable for, or otherwise entitles the holder thereof to receive, Parent Common Stock (collectively, the “Parent Common Stock Equivalents”), (B) except as contemplated by the Merger Agreement, effect a reverse stock split, recapitalization, share consolidation, reclassification or similar transaction affecting the outstanding Common Stock or (C) file with the SEC a registration statement under the Securities Act relating to any shares of Common Stock, Common Stock Equivalents, Parent Common Stock or Parent Common Stock Equivalents, except pursuant to the terms of the Registration Rights Agreement or as contemplated by the Merger Agreement. Notwithstanding the foregoing, the provisions of this Section 5.17 shall not apply to (i) the issuance of the Shares hereunder, the Conversion Shares or the Exchange Shares, (ii) the issuance of Common Stock or Common Stock Equivalents upon the conversion, exercise or vesting of any securities of the Company outstanding on the date of this Agreement or outstanding pursuant to clause (iii) below, (iii) the issuance of any Common Stock or Common Stock Equivalents pursuant to any Company stock-based compensation plans, or</w:t>
      </w:r>
    </w:p>
    <w:p>
      <w:pPr>
        <w:spacing w:after="0" w:line="1" w:lineRule="exact"/>
        <w:rPr>
          <w:rFonts w:ascii="Times New Roman" w:cs="Times New Roman" w:eastAsia="Times New Roman" w:hAnsi="Times New Roman"/>
          <w:sz w:val="17"/>
          <w:szCs w:val="17"/>
          <w:color w:val="auto"/>
        </w:rPr>
      </w:pPr>
    </w:p>
    <w:p>
      <w:pPr>
        <w:ind w:left="120" w:right="2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(iv) the filing of a registration statement on Form S-8 under the Securities Act to register the offer and sale of securities on an equity incentive plan or employee stock purchase plan, including as required pursuant to the Merger Agreement.</w:t>
      </w:r>
    </w:p>
    <w:p>
      <w:pPr>
        <w:spacing w:after="0" w:line="18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Blue Sky</w:t>
      </w:r>
      <w:r>
        <w:rPr>
          <w:rFonts w:ascii="Times New Roman" w:cs="Times New Roman" w:eastAsia="Times New Roman" w:hAnsi="Times New Roman"/>
          <w:sz w:val="18"/>
          <w:szCs w:val="18"/>
          <w:color w:val="auto"/>
        </w:rPr>
        <w:t>. The Company, on or before the Closing Date, shall take such action as the Company shall reasonably determine is necessary in order to obtain an exemption for or to qualify the Preferred Shares,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H-25</w:t>
      </w:r>
    </w:p>
    <w:p>
      <w:pPr>
        <w:sectPr>
          <w:pgSz w:w="11900" w:h="16838" w:orient="portrait"/>
          <w:cols w:equalWidth="0" w:num="1">
            <w:col w:w="11120"/>
          </w:cols>
          <w:pgMar w:left="320" w:top="455" w:right="459" w:bottom="1440" w:gutter="0" w:footer="0" w:header="0"/>
        </w:sectPr>
      </w:pPr>
    </w:p>
    <w:bookmarkStart w:id="661" w:name="page662"/>
    <w:bookmarkEnd w:id="6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Conversion Shares and Exchange Shares for sale and/or issuance to the Investors under applicable securities or “Blue Sky” laws of the states of the United States (or to obtain an exemption from such qualification) and shall provide evidence of such actions promptly upon the written request of any Investors.</w:t>
      </w:r>
    </w:p>
    <w:p>
      <w:pPr>
        <w:spacing w:after="0" w:line="176" w:lineRule="exact"/>
        <w:rPr>
          <w:sz w:val="20"/>
          <w:szCs w:val="20"/>
          <w:color w:val="auto"/>
        </w:rPr>
      </w:pPr>
    </w:p>
    <w:p>
      <w:pPr>
        <w:ind w:left="300" w:hanging="184"/>
        <w:spacing w:after="0"/>
        <w:tabs>
          <w:tab w:leader="none" w:pos="30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Closing.</w:t>
      </w:r>
    </w:p>
    <w:p>
      <w:pPr>
        <w:spacing w:after="0" w:line="225"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Conditions to the Obligation of the Investors</w:t>
      </w:r>
      <w:r>
        <w:rPr>
          <w:rFonts w:ascii="Times New Roman" w:cs="Times New Roman" w:eastAsia="Times New Roman" w:hAnsi="Times New Roman"/>
          <w:sz w:val="18"/>
          <w:szCs w:val="18"/>
          <w:color w:val="auto"/>
        </w:rPr>
        <w:t>. The several obligations of each Investor to consummate the transactions to be consummated at the Closing, and to purchase and pay for the Preferred Shares being purchased by it at the Closing pursuant to this Agreement, are subject to the satisfaction or waiver in writing (by each such investor) of the following conditions precedent:</w:t>
      </w:r>
    </w:p>
    <w:p>
      <w:pPr>
        <w:spacing w:after="0" w:line="176" w:lineRule="exact"/>
        <w:rPr>
          <w:sz w:val="20"/>
          <w:szCs w:val="20"/>
          <w:color w:val="auto"/>
        </w:rPr>
      </w:pPr>
    </w:p>
    <w:p>
      <w:pPr>
        <w:ind w:left="120" w:right="40" w:hanging="4"/>
        <w:spacing w:after="0" w:line="255" w:lineRule="auto"/>
        <w:tabs>
          <w:tab w:leader="none" w:pos="364"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those representations and warranties qualified by materiality or Material Adverse Effect, which shall be true and correct in all respects and except to the extent any such representation or warranty expressly speaks as of an earlier date, in which case such representation or warranty shall be true and correct in all material respects as of such earlier date.</w:t>
      </w:r>
    </w:p>
    <w:p>
      <w:pPr>
        <w:spacing w:after="0" w:line="188" w:lineRule="exact"/>
        <w:rPr>
          <w:rFonts w:ascii="Times New Roman" w:cs="Times New Roman" w:eastAsia="Times New Roman" w:hAnsi="Times New Roman"/>
          <w:sz w:val="18"/>
          <w:szCs w:val="18"/>
          <w:color w:val="auto"/>
        </w:rPr>
      </w:pPr>
    </w:p>
    <w:p>
      <w:pPr>
        <w:ind w:left="120" w:right="40" w:hanging="4"/>
        <w:spacing w:after="0" w:line="282" w:lineRule="auto"/>
        <w:tabs>
          <w:tab w:leader="none" w:pos="37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The Company shall have performed in all material respects the obligations and conditions herein required to be performed or observed by the Company on or prior to the Closing Date.</w:t>
      </w:r>
    </w:p>
    <w:p>
      <w:pPr>
        <w:spacing w:after="0" w:line="161" w:lineRule="exact"/>
        <w:rPr>
          <w:rFonts w:ascii="Times New Roman" w:cs="Times New Roman" w:eastAsia="Times New Roman" w:hAnsi="Times New Roman"/>
          <w:sz w:val="18"/>
          <w:szCs w:val="18"/>
          <w:color w:val="auto"/>
        </w:rPr>
      </w:pPr>
    </w:p>
    <w:p>
      <w:pPr>
        <w:ind w:left="120" w:right="980" w:hanging="4"/>
        <w:spacing w:after="0" w:line="282" w:lineRule="auto"/>
        <w:tabs>
          <w:tab w:leader="none" w:pos="364"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The purchase of and payment for the Preferred Shares by each Investor shall not be prohibited or enjoined by any law or governmental or court order or regulation and no such prohibition shall have been threatened in writing.</w:t>
      </w:r>
    </w:p>
    <w:p>
      <w:pPr>
        <w:spacing w:after="0" w:line="161" w:lineRule="exact"/>
        <w:rPr>
          <w:rFonts w:ascii="Times New Roman" w:cs="Times New Roman" w:eastAsia="Times New Roman" w:hAnsi="Times New Roman"/>
          <w:sz w:val="18"/>
          <w:szCs w:val="18"/>
          <w:color w:val="auto"/>
        </w:rPr>
      </w:pPr>
    </w:p>
    <w:p>
      <w:pPr>
        <w:ind w:left="120" w:right="160" w:hanging="4"/>
        <w:spacing w:after="0" w:line="282" w:lineRule="auto"/>
        <w:tabs>
          <w:tab w:leader="none" w:pos="37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The Company shall have obtained any and all consents, permits, approvals, registrations and waivers necessary for the consummation of the purchase and sale of the Preferred Shares, all of which shall be in full force and effect.</w:t>
      </w:r>
    </w:p>
    <w:p>
      <w:pPr>
        <w:spacing w:after="0" w:line="161" w:lineRule="exact"/>
        <w:rPr>
          <w:rFonts w:ascii="Times New Roman" w:cs="Times New Roman" w:eastAsia="Times New Roman" w:hAnsi="Times New Roman"/>
          <w:sz w:val="18"/>
          <w:szCs w:val="18"/>
          <w:color w:val="auto"/>
        </w:rPr>
      </w:pPr>
    </w:p>
    <w:p>
      <w:pPr>
        <w:ind w:left="120" w:right="140" w:hanging="4"/>
        <w:spacing w:after="0" w:line="282" w:lineRule="auto"/>
        <w:tabs>
          <w:tab w:leader="none" w:pos="364"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have furnished all required materials to the Transfer Agent to reflect the issuance of the Preferred Shares at the Closing.</w:t>
      </w:r>
    </w:p>
    <w:p>
      <w:pPr>
        <w:spacing w:after="0" w:line="161" w:lineRule="exact"/>
        <w:rPr>
          <w:rFonts w:ascii="Times New Roman" w:cs="Times New Roman" w:eastAsia="Times New Roman" w:hAnsi="Times New Roman"/>
          <w:sz w:val="18"/>
          <w:szCs w:val="18"/>
          <w:color w:val="auto"/>
        </w:rPr>
      </w:pPr>
    </w:p>
    <w:p>
      <w:pPr>
        <w:ind w:left="120" w:right="380" w:hanging="4"/>
        <w:spacing w:after="0" w:line="282" w:lineRule="auto"/>
        <w:tabs>
          <w:tab w:leader="none" w:pos="34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Since the date hereof, no event or series of events shall have occurred that has had or would reasonably be expected to have a Material Adverse Effect, an Obsidian Material Adverse Effect or a Galera Material Adverse Effect (each, as defined in the Merger Agreement).</w:t>
      </w:r>
    </w:p>
    <w:p>
      <w:pPr>
        <w:spacing w:after="0" w:line="161" w:lineRule="exact"/>
        <w:rPr>
          <w:rFonts w:ascii="Times New Roman" w:cs="Times New Roman" w:eastAsia="Times New Roman" w:hAnsi="Times New Roman"/>
          <w:sz w:val="18"/>
          <w:szCs w:val="18"/>
          <w:color w:val="auto"/>
        </w:rPr>
      </w:pPr>
    </w:p>
    <w:p>
      <w:pPr>
        <w:ind w:left="120" w:hanging="4"/>
        <w:spacing w:after="0" w:line="266" w:lineRule="auto"/>
        <w:tabs>
          <w:tab w:leader="none" w:pos="37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Company Counsel</w:t>
      </w:r>
      <w:r>
        <w:rPr>
          <w:rFonts w:ascii="Times New Roman" w:cs="Times New Roman" w:eastAsia="Times New Roman" w:hAnsi="Times New Roman"/>
          <w:sz w:val="18"/>
          <w:szCs w:val="18"/>
          <w:color w:val="auto"/>
        </w:rPr>
        <w:t>. The Company shall have delivered to the Investors and the Placement Agents the opinion of Sidley Austin LLP, dated as of the Closing Date, in customary form and substance to be reasonably agreed upon with the Placement Agents and a Majority in Interest of the Purchasers and addressing such legal matters as the Placement Agents and a Majority in Interest of the Purchasers and the Company reasonably agree.</w:t>
      </w:r>
    </w:p>
    <w:p>
      <w:pPr>
        <w:spacing w:after="0" w:line="175" w:lineRule="exact"/>
        <w:rPr>
          <w:rFonts w:ascii="Times New Roman" w:cs="Times New Roman" w:eastAsia="Times New Roman" w:hAnsi="Times New Roman"/>
          <w:sz w:val="18"/>
          <w:szCs w:val="18"/>
          <w:color w:val="auto"/>
        </w:rPr>
      </w:pPr>
    </w:p>
    <w:p>
      <w:pPr>
        <w:ind w:left="120" w:right="200" w:hanging="4"/>
        <w:spacing w:after="0" w:line="261" w:lineRule="auto"/>
        <w:tabs>
          <w:tab w:leader="none" w:pos="37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An authorized officer of the Company shall have delivered to the Investors at the Closing Date a certificate, in form and substance reasonably acceptable to a Majority in Interest of the Purchasers, certifying that the conditions specified in </w:t>
      </w:r>
      <w:r>
        <w:rPr>
          <w:rFonts w:ascii="Times New Roman" w:cs="Times New Roman" w:eastAsia="Times New Roman" w:hAnsi="Times New Roman"/>
          <w:sz w:val="18"/>
          <w:szCs w:val="18"/>
          <w:u w:val="single" w:color="auto"/>
          <w:color w:val="auto"/>
        </w:rPr>
        <w:t>Sections 6.1(a)</w:t>
      </w:r>
      <w:r>
        <w:rPr>
          <w:rFonts w:ascii="Times New Roman" w:cs="Times New Roman" w:eastAsia="Times New Roman" w:hAnsi="Times New Roman"/>
          <w:sz w:val="18"/>
          <w:szCs w:val="18"/>
          <w:color w:val="auto"/>
        </w:rPr>
        <w:t xml:space="preserve"> (Representations and Warranties), </w:t>
      </w:r>
      <w:r>
        <w:rPr>
          <w:rFonts w:ascii="Times New Roman" w:cs="Times New Roman" w:eastAsia="Times New Roman" w:hAnsi="Times New Roman"/>
          <w:sz w:val="18"/>
          <w:szCs w:val="18"/>
          <w:u w:val="single" w:color="auto"/>
          <w:color w:val="auto"/>
        </w:rPr>
        <w:t>6.1(b)</w:t>
      </w:r>
      <w:r>
        <w:rPr>
          <w:rFonts w:ascii="Times New Roman" w:cs="Times New Roman" w:eastAsia="Times New Roman" w:hAnsi="Times New Roman"/>
          <w:sz w:val="18"/>
          <w:szCs w:val="18"/>
          <w:color w:val="auto"/>
        </w:rPr>
        <w:t xml:space="preserve"> (Performance), </w:t>
      </w:r>
      <w:r>
        <w:rPr>
          <w:rFonts w:ascii="Times New Roman" w:cs="Times New Roman" w:eastAsia="Times New Roman" w:hAnsi="Times New Roman"/>
          <w:sz w:val="18"/>
          <w:szCs w:val="18"/>
          <w:u w:val="single" w:color="auto"/>
          <w:color w:val="auto"/>
        </w:rPr>
        <w:t>6.1(c)</w:t>
      </w:r>
      <w:r>
        <w:rPr>
          <w:rFonts w:ascii="Times New Roman" w:cs="Times New Roman" w:eastAsia="Times New Roman" w:hAnsi="Times New Roman"/>
          <w:sz w:val="18"/>
          <w:szCs w:val="18"/>
          <w:color w:val="auto"/>
        </w:rPr>
        <w:t xml:space="preserve"> (No Injunction), </w:t>
      </w:r>
      <w:r>
        <w:rPr>
          <w:rFonts w:ascii="Times New Roman" w:cs="Times New Roman" w:eastAsia="Times New Roman" w:hAnsi="Times New Roman"/>
          <w:sz w:val="18"/>
          <w:szCs w:val="18"/>
          <w:u w:val="single" w:color="auto"/>
          <w:color w:val="auto"/>
        </w:rPr>
        <w:t>6.1(d)</w:t>
      </w:r>
      <w:r>
        <w:rPr>
          <w:rFonts w:ascii="Times New Roman" w:cs="Times New Roman" w:eastAsia="Times New Roman" w:hAnsi="Times New Roman"/>
          <w:sz w:val="18"/>
          <w:szCs w:val="18"/>
          <w:color w:val="auto"/>
        </w:rPr>
        <w:t xml:space="preserve"> (Consents), </w:t>
      </w:r>
      <w:r>
        <w:rPr>
          <w:rFonts w:ascii="Times New Roman" w:cs="Times New Roman" w:eastAsia="Times New Roman" w:hAnsi="Times New Roman"/>
          <w:sz w:val="18"/>
          <w:szCs w:val="18"/>
          <w:u w:val="single" w:color="auto"/>
          <w:color w:val="auto"/>
        </w:rPr>
        <w:t>6.1(f)</w:t>
      </w:r>
      <w:r>
        <w:rPr>
          <w:rFonts w:ascii="Times New Roman" w:cs="Times New Roman" w:eastAsia="Times New Roman" w:hAnsi="Times New Roman"/>
          <w:sz w:val="18"/>
          <w:szCs w:val="18"/>
          <w:color w:val="auto"/>
        </w:rPr>
        <w:t xml:space="preserve"> (Adverse Changes), </w:t>
      </w:r>
      <w:r>
        <w:rPr>
          <w:rFonts w:ascii="Times New Roman" w:cs="Times New Roman" w:eastAsia="Times New Roman" w:hAnsi="Times New Roman"/>
          <w:sz w:val="18"/>
          <w:szCs w:val="18"/>
          <w:u w:val="single" w:color="auto"/>
          <w:color w:val="auto"/>
        </w:rPr>
        <w:t>6.1(k)</w:t>
      </w:r>
      <w:r>
        <w:rPr>
          <w:rFonts w:ascii="Times New Roman" w:cs="Times New Roman" w:eastAsia="Times New Roman" w:hAnsi="Times New Roman"/>
          <w:sz w:val="18"/>
          <w:szCs w:val="18"/>
          <w:color w:val="auto"/>
        </w:rPr>
        <w:t xml:space="preserve"> (Listing Requirements), </w:t>
      </w:r>
      <w:r>
        <w:rPr>
          <w:rFonts w:ascii="Times New Roman" w:cs="Times New Roman" w:eastAsia="Times New Roman" w:hAnsi="Times New Roman"/>
          <w:sz w:val="18"/>
          <w:szCs w:val="18"/>
          <w:u w:val="single" w:color="auto"/>
          <w:color w:val="auto"/>
        </w:rPr>
        <w:t>6.1(l)</w:t>
      </w:r>
      <w:r>
        <w:rPr>
          <w:rFonts w:ascii="Times New Roman" w:cs="Times New Roman" w:eastAsia="Times New Roman" w:hAnsi="Times New Roman"/>
          <w:sz w:val="18"/>
          <w:szCs w:val="18"/>
          <w:color w:val="auto"/>
        </w:rPr>
        <w:t xml:space="preserve"> (Minimum Financing Amount), </w:t>
      </w:r>
      <w:r>
        <w:rPr>
          <w:rFonts w:ascii="Times New Roman" w:cs="Times New Roman" w:eastAsia="Times New Roman" w:hAnsi="Times New Roman"/>
          <w:sz w:val="18"/>
          <w:szCs w:val="18"/>
          <w:u w:val="single" w:color="auto"/>
          <w:color w:val="auto"/>
        </w:rPr>
        <w:t>6.1(m)</w:t>
      </w:r>
      <w:r>
        <w:rPr>
          <w:rFonts w:ascii="Times New Roman" w:cs="Times New Roman" w:eastAsia="Times New Roman" w:hAnsi="Times New Roman"/>
          <w:sz w:val="18"/>
          <w:szCs w:val="18"/>
          <w:color w:val="auto"/>
        </w:rPr>
        <w:t xml:space="preserve"> (Mergers) and </w:t>
      </w:r>
      <w:r>
        <w:rPr>
          <w:rFonts w:ascii="Times New Roman" w:cs="Times New Roman" w:eastAsia="Times New Roman" w:hAnsi="Times New Roman"/>
          <w:sz w:val="18"/>
          <w:szCs w:val="18"/>
          <w:u w:val="single" w:color="auto"/>
          <w:color w:val="auto"/>
        </w:rPr>
        <w:t>6.1(n)</w:t>
      </w:r>
      <w:r>
        <w:rPr>
          <w:rFonts w:ascii="Times New Roman" w:cs="Times New Roman" w:eastAsia="Times New Roman" w:hAnsi="Times New Roman"/>
          <w:sz w:val="18"/>
          <w:szCs w:val="18"/>
          <w:color w:val="auto"/>
        </w:rPr>
        <w:t xml:space="preserve"> (Certificate of Designation) of this Agreement have been fulfilled.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H-26</w:t>
      </w:r>
    </w:p>
    <w:p>
      <w:pPr>
        <w:sectPr>
          <w:pgSz w:w="11900" w:h="16838" w:orient="portrait"/>
          <w:cols w:equalWidth="0" w:num="1">
            <w:col w:w="11100"/>
          </w:cols>
          <w:pgMar w:left="320" w:top="455" w:right="479" w:bottom="1440" w:gutter="0" w:footer="0" w:header="0"/>
        </w:sectPr>
      </w:pPr>
    </w:p>
    <w:bookmarkStart w:id="662" w:name="page663"/>
    <w:bookmarkEnd w:id="6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hanging="4"/>
        <w:spacing w:after="0" w:line="261" w:lineRule="auto"/>
        <w:tabs>
          <w:tab w:leader="none" w:pos="33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 The Secretary of the Company shall have delivered to the Investors at the Closing Date a certificate certifying (i) the Certificate of Incorporation (including the Certificate of Designation), (ii) the Bylaws, and (iii) resolutions of the Company’s Board of Directors (or an authorized committee thereof) approving this Agreement, the other Transaction Agreements, the transactions contemplated by this Agreement and the issuance of the Shares.</w:t>
      </w:r>
    </w:p>
    <w:p>
      <w:pPr>
        <w:spacing w:after="0" w:line="179" w:lineRule="exact"/>
        <w:rPr>
          <w:rFonts w:ascii="Times New Roman" w:cs="Times New Roman" w:eastAsia="Times New Roman" w:hAnsi="Times New Roman"/>
          <w:sz w:val="18"/>
          <w:szCs w:val="18"/>
          <w:color w:val="auto"/>
        </w:rPr>
      </w:pPr>
    </w:p>
    <w:p>
      <w:pPr>
        <w:ind w:left="120" w:right="220" w:hanging="4"/>
        <w:spacing w:after="0" w:line="282" w:lineRule="auto"/>
        <w:tabs>
          <w:tab w:leader="none" w:pos="33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Each of the Company and Parent shall have executed and delivered the Registration Rights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to the Investors.</w:t>
      </w:r>
    </w:p>
    <w:p>
      <w:pPr>
        <w:spacing w:after="0" w:line="161" w:lineRule="exact"/>
        <w:rPr>
          <w:rFonts w:ascii="Times New Roman" w:cs="Times New Roman" w:eastAsia="Times New Roman" w:hAnsi="Times New Roman"/>
          <w:sz w:val="18"/>
          <w:szCs w:val="18"/>
          <w:color w:val="auto"/>
        </w:rPr>
      </w:pPr>
    </w:p>
    <w:p>
      <w:pPr>
        <w:ind w:left="120" w:hanging="4"/>
        <w:spacing w:after="0" w:line="261" w:lineRule="auto"/>
        <w:tabs>
          <w:tab w:leader="none" w:pos="37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Requirements</w:t>
      </w:r>
      <w:r>
        <w:rPr>
          <w:rFonts w:ascii="Times New Roman" w:cs="Times New Roman" w:eastAsia="Times New Roman" w:hAnsi="Times New Roman"/>
          <w:sz w:val="18"/>
          <w:szCs w:val="18"/>
          <w:color w:val="auto"/>
        </w:rPr>
        <w:t>. No stop order or suspension of trading shall have been imposed by the OTCQB Market, the SEC or any other governmental or regulatory body with respect to public trading in the Common Stock. Parent Common Stock shall be listed on one of the listing markets of the Nasdaq Stock Market LLC and the Company shall have filed, or shall have caused Parent to file, with Nasdaq the Nasdaq Listing Application and Nasdaq shall have raised no objection to the transactions contemplated in this Agreement, the other Transaction Agreements or the Merger Agreement.</w:t>
      </w:r>
    </w:p>
    <w:p>
      <w:pPr>
        <w:spacing w:after="0" w:line="179" w:lineRule="exact"/>
        <w:rPr>
          <w:rFonts w:ascii="Times New Roman" w:cs="Times New Roman" w:eastAsia="Times New Roman" w:hAnsi="Times New Roman"/>
          <w:sz w:val="18"/>
          <w:szCs w:val="18"/>
          <w:color w:val="auto"/>
        </w:rPr>
      </w:pPr>
    </w:p>
    <w:p>
      <w:pPr>
        <w:ind w:left="120" w:right="460" w:hanging="4"/>
        <w:spacing w:after="0" w:line="282" w:lineRule="auto"/>
        <w:tabs>
          <w:tab w:leader="none" w:pos="33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Financing Amount</w:t>
      </w:r>
      <w:r>
        <w:rPr>
          <w:rFonts w:ascii="Times New Roman" w:cs="Times New Roman" w:eastAsia="Times New Roman" w:hAnsi="Times New Roman"/>
          <w:sz w:val="18"/>
          <w:szCs w:val="18"/>
          <w:color w:val="auto"/>
        </w:rPr>
        <w:t>. The Company shall receive at Closing aggregate proceeds from the purchase of Preferred Shares pursuant to this Agreement of not less than (i) $350,000,000 less (ii) any proceeds received by Obsidian in connection with the Interim Permitted Financing.</w:t>
      </w:r>
    </w:p>
    <w:p>
      <w:pPr>
        <w:spacing w:after="0" w:line="161" w:lineRule="exact"/>
        <w:rPr>
          <w:rFonts w:ascii="Times New Roman" w:cs="Times New Roman" w:eastAsia="Times New Roman" w:hAnsi="Times New Roman"/>
          <w:sz w:val="18"/>
          <w:szCs w:val="18"/>
          <w:color w:val="auto"/>
        </w:rPr>
      </w:pPr>
    </w:p>
    <w:p>
      <w:pPr>
        <w:ind w:left="120" w:right="100" w:hanging="4"/>
        <w:spacing w:after="0" w:line="266" w:lineRule="auto"/>
        <w:tabs>
          <w:tab w:leader="none" w:pos="42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The conditions to the closing of the Mergers shall have been satisfied or waived (other than those conditions which, by their nature, are to be satisfied at the closing of the transactions contemplated by the Merger Agreement), as determined in the Company’s reasonable discretion (which conditions to closing of the Mergers shall not have been amended or waived in any manner that materially and adversely affects the Investors).</w:t>
      </w:r>
    </w:p>
    <w:p>
      <w:pPr>
        <w:spacing w:after="0" w:line="175" w:lineRule="exact"/>
        <w:rPr>
          <w:rFonts w:ascii="Times New Roman" w:cs="Times New Roman" w:eastAsia="Times New Roman" w:hAnsi="Times New Roman"/>
          <w:sz w:val="18"/>
          <w:szCs w:val="18"/>
          <w:color w:val="auto"/>
        </w:rPr>
      </w:pPr>
    </w:p>
    <w:p>
      <w:pPr>
        <w:ind w:left="120" w:right="40" w:hanging="4"/>
        <w:spacing w:after="0" w:line="282" w:lineRule="auto"/>
        <w:tabs>
          <w:tab w:leader="none" w:pos="37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Designation</w:t>
      </w:r>
      <w:r>
        <w:rPr>
          <w:rFonts w:ascii="Times New Roman" w:cs="Times New Roman" w:eastAsia="Times New Roman" w:hAnsi="Times New Roman"/>
          <w:sz w:val="18"/>
          <w:szCs w:val="18"/>
          <w:color w:val="auto"/>
        </w:rPr>
        <w:t>. The Company shall have received a certified copy of the Certificate of Designation, as filed with the Secretary of State of the State of Delaware.</w:t>
      </w:r>
    </w:p>
    <w:p>
      <w:pPr>
        <w:spacing w:after="0" w:line="161" w:lineRule="exact"/>
        <w:rPr>
          <w:rFonts w:ascii="Times New Roman" w:cs="Times New Roman" w:eastAsia="Times New Roman" w:hAnsi="Times New Roman"/>
          <w:sz w:val="18"/>
          <w:szCs w:val="18"/>
          <w:color w:val="auto"/>
        </w:rPr>
      </w:pPr>
    </w:p>
    <w:p>
      <w:pPr>
        <w:ind w:left="120" w:right="40" w:hanging="4"/>
        <w:spacing w:after="0" w:line="282" w:lineRule="auto"/>
        <w:tabs>
          <w:tab w:leader="none" w:pos="37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Split and Share Increase</w:t>
      </w:r>
      <w:r>
        <w:rPr>
          <w:rFonts w:ascii="Times New Roman" w:cs="Times New Roman" w:eastAsia="Times New Roman" w:hAnsi="Times New Roman"/>
          <w:sz w:val="18"/>
          <w:szCs w:val="18"/>
          <w:color w:val="auto"/>
        </w:rPr>
        <w:t>. The Company shall have affected the Galera Reverse Stock Split and the Galera Authorized Common Stock Increase (each as defined in the Merger Agreement).</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Conditions to the Obligation of the Company</w:t>
      </w:r>
      <w:r>
        <w:rPr>
          <w:rFonts w:ascii="Times New Roman" w:cs="Times New Roman" w:eastAsia="Times New Roman" w:hAnsi="Times New Roman"/>
          <w:sz w:val="18"/>
          <w:szCs w:val="18"/>
          <w:color w:val="auto"/>
        </w:rPr>
        <w:t>. The obligation of the Company to consummate the transactions to be consummated at the Closing, and to issue and sell to each Investor the Preferred Shares to be purchased by it at the Closing pursuant to this Agreement, is subject to the satisfaction or waiver in writing of the following conditions precedent:</w:t>
      </w:r>
    </w:p>
    <w:p>
      <w:pPr>
        <w:spacing w:after="0" w:line="176" w:lineRule="exact"/>
        <w:rPr>
          <w:sz w:val="20"/>
          <w:szCs w:val="20"/>
          <w:color w:val="auto"/>
        </w:rPr>
      </w:pPr>
    </w:p>
    <w:p>
      <w:pPr>
        <w:ind w:left="120" w:right="80" w:hanging="4"/>
        <w:spacing w:after="0" w:line="258" w:lineRule="auto"/>
        <w:tabs>
          <w:tab w:leader="none" w:pos="364"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of each Investor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hereto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spacing w:after="0" w:line="183" w:lineRule="exact"/>
        <w:rPr>
          <w:rFonts w:ascii="Times New Roman" w:cs="Times New Roman" w:eastAsia="Times New Roman" w:hAnsi="Times New Roman"/>
          <w:sz w:val="18"/>
          <w:szCs w:val="18"/>
          <w:color w:val="auto"/>
        </w:rPr>
      </w:pPr>
    </w:p>
    <w:p>
      <w:pPr>
        <w:ind w:left="120" w:right="540" w:hanging="4"/>
        <w:spacing w:after="0" w:line="282" w:lineRule="auto"/>
        <w:tabs>
          <w:tab w:leader="none" w:pos="375"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Each Investor shall have performed or complied with in all material respects all obligations and conditions herein required to be performed or observed by such Investor on or prior to the Closing Date.</w:t>
      </w:r>
    </w:p>
    <w:p>
      <w:pPr>
        <w:spacing w:after="0" w:line="161" w:lineRule="exact"/>
        <w:rPr>
          <w:rFonts w:ascii="Times New Roman" w:cs="Times New Roman" w:eastAsia="Times New Roman" w:hAnsi="Times New Roman"/>
          <w:sz w:val="18"/>
          <w:szCs w:val="18"/>
          <w:color w:val="auto"/>
        </w:rPr>
      </w:pPr>
    </w:p>
    <w:p>
      <w:pPr>
        <w:ind w:left="120" w:right="40" w:hanging="4"/>
        <w:spacing w:after="0" w:line="282" w:lineRule="auto"/>
        <w:tabs>
          <w:tab w:leader="none" w:pos="364"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Injunction</w:t>
      </w:r>
      <w:r>
        <w:rPr>
          <w:rFonts w:ascii="Times New Roman" w:cs="Times New Roman" w:eastAsia="Times New Roman" w:hAnsi="Times New Roman"/>
          <w:sz w:val="18"/>
          <w:szCs w:val="18"/>
          <w:color w:val="auto"/>
        </w:rPr>
        <w:t>. The purchase of and payment for the Preferred Shares by each Investor shall not be prohibited or enjoined by any law or governmental or court order or regulation.</w:t>
      </w:r>
    </w:p>
    <w:p>
      <w:pPr>
        <w:spacing w:after="0" w:line="161" w:lineRule="exact"/>
        <w:rPr>
          <w:rFonts w:ascii="Times New Roman" w:cs="Times New Roman" w:eastAsia="Times New Roman" w:hAnsi="Times New Roman"/>
          <w:sz w:val="18"/>
          <w:szCs w:val="18"/>
          <w:color w:val="auto"/>
        </w:rPr>
      </w:pPr>
    </w:p>
    <w:p>
      <w:pPr>
        <w:ind w:left="120" w:right="360" w:hanging="4"/>
        <w:spacing w:after="0" w:line="282" w:lineRule="auto"/>
        <w:tabs>
          <w:tab w:leader="none" w:pos="375"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H-27</w:t>
      </w:r>
    </w:p>
    <w:p>
      <w:pPr>
        <w:sectPr>
          <w:pgSz w:w="11900" w:h="16838" w:orient="portrait"/>
          <w:cols w:equalWidth="0" w:num="1">
            <w:col w:w="11120"/>
          </w:cols>
          <w:pgMar w:left="320" w:top="455" w:right="459" w:bottom="1440" w:gutter="0" w:footer="0" w:header="0"/>
        </w:sectPr>
      </w:pPr>
    </w:p>
    <w:bookmarkStart w:id="663" w:name="page664"/>
    <w:bookmarkEnd w:id="6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hanging="4"/>
        <w:spacing w:after="0" w:line="266" w:lineRule="auto"/>
        <w:tabs>
          <w:tab w:leader="none" w:pos="364"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Except as may be agreed to among the Company and such Investor in accordance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the Company shall have received payment, by wire transfer of immediately available funds, in the full amount of the purchase price for the number of Preferred Shares being purchased by each Investor at the Closing as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7. Termination.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The obligations of the Company, on the one hand, and each Investor, on the other hand, to effect the Closing shall terminate as follows:</w:t>
      </w:r>
    </w:p>
    <w:p>
      <w:pPr>
        <w:spacing w:after="0" w:line="129" w:lineRule="exact"/>
        <w:rPr>
          <w:sz w:val="20"/>
          <w:szCs w:val="20"/>
          <w:color w:val="auto"/>
        </w:rPr>
      </w:pPr>
    </w:p>
    <w:p>
      <w:pPr>
        <w:ind w:left="340" w:hanging="224"/>
        <w:spacing w:after="0"/>
        <w:tabs>
          <w:tab w:leader="none" w:pos="340"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mutual written consent of the Company and a Majority in Interest of the Purchasers prior to the Closing;</w:t>
      </w:r>
    </w:p>
    <w:p>
      <w:pPr>
        <w:spacing w:after="0" w:line="225" w:lineRule="exact"/>
        <w:rPr>
          <w:rFonts w:ascii="Times New Roman" w:cs="Times New Roman" w:eastAsia="Times New Roman" w:hAnsi="Times New Roman"/>
          <w:sz w:val="18"/>
          <w:szCs w:val="18"/>
          <w:color w:val="auto"/>
        </w:rPr>
      </w:pPr>
    </w:p>
    <w:p>
      <w:pPr>
        <w:ind w:left="120" w:right="180" w:hanging="4"/>
        <w:spacing w:after="0" w:line="282" w:lineRule="auto"/>
        <w:tabs>
          <w:tab w:leader="none" w:pos="385"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if any of the conditions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shall have become incapable of fulfillment and shall not have been waived by the Company;</w:t>
      </w:r>
    </w:p>
    <w:p>
      <w:pPr>
        <w:spacing w:after="0" w:line="161" w:lineRule="exact"/>
        <w:rPr>
          <w:rFonts w:ascii="Times New Roman" w:cs="Times New Roman" w:eastAsia="Times New Roman" w:hAnsi="Times New Roman"/>
          <w:sz w:val="18"/>
          <w:szCs w:val="18"/>
          <w:color w:val="auto"/>
        </w:rPr>
      </w:pPr>
    </w:p>
    <w:p>
      <w:pPr>
        <w:ind w:left="120" w:right="40" w:hanging="4"/>
        <w:spacing w:after="0" w:line="282" w:lineRule="auto"/>
        <w:tabs>
          <w:tab w:leader="none" w:pos="435"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an Investor, solely as to itself, if any of the conditions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have become incapable of fulfillment and shall not have been waived by such Investor; or</w:t>
      </w:r>
    </w:p>
    <w:p>
      <w:pPr>
        <w:spacing w:after="0" w:line="161" w:lineRule="exact"/>
        <w:rPr>
          <w:rFonts w:ascii="Times New Roman" w:cs="Times New Roman" w:eastAsia="Times New Roman" w:hAnsi="Times New Roman"/>
          <w:sz w:val="18"/>
          <w:szCs w:val="18"/>
          <w:color w:val="auto"/>
        </w:rPr>
      </w:pPr>
    </w:p>
    <w:p>
      <w:pPr>
        <w:ind w:left="120" w:right="140" w:hanging="4"/>
        <w:spacing w:after="0" w:line="261" w:lineRule="auto"/>
        <w:tabs>
          <w:tab w:leader="none" w:pos="425"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the Company or an Investor, solely as to itself, if the Closing has not occurred on or before the Outside Date (as defined in the Merger Agreement, as in effect on the date hereof and as may be extended solely with the prior written consent of a Majority in Interest of the Purchasers),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Outside Date may not be extended to any date that is more than eighteen (18) months following the date hereof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prior written consent;</w:t>
      </w:r>
    </w:p>
    <w:p>
      <w:pPr>
        <w:spacing w:after="0" w:line="180"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17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In the event of termination pursuant to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written notice thereof shall be given to each other Investor by the Company. Nothing in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8. Miscellaneous Provisions.</w:t>
      </w:r>
    </w:p>
    <w:p>
      <w:pPr>
        <w:spacing w:after="0" w:line="225"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Public Statements or Releases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except for an investor call held prior to the Disclosure Time and the material terms of which are disclosed in the Disclosure Document,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or as otherwise required by law, rule or regulation, which, for avoidance of doubt, shall not require the Company’s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publicly disclose the name of any Investor or any Affiliate or investment adviser of any Investor without such Investor’s prior written consent (email being sufficient).</w:t>
      </w:r>
    </w:p>
    <w:p>
      <w:pPr>
        <w:spacing w:after="0" w:line="187"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H-28</w:t>
      </w:r>
    </w:p>
    <w:p>
      <w:pPr>
        <w:sectPr>
          <w:pgSz w:w="11900" w:h="16838" w:orient="portrait"/>
          <w:cols w:equalWidth="0" w:num="1">
            <w:col w:w="11120"/>
          </w:cols>
          <w:pgMar w:left="320" w:top="455" w:right="459" w:bottom="1440" w:gutter="0" w:footer="0" w:header="0"/>
        </w:sectPr>
      </w:pPr>
    </w:p>
    <w:bookmarkStart w:id="664" w:name="page665"/>
    <w:bookmarkEnd w:id="6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or other communications required or permitted to be given hereunder shall be in writing and shall be deemed to be given</w:t>
      </w:r>
    </w:p>
    <w:p>
      <w:pPr>
        <w:spacing w:after="0" w:line="27" w:lineRule="exact"/>
        <w:rPr>
          <w:sz w:val="20"/>
          <w:szCs w:val="20"/>
          <w:color w:val="auto"/>
        </w:rPr>
      </w:pPr>
    </w:p>
    <w:p>
      <w:pPr>
        <w:ind w:left="120" w:right="240" w:hanging="4"/>
        <w:spacing w:after="0" w:line="253" w:lineRule="auto"/>
        <w:tabs>
          <w:tab w:leader="none" w:pos="36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 (d) one (1) Business Day after deposit with a nationally recognized overnight courier, freight prepaid, specifying next business day delivery, with written verification of receipt:</w:t>
      </w:r>
    </w:p>
    <w:p>
      <w:pPr>
        <w:spacing w:after="0" w:line="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If to the Company, addressed as follows: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Galera Therapeutics, Inc.</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101 Lindenwood Drive, Suite 225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Malvern, Pennsylvania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President and Principal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Address: [***]</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2850 Quarry Lake Drive, Suite 301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Baltimore, Maryland 21209</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Attention: Asher Rubin; Istvan Hajdu; Kayla West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 Address: arubin@sidley.com; ihajdu@sidley.com; kwest@sidley.com</w:t>
      </w:r>
    </w:p>
    <w:p>
      <w:pPr>
        <w:spacing w:after="0" w:line="207" w:lineRule="exact"/>
        <w:rPr>
          <w:sz w:val="20"/>
          <w:szCs w:val="20"/>
          <w:color w:val="auto"/>
        </w:rPr>
      </w:pPr>
    </w:p>
    <w:p>
      <w:pPr>
        <w:ind w:left="120" w:right="120" w:hanging="4"/>
        <w:spacing w:after="0" w:line="282" w:lineRule="auto"/>
        <w:tabs>
          <w:tab w:leader="none" w:pos="375"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any Investor, at each of its email addresses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to such e-mail addresses or addresses as subsequently modified by written notice given in accordance with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Any Person may change the address to which notices and communications to it are to be addressed by notification as provided for herein.</w:t>
      </w:r>
    </w:p>
    <w:p>
      <w:pPr>
        <w:spacing w:after="0" w:line="225"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Investor consents to the delivery of any stockholder notice pursuant to Section 232 of the DGCL, as amended or superseded from time to time, with respect to the Preferred Shares at the e-mail address(es) set forth below the Investor’s name on the signature page or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as updated from time to time by notice to the Company in accordance with Section 8.3.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Investor agrees to promptly notify the Company of any change in its e-mail address, and that failure to do so shall not affect the foregoing.</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H-29</w:t>
      </w:r>
    </w:p>
    <w:p>
      <w:pPr>
        <w:sectPr>
          <w:pgSz w:w="11900" w:h="16838" w:orient="portrait"/>
          <w:cols w:equalWidth="0" w:num="1">
            <w:col w:w="11100"/>
          </w:cols>
          <w:pgMar w:left="320" w:top="455" w:right="479" w:bottom="1440" w:gutter="0" w:footer="0" w:header="0"/>
        </w:sectPr>
      </w:pPr>
    </w:p>
    <w:bookmarkStart w:id="665" w:name="page666"/>
    <w:bookmarkEnd w:id="6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Governing Law; Submission to Jurisdiction; Venue; Waiver of Trial by Jury.</w:t>
      </w:r>
    </w:p>
    <w:p>
      <w:pPr>
        <w:spacing w:after="0" w:line="225" w:lineRule="exact"/>
        <w:rPr>
          <w:sz w:val="20"/>
          <w:szCs w:val="20"/>
          <w:color w:val="auto"/>
        </w:rPr>
      </w:pPr>
    </w:p>
    <w:p>
      <w:pPr>
        <w:ind w:left="120" w:right="520" w:hanging="4"/>
        <w:spacing w:after="0" w:line="282" w:lineRule="auto"/>
        <w:tabs>
          <w:tab w:leader="none" w:pos="365"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without regard to choice of laws or conflicts of laws provisions thereof that would require the application of the laws of any other jurisdiction.</w:t>
      </w:r>
    </w:p>
    <w:p>
      <w:pPr>
        <w:spacing w:after="0" w:line="161" w:lineRule="exact"/>
        <w:rPr>
          <w:rFonts w:ascii="Times New Roman" w:cs="Times New Roman" w:eastAsia="Times New Roman" w:hAnsi="Times New Roman"/>
          <w:sz w:val="18"/>
          <w:szCs w:val="18"/>
          <w:color w:val="auto"/>
        </w:rPr>
      </w:pPr>
    </w:p>
    <w:p>
      <w:pPr>
        <w:ind w:left="380" w:hanging="264"/>
        <w:spacing w:after="0"/>
        <w:tabs>
          <w:tab w:leader="none" w:pos="38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the Investors hereby irrevocably and unconditionally:</w:t>
      </w:r>
    </w:p>
    <w:p>
      <w:pPr>
        <w:spacing w:after="0" w:line="117" w:lineRule="exact"/>
        <w:rPr>
          <w:sz w:val="20"/>
          <w:szCs w:val="20"/>
          <w:color w:val="auto"/>
        </w:rPr>
      </w:pPr>
    </w:p>
    <w:p>
      <w:pPr>
        <w:ind w:left="120" w:right="180" w:hanging="4"/>
        <w:spacing w:after="0" w:line="282" w:lineRule="auto"/>
        <w:tabs>
          <w:tab w:leader="none" w:pos="335"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spacing w:after="0" w:line="161" w:lineRule="exact"/>
        <w:rPr>
          <w:rFonts w:ascii="Times New Roman" w:cs="Times New Roman" w:eastAsia="Times New Roman" w:hAnsi="Times New Roman"/>
          <w:sz w:val="18"/>
          <w:szCs w:val="18"/>
          <w:color w:val="auto"/>
        </w:rPr>
      </w:pPr>
    </w:p>
    <w:p>
      <w:pPr>
        <w:ind w:left="120" w:right="120" w:hanging="4"/>
        <w:spacing w:after="0" w:line="266" w:lineRule="auto"/>
        <w:tabs>
          <w:tab w:leader="none" w:pos="385"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75" w:lineRule="exact"/>
        <w:rPr>
          <w:rFonts w:ascii="Times New Roman" w:cs="Times New Roman" w:eastAsia="Times New Roman" w:hAnsi="Times New Roman"/>
          <w:sz w:val="18"/>
          <w:szCs w:val="18"/>
          <w:color w:val="auto"/>
        </w:rPr>
      </w:pPr>
    </w:p>
    <w:p>
      <w:pPr>
        <w:jc w:val="both"/>
        <w:ind w:left="120" w:right="340" w:hanging="4"/>
        <w:spacing w:after="0" w:line="266" w:lineRule="auto"/>
        <w:tabs>
          <w:tab w:leader="none" w:pos="435"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at such other address of which the other party shall have been notified pursuant thereto;</w:t>
      </w:r>
    </w:p>
    <w:p>
      <w:pPr>
        <w:spacing w:after="0" w:line="175" w:lineRule="exact"/>
        <w:rPr>
          <w:rFonts w:ascii="Times New Roman" w:cs="Times New Roman" w:eastAsia="Times New Roman" w:hAnsi="Times New Roman"/>
          <w:sz w:val="18"/>
          <w:szCs w:val="18"/>
          <w:color w:val="auto"/>
        </w:rPr>
      </w:pPr>
    </w:p>
    <w:p>
      <w:pPr>
        <w:jc w:val="both"/>
        <w:ind w:left="120" w:right="60" w:hanging="4"/>
        <w:spacing w:after="0" w:line="266" w:lineRule="auto"/>
        <w:tabs>
          <w:tab w:leader="none" w:pos="425"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75" w:lineRule="exact"/>
        <w:rPr>
          <w:rFonts w:ascii="Times New Roman" w:cs="Times New Roman" w:eastAsia="Times New Roman" w:hAnsi="Times New Roman"/>
          <w:sz w:val="18"/>
          <w:szCs w:val="18"/>
          <w:color w:val="auto"/>
        </w:rPr>
      </w:pPr>
    </w:p>
    <w:p>
      <w:pPr>
        <w:ind w:left="120" w:right="220" w:hanging="4"/>
        <w:spacing w:after="0" w:line="266" w:lineRule="auto"/>
        <w:tabs>
          <w:tab w:leader="none" w:pos="375"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175" w:lineRule="exact"/>
        <w:rPr>
          <w:rFonts w:ascii="Times New Roman" w:cs="Times New Roman" w:eastAsia="Times New Roman" w:hAnsi="Times New Roman"/>
          <w:sz w:val="18"/>
          <w:szCs w:val="18"/>
          <w:color w:val="auto"/>
        </w:rPr>
      </w:pPr>
    </w:p>
    <w:p>
      <w:pPr>
        <w:jc w:val="both"/>
        <w:ind w:left="120" w:right="340" w:hanging="4"/>
        <w:spacing w:after="0" w:line="266" w:lineRule="auto"/>
        <w:tabs>
          <w:tab w:leader="none" w:pos="425"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75" w:lineRule="exact"/>
        <w:rPr>
          <w:rFonts w:ascii="Times New Roman" w:cs="Times New Roman" w:eastAsia="Times New Roman" w:hAnsi="Times New Roman"/>
          <w:sz w:val="18"/>
          <w:szCs w:val="18"/>
          <w:color w:val="auto"/>
        </w:rPr>
      </w:pPr>
    </w:p>
    <w:p>
      <w:pPr>
        <w:ind w:left="480" w:hanging="364"/>
        <w:spacing w:after="0"/>
        <w:tabs>
          <w:tab w:leader="none" w:pos="480"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and unconditionally waives trial by jury in any legal action or proceeding in relation to this Agreement.</w:t>
      </w:r>
    </w:p>
    <w:p>
      <w:pPr>
        <w:spacing w:after="0" w:line="225"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Preferred Shares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Preferred Shares, Conversion Shares or Exchange Shares to the Investors.</w:t>
      </w:r>
    </w:p>
    <w:p>
      <w:pPr>
        <w:spacing w:after="0" w:line="187"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 xml:space="preserve">8.9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None of the parties may assign its rights or obligations under this Agreement or designate another person (i) to perform all or part of its obligations under this Agreement or (ii) to have all or part of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H-30</w:t>
      </w:r>
    </w:p>
    <w:p>
      <w:pPr>
        <w:sectPr>
          <w:pgSz w:w="11900" w:h="16838" w:orient="portrait"/>
          <w:cols w:equalWidth="0" w:num="1">
            <w:col w:w="11120"/>
          </w:cols>
          <w:pgMar w:left="320" w:top="455" w:right="459" w:bottom="1440" w:gutter="0" w:footer="0" w:header="0"/>
        </w:sectPr>
      </w:pPr>
    </w:p>
    <w:bookmarkStart w:id="666" w:name="page667"/>
    <w:bookmarkEnd w:id="6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rights and benefits under this Agreement, in each case without the prior written consent of (x) the Company, in the case of an Investor, and (y) the Investors, in the case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Investor may, without the prior consent of the Company, (i) assign its rights to purchase the Preferred Shares hereunder to any of its Affiliates or to any other investment funds or accounts managed or advised by the investment manager who acts on behalf of such Investor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each such assignee agrees to be bound by the terms of this Agreement as an Investor hereunder and makes the same representations and warranties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or (ii) assign its rights hereunder to a permitted transferee of its Preferred Shares or Conversion Shares following the Closing (other than with respect to transfers pursuant to a registration statement or Rule 144)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each such assignee agrees to be bound by the terms of this Agreement applicable to the Investor).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8.10 </w:t>
      </w:r>
      <w:r>
        <w:rPr>
          <w:rFonts w:ascii="Times New Roman" w:cs="Times New Roman" w:eastAsia="Times New Roman" w:hAnsi="Times New Roman"/>
          <w:sz w:val="18"/>
          <w:szCs w:val="18"/>
          <w:u w:val="single" w:color="auto"/>
          <w:color w:val="auto"/>
        </w:rPr>
        <w:t>Confidential Information.</w:t>
      </w:r>
    </w:p>
    <w:p>
      <w:pPr>
        <w:spacing w:after="0" w:line="225" w:lineRule="exact"/>
        <w:rPr>
          <w:sz w:val="20"/>
          <w:szCs w:val="20"/>
          <w:color w:val="auto"/>
        </w:rPr>
      </w:pPr>
    </w:p>
    <w:p>
      <w:pPr>
        <w:ind w:left="120" w:right="20" w:hanging="4"/>
        <w:spacing w:after="0" w:line="254" w:lineRule="auto"/>
        <w:tabs>
          <w:tab w:leader="none" w:pos="365" w:val="left"/>
        </w:tabs>
        <w:numPr>
          <w:ilvl w:val="0"/>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Investor covenants that until the earliest of (i) such time as the transactions contemplated by this Agreement and any material non-public information provided to such Investor are publicly disclosed by the Company in accordance with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(ii) such time the foregoing is required to be disclosed under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and (iii) the termination of this Agreement,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applicable law or regulation or at the request of any governmental or regulatory authority having jurisdiction over such Investor. Each Investor may identify its investment in the Company and the value of such Investor’s security holdings in the Company in accordance with applicable investment reporting and disclosure regulations and respond to examinations, demands, requests or reporting requirements of a regulatory authority without prior notice to or consent from the Company.</w:t>
      </w:r>
    </w:p>
    <w:p>
      <w:pPr>
        <w:spacing w:after="0" w:line="188" w:lineRule="exact"/>
        <w:rPr>
          <w:rFonts w:ascii="Times New Roman" w:cs="Times New Roman" w:eastAsia="Times New Roman" w:hAnsi="Times New Roman"/>
          <w:sz w:val="18"/>
          <w:szCs w:val="18"/>
          <w:color w:val="auto"/>
        </w:rPr>
      </w:pPr>
    </w:p>
    <w:p>
      <w:pPr>
        <w:ind w:left="120" w:right="120" w:hanging="4"/>
        <w:spacing w:after="0" w:line="272" w:lineRule="auto"/>
        <w:tabs>
          <w:tab w:leader="none" w:pos="375"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request from the Investors such reasonable and customary additional information as the Company may deem necessary to evaluate the eligibility of the Investor to acquire the Preferred Shares, and the Investor shall promptly provide such information as may reasonably be requested to the extent readily available; provided, that the Company agrees to keep any such information provided by the Investor confidential, except</w:t>
      </w:r>
    </w:p>
    <w:p>
      <w:pPr>
        <w:spacing w:after="0" w:line="1" w:lineRule="exact"/>
        <w:rPr>
          <w:rFonts w:ascii="Times New Roman" w:cs="Times New Roman" w:eastAsia="Times New Roman" w:hAnsi="Times New Roman"/>
          <w:sz w:val="17"/>
          <w:szCs w:val="17"/>
          <w:color w:val="auto"/>
        </w:rPr>
      </w:pPr>
    </w:p>
    <w:p>
      <w:pPr>
        <w:ind w:left="120" w:right="20" w:hanging="4"/>
        <w:spacing w:after="0" w:line="253" w:lineRule="auto"/>
        <w:tabs>
          <w:tab w:leader="none" w:pos="335"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the federal securities laws, rules or regulations and (ii) to the extent such disclosure is required by other laws, rules or regulations, at the request of the staff of the SEC or regulatory agency or under the regulations of the OTCQB Market or another National Exchange, in which case, the Company will use commercially reasonable efforts to notify the applicable Investor and provide such Investor the opportunity to review such disclosure. Each Investor acknowledges that the Company may file a form of this Agreement and the Registration Rights Agreement with the SEC as exhibits to a periodic report or a registration statement of the Company.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8.11 </w:t>
      </w:r>
      <w:r>
        <w:rPr>
          <w:rFonts w:ascii="Times New Roman" w:cs="Times New Roman" w:eastAsia="Times New Roman" w:hAnsi="Times New Roman"/>
          <w:sz w:val="18"/>
          <w:szCs w:val="18"/>
          <w:u w:val="single" w:color="auto"/>
          <w:color w:val="auto"/>
        </w:rPr>
        <w:t>Reliance by and Exculpation of Placement Agents.</w:t>
      </w:r>
    </w:p>
    <w:p>
      <w:pPr>
        <w:spacing w:after="0" w:line="225" w:lineRule="exact"/>
        <w:rPr>
          <w:sz w:val="20"/>
          <w:szCs w:val="20"/>
          <w:color w:val="auto"/>
        </w:rPr>
      </w:pPr>
    </w:p>
    <w:p>
      <w:pPr>
        <w:ind w:left="120" w:right="20" w:hanging="4"/>
        <w:spacing w:after="0" w:line="256" w:lineRule="auto"/>
        <w:tabs>
          <w:tab w:leader="none" w:pos="365" w:val="left"/>
        </w:tabs>
        <w:numPr>
          <w:ilvl w:val="0"/>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agrees for the express benefit of the Placement Agents, any of its Affiliates and representatives that (i) neither the Placement Agents nor any of its Affiliates or their representatives have made and will not make any representations or warranties with respect to the Company, Obsidian or the offer and sale of the Preferred Shares, and such Investor will not rely on any statements made by the Placement Agents, orally or in writing, to the contrary, (ii) the Placement Agents are acting solely as the agent of the Company in this placement of the Preferred Shares and is not acting as underwriter or in any other capacity and is not and shall not be construed as fiduciary for the Investor, the Company, Obsidian or any other person or entity in connection with</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H-31</w:t>
      </w:r>
    </w:p>
    <w:p>
      <w:pPr>
        <w:sectPr>
          <w:pgSz w:w="11900" w:h="16838" w:orient="portrait"/>
          <w:cols w:equalWidth="0" w:num="1">
            <w:col w:w="11120"/>
          </w:cols>
          <w:pgMar w:left="320" w:top="455" w:right="459" w:bottom="1440" w:gutter="0" w:footer="0" w:header="0"/>
        </w:sectPr>
      </w:pPr>
    </w:p>
    <w:bookmarkStart w:id="667" w:name="page668"/>
    <w:bookmarkEnd w:id="6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this placement of the Preferred Shares, (iii) such Investor will be responsible for conducting its own due diligence investigation with respect to the Company, Obsidian and the offer and sale of the Preferred Shares, (iv) such Investor will be purchasing Preferred Shares based on the results of its own due diligence investigation of the Company and Obsidian, and the Placement Agents and each of their respective directors, officers, employees, representatives, and controlling persons have made no independent investigation with respect to the Company, Obsidian, the Preferred Shares, or the accuracy, completeness, or adequacy of any information supplied to the Investor by the Company or Obsidian, (vi) such Investor has negotiated the offer and sale of the Preferred Shares directly with the Company and the Placement Agents will not be responsible for the ultimate success of any such investment and (vii) the decision to invest in the Company will involve a significant degree of risk, including a risk of total loss of such investment. Each Investor further represents and warrants to the Placement Agents that it, including any fund or funds that it manages or advises that participates in the offer and sale of the Preferred Shares,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shall survive any termination of this Agreement.</w:t>
      </w:r>
    </w:p>
    <w:p>
      <w:pPr>
        <w:spacing w:after="0" w:line="192" w:lineRule="exact"/>
        <w:rPr>
          <w:sz w:val="20"/>
          <w:szCs w:val="20"/>
          <w:color w:val="auto"/>
        </w:rPr>
      </w:pPr>
    </w:p>
    <w:p>
      <w:pPr>
        <w:ind w:left="120" w:right="100" w:hanging="4"/>
        <w:spacing w:after="0" w:line="266" w:lineRule="auto"/>
        <w:tabs>
          <w:tab w:leader="none" w:pos="37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spacing w:after="0" w:line="175" w:lineRule="exact"/>
        <w:rPr>
          <w:rFonts w:ascii="Times New Roman" w:cs="Times New Roman" w:eastAsia="Times New Roman" w:hAnsi="Times New Roman"/>
          <w:sz w:val="18"/>
          <w:szCs w:val="18"/>
          <w:color w:val="auto"/>
        </w:rPr>
      </w:pPr>
    </w:p>
    <w:p>
      <w:pPr>
        <w:ind w:left="120" w:right="200" w:hanging="4"/>
        <w:spacing w:after="0" w:line="255" w:lineRule="auto"/>
        <w:tabs>
          <w:tab w:leader="none" w:pos="36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Placement Agents nor any of their respective Affiliates or representatives (1) shall be liable for any improper payment made in accordance with the information provided by the Company or Obsidian; (2) makes any representation or warranty, or has any responsibilities as to the validity, enforceability, accuracy, value or genuineness of any information, certificates or documentation delivered by or on behalf of the Company or Obsidian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w:t>
      </w:r>
    </w:p>
    <w:p>
      <w:pPr>
        <w:spacing w:after="0" w:line="188" w:lineRule="exact"/>
        <w:rPr>
          <w:rFonts w:ascii="Times New Roman" w:cs="Times New Roman" w:eastAsia="Times New Roman" w:hAnsi="Times New Roman"/>
          <w:sz w:val="18"/>
          <w:szCs w:val="18"/>
          <w:color w:val="auto"/>
        </w:rPr>
      </w:pPr>
    </w:p>
    <w:p>
      <w:pPr>
        <w:ind w:left="120" w:right="20" w:hanging="4"/>
        <w:spacing w:after="0" w:line="261" w:lineRule="auto"/>
        <w:tabs>
          <w:tab w:leader="none" w:pos="37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the Placement Agents and its respective Affiliates and representatives shall be entitled to (1) rely on, and shall be protected in acting upon, any certificate, instrument, notice, letter or any other document or security delivered to any of them by or on behalf of the Company or Obsidian, and (2) be indemnified by the Company for acting as the Placement Agents hereunder pursuant to the indemnification provisions set forth in the applicable letter agreement(s) between the Company and the Placement Agents.</w:t>
      </w:r>
    </w:p>
    <w:p>
      <w:pPr>
        <w:spacing w:after="0" w:line="180"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8.12 </w:t>
      </w:r>
      <w:r>
        <w:rPr>
          <w:rFonts w:ascii="Times New Roman" w:cs="Times New Roman" w:eastAsia="Times New Roman" w:hAnsi="Times New Roman"/>
          <w:sz w:val="18"/>
          <w:szCs w:val="18"/>
          <w:u w:val="single" w:color="auto"/>
          <w:color w:val="auto"/>
        </w:rPr>
        <w:t>Third Parties</w:t>
      </w:r>
      <w:r>
        <w:rPr>
          <w:rFonts w:ascii="Times New Roman" w:cs="Times New Roman" w:eastAsia="Times New Roman" w:hAnsi="Times New Roman"/>
          <w:sz w:val="18"/>
          <w:szCs w:val="18"/>
          <w:color w:val="auto"/>
        </w:rPr>
        <w:t>.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w:t>
      </w:r>
    </w:p>
    <w:p>
      <w:pPr>
        <w:spacing w:after="0" w:line="3" w:lineRule="exact"/>
        <w:rPr>
          <w:sz w:val="20"/>
          <w:szCs w:val="20"/>
          <w:color w:val="auto"/>
        </w:rPr>
      </w:pPr>
    </w:p>
    <w:p>
      <w:pPr>
        <w:ind w:left="120" w:right="560" w:hanging="4"/>
        <w:spacing w:after="0" w:line="255" w:lineRule="auto"/>
        <w:tabs>
          <w:tab w:leader="none" w:pos="335"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Placement Agents are an intended third-party beneficiary of the representations and warranties of the Company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representations and warranties of each Investor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8.11</w:t>
      </w:r>
      <w:r>
        <w:rPr>
          <w:rFonts w:ascii="Times New Roman" w:cs="Times New Roman" w:eastAsia="Times New Roman" w:hAnsi="Times New Roman"/>
          <w:sz w:val="18"/>
          <w:szCs w:val="18"/>
          <w:color w:val="auto"/>
        </w:rPr>
        <w:t xml:space="preserve"> of this Agreement, and (ii) the Indemnified Persons are intended third-party beneficiaries of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 xml:space="preserve">8.13 </w:t>
      </w:r>
      <w:r>
        <w:rPr>
          <w:rFonts w:ascii="Times New Roman" w:cs="Times New Roman" w:eastAsia="Times New Roman" w:hAnsi="Times New Roman"/>
          <w:sz w:val="18"/>
          <w:szCs w:val="18"/>
          <w:u w:val="single" w:color="auto"/>
          <w:color w:val="auto"/>
        </w:rPr>
        <w:t>Independent Nature of Investors’ Obligations and Right.</w:t>
      </w:r>
      <w:r>
        <w:rPr>
          <w:rFonts w:ascii="Times New Roman" w:cs="Times New Roman" w:eastAsia="Times New Roman" w:hAnsi="Times New Roman"/>
          <w:sz w:val="18"/>
          <w:szCs w:val="18"/>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H-32</w:t>
      </w:r>
    </w:p>
    <w:p>
      <w:pPr>
        <w:sectPr>
          <w:pgSz w:w="11900" w:h="16838" w:orient="portrait"/>
          <w:cols w:equalWidth="0" w:num="1">
            <w:col w:w="11120"/>
          </w:cols>
          <w:pgMar w:left="320" w:top="455" w:right="459" w:bottom="1440" w:gutter="0" w:footer="0" w:header="0"/>
        </w:sectPr>
      </w:pPr>
    </w:p>
    <w:bookmarkStart w:id="668" w:name="page669"/>
    <w:bookmarkEnd w:id="6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none of Sidley Austin LLP or Mintz, Levin, Cohn, Glovsky, and Popeo, P.C., or Goodwin Procter LLP have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92"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 xml:space="preserve">8.14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titles, subtitles and headings in this Agreement are for convenience of reference and shall not form part of, or affect the interpretation of, this Agreement.</w:t>
      </w:r>
    </w:p>
    <w:p>
      <w:pPr>
        <w:spacing w:after="0" w:line="162"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may be executed in three (3)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t>
      </w:r>
      <w:r>
        <w:rPr>
          <w:rFonts w:ascii="Times New Roman" w:cs="Times New Roman" w:eastAsia="Times New Roman" w:hAnsi="Times New Roman"/>
          <w:sz w:val="18"/>
          <w:szCs w:val="18"/>
          <w:i w:val="1"/>
          <w:iCs w:val="1"/>
          <w:color w:val="auto"/>
        </w:rPr>
        <w:t>www.docusign.com</w:t>
      </w:r>
      <w:r>
        <w:rPr>
          <w:rFonts w:ascii="Times New Roman" w:cs="Times New Roman" w:eastAsia="Times New Roman" w:hAnsi="Times New Roman"/>
          <w:sz w:val="18"/>
          <w:szCs w:val="18"/>
          <w:color w:val="auto"/>
        </w:rPr>
        <w:t xml:space="preserve"> shall be considered due execution and shall be binding upon the signatory thereto with the same force and effect as if the signature were an original, not a facsimile or pdf (or other electronic reproduction of a) signature.</w:t>
      </w:r>
    </w:p>
    <w:p>
      <w:pPr>
        <w:spacing w:after="0" w:line="183"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7"/>
          <w:szCs w:val="17"/>
          <w:color w:val="auto"/>
        </w:rPr>
        <w:t xml:space="preserve">8.16 </w:t>
      </w:r>
      <w:r>
        <w:rPr>
          <w:rFonts w:ascii="Times New Roman" w:cs="Times New Roman" w:eastAsia="Times New Roman" w:hAnsi="Times New Roman"/>
          <w:sz w:val="17"/>
          <w:szCs w:val="17"/>
          <w:u w:val="single" w:color="auto"/>
          <w:color w:val="auto"/>
        </w:rPr>
        <w:t>Entire Agreement; Amendments</w:t>
      </w:r>
      <w:r>
        <w:rPr>
          <w:rFonts w:ascii="Times New Roman" w:cs="Times New Roman" w:eastAsia="Times New Roman" w:hAnsi="Times New Roman"/>
          <w:sz w:val="17"/>
          <w:szCs w:val="17"/>
          <w:color w:val="auto"/>
        </w:rPr>
        <w:t>.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Investors of at least a majority in interest of the Preferred Shares then held by the Investors, provided that if any amendment, modification or waiver disproportionately and adversely impacts an Investor (or group of Investors), the consent of at least seventy five percent (75%) in interest of such disproportionately impacted Investor (or group of Investors) shall also be required. Notwithstanding the foregoing,</w:t>
      </w:r>
    </w:p>
    <w:p>
      <w:pPr>
        <w:spacing w:after="0" w:line="2" w:lineRule="exact"/>
        <w:rPr>
          <w:sz w:val="20"/>
          <w:szCs w:val="20"/>
          <w:color w:val="auto"/>
        </w:rPr>
      </w:pPr>
    </w:p>
    <w:p>
      <w:pPr>
        <w:ind w:left="120" w:hanging="4"/>
        <w:spacing w:after="0" w:line="251" w:lineRule="auto"/>
        <w:tabs>
          <w:tab w:leader="none" w:pos="335"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not be amended or waived with respect to any Investor without the written consent of such Investor unless such amendment or waiver applies to all Investors in the same fashion, and (ii) any amendment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shall require the consent of each Investor. No consideration (including any modification of this Agreement) shall be offered or paid to any Person to amend or consent to a waiver or modification of any provision of this Agreement unless the same consideration is also offered to all of the parties to this Agreement.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that is material and adverse to the Placement Agents shall be valid without the prior written consent of the Placement Agents, which consent may be granted or withheld in the sole discretion of the Placement Agents.</w:t>
      </w:r>
    </w:p>
    <w:p>
      <w:pPr>
        <w:spacing w:after="0" w:line="19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 xml:space="preserve">8.17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covenants, representations and warranties made by each party hereto contained in this Agreement shall survive the Closing and the delivery of the Preferred Shares in accordance with their respective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H-33</w:t>
      </w:r>
    </w:p>
    <w:p>
      <w:pPr>
        <w:sectPr>
          <w:pgSz w:w="11900" w:h="16838" w:orient="portrait"/>
          <w:cols w:equalWidth="0" w:num="1">
            <w:col w:w="11120"/>
          </w:cols>
          <w:pgMar w:left="320" w:top="455" w:right="459" w:bottom="1440" w:gutter="0" w:footer="0" w:header="0"/>
        </w:sectPr>
      </w:pPr>
    </w:p>
    <w:bookmarkStart w:id="669" w:name="page670"/>
    <w:bookmarkEnd w:id="6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terms. Each Investor shall be responsible only for its own representations, warranties, agreements and covenants hereunder.</w:t>
      </w:r>
    </w:p>
    <w:p>
      <w:pPr>
        <w:spacing w:after="0" w:line="225"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 xml:space="preserve">8.18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xml:space="preserve">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8.19 </w:t>
      </w:r>
      <w:r>
        <w:rPr>
          <w:rFonts w:ascii="Times New Roman" w:cs="Times New Roman" w:eastAsia="Times New Roman" w:hAnsi="Times New Roman"/>
          <w:sz w:val="18"/>
          <w:szCs w:val="18"/>
          <w:u w:val="single" w:color="auto"/>
          <w:color w:val="auto"/>
        </w:rPr>
        <w:t>Arm’s Length Negotiations</w:t>
      </w:r>
      <w:r>
        <w:rPr>
          <w:rFonts w:ascii="Times New Roman" w:cs="Times New Roman" w:eastAsia="Times New Roman" w:hAnsi="Times New Roman"/>
          <w:sz w:val="18"/>
          <w:szCs w:val="18"/>
          <w:color w:val="auto"/>
        </w:rPr>
        <w:t>. For the avoidance of doubt, the parties acknowledge and confirm that the terms and conditions of the Preferred Shares were determined as a result of arm’s-length negotiations.</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 xml:space="preserve">8.20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H-34</w:t>
      </w:r>
    </w:p>
    <w:p>
      <w:pPr>
        <w:sectPr>
          <w:pgSz w:w="11900" w:h="16838" w:orient="portrait"/>
          <w:cols w:equalWidth="0" w:num="1">
            <w:col w:w="11040"/>
          </w:cols>
          <w:pgMar w:left="320" w:top="455" w:right="539" w:bottom="1440" w:gutter="0" w:footer="0" w:header="0"/>
        </w:sectPr>
      </w:pPr>
    </w:p>
    <w:bookmarkStart w:id="670" w:name="page671"/>
    <w:bookmarkEnd w:id="6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GALERA THERAPEUTICS,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-16510</wp:posOffset>
            </wp:positionV>
            <wp:extent cx="240030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 Mel Sorensen, M.D.</w:t>
      </w:r>
    </w:p>
    <w:p>
      <w:pPr>
        <w:spacing w:after="0" w:line="9"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13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H-35</w:t>
      </w:r>
    </w:p>
    <w:p>
      <w:pPr>
        <w:sectPr>
          <w:pgSz w:w="11900" w:h="16838" w:orient="portrait"/>
          <w:cols w:equalWidth="0" w:num="1">
            <w:col w:w="10139"/>
          </w:cols>
          <w:pgMar w:left="320" w:top="455" w:right="1440" w:bottom="1440" w:gutter="0" w:footer="0" w:header="0"/>
        </w:sectPr>
      </w:pPr>
    </w:p>
    <w:bookmarkStart w:id="671" w:name="page672"/>
    <w:bookmarkEnd w:id="6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GAZELLE PARENT,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-16510</wp:posOffset>
            </wp:positionV>
            <wp:extent cx="24003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 Mel Sorensen, M.D.</w:t>
      </w:r>
    </w:p>
    <w:p>
      <w:pPr>
        <w:spacing w:after="0" w:line="9"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Solely with respect to Sections 3.2, 3.3, 3.4, 3.5, 3.6, 3.7, 3.33 and 5.12 of this Agreement.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Agreement as of the day and year first above written.</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OBSIDIAN THERAPEUTICS, INC.*</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-16510</wp:posOffset>
            </wp:positionV>
            <wp:extent cx="240030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  Julie Feder</w:t>
      </w:r>
    </w:p>
    <w:p>
      <w:pPr>
        <w:spacing w:after="0" w:line="9"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  Solely with respect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of this Agreement.</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executed this Agreement as of the day and year first above written.</w:t>
      </w:r>
    </w:p>
    <w:p>
      <w:pPr>
        <w:spacing w:after="0" w:line="2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INVESTOR:</w:t>
      </w:r>
    </w:p>
    <w:p>
      <w:pPr>
        <w:spacing w:after="0" w:line="2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24345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22860</wp:posOffset>
            </wp:positionV>
            <wp:extent cx="243459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243459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-121920</wp:posOffset>
            </wp:positionV>
            <wp:extent cx="24345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Aggregate Series C Preferred Shares Purchase</w:t>
            </w:r>
          </w:p>
        </w:tc>
        <w:tc>
          <w:tcPr>
            <w:tcW w:w="1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40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Price (Preferred Subscription Amount):</w:t>
            </w:r>
          </w:p>
        </w:tc>
        <w:tc>
          <w:tcPr>
            <w:tcW w:w="1180" w:type="dxa"/>
            <w:vAlign w:val="bottom"/>
          </w:tcPr>
          <w:p>
            <w:pPr>
              <w:spacing w:after="0"/>
              <w:rPr>
                <w:sz w:val="18"/>
                <w:szCs w:val="18"/>
                <w:color w:val="auto"/>
              </w:rPr>
            </w:pPr>
          </w:p>
        </w:tc>
      </w:tr>
      <w:tr>
        <w:trPr>
          <w:trHeight w:val="234"/>
        </w:trPr>
        <w:tc>
          <w:tcPr>
            <w:tcW w:w="40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w:t>
            </w:r>
          </w:p>
        </w:tc>
        <w:tc>
          <w:tcPr>
            <w:tcW w:w="1180" w:type="dxa"/>
            <w:vAlign w:val="bottom"/>
          </w:tcPr>
          <w:p>
            <w:pPr>
              <w:spacing w:after="0"/>
              <w:rPr>
                <w:sz w:val="20"/>
                <w:szCs w:val="20"/>
                <w:color w:val="auto"/>
              </w:rPr>
            </w:pPr>
          </w:p>
        </w:tc>
      </w:tr>
      <w:tr>
        <w:trPr>
          <w:trHeight w:val="414"/>
        </w:trPr>
        <w:tc>
          <w:tcPr>
            <w:tcW w:w="40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Number of Series C Preferred Shares to be</w:t>
            </w:r>
          </w:p>
        </w:tc>
        <w:tc>
          <w:tcPr>
            <w:tcW w:w="1180" w:type="dxa"/>
            <w:vAlign w:val="bottom"/>
          </w:tcPr>
          <w:p>
            <w:pPr>
              <w:spacing w:after="0"/>
              <w:rPr>
                <w:sz w:val="24"/>
                <w:szCs w:val="24"/>
                <w:color w:val="auto"/>
              </w:rPr>
            </w:pPr>
          </w:p>
        </w:tc>
      </w:tr>
      <w:tr>
        <w:trPr>
          <w:trHeight w:val="234"/>
        </w:trPr>
        <w:tc>
          <w:tcPr>
            <w:tcW w:w="40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Acquired:</w:t>
            </w:r>
          </w:p>
        </w:tc>
        <w:tc>
          <w:tcPr>
            <w:tcW w:w="1180" w:type="dxa"/>
            <w:vAlign w:val="bottom"/>
          </w:tcPr>
          <w:p>
            <w:pPr>
              <w:spacing w:after="0"/>
              <w:rPr>
                <w:sz w:val="20"/>
                <w:szCs w:val="20"/>
                <w:color w:val="auto"/>
              </w:rPr>
            </w:pPr>
          </w:p>
        </w:tc>
      </w:tr>
      <w:tr>
        <w:trPr>
          <w:trHeight w:val="338"/>
        </w:trPr>
        <w:tc>
          <w:tcPr>
            <w:tcW w:w="40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w:t>
            </w:r>
          </w:p>
        </w:tc>
        <w:tc>
          <w:tcPr>
            <w:tcW w:w="1180" w:type="dxa"/>
            <w:vAlign w:val="bottom"/>
          </w:tcPr>
          <w:p>
            <w:pPr>
              <w:spacing w:after="0"/>
              <w:rPr>
                <w:sz w:val="24"/>
                <w:szCs w:val="24"/>
                <w:color w:val="auto"/>
              </w:rPr>
            </w:pPr>
          </w:p>
        </w:tc>
      </w:tr>
      <w:tr>
        <w:trPr>
          <w:trHeight w:val="427"/>
        </w:trPr>
        <w:tc>
          <w:tcPr>
            <w:tcW w:w="408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Tax ID No.: ____________________</w:t>
            </w:r>
          </w:p>
        </w:tc>
        <w:tc>
          <w:tcPr>
            <w:tcW w:w="1180" w:type="dxa"/>
            <w:vAlign w:val="bottom"/>
          </w:tcPr>
          <w:p>
            <w:pPr>
              <w:spacing w:after="0"/>
              <w:rPr>
                <w:sz w:val="24"/>
                <w:szCs w:val="24"/>
                <w:color w:val="auto"/>
              </w:rPr>
            </w:pPr>
          </w:p>
        </w:tc>
      </w:tr>
      <w:tr>
        <w:trPr>
          <w:trHeight w:val="234"/>
        </w:trPr>
        <w:tc>
          <w:tcPr>
            <w:tcW w:w="408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1180" w:type="dxa"/>
            <w:vAlign w:val="bottom"/>
          </w:tcPr>
          <w:p>
            <w:pPr>
              <w:spacing w:after="0"/>
              <w:rPr>
                <w:sz w:val="20"/>
                <w:szCs w:val="20"/>
                <w:color w:val="auto"/>
              </w:rPr>
            </w:pPr>
          </w:p>
        </w:tc>
      </w:tr>
      <w:tr>
        <w:trPr>
          <w:trHeight w:val="432"/>
        </w:trPr>
        <w:tc>
          <w:tcPr>
            <w:tcW w:w="4080" w:type="dxa"/>
            <w:vAlign w:val="bottom"/>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r>
        <w:trPr>
          <w:trHeight w:val="223"/>
        </w:trPr>
        <w:tc>
          <w:tcPr>
            <w:tcW w:w="4080" w:type="dxa"/>
            <w:vAlign w:val="bottom"/>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4080" w:type="dxa"/>
            <w:vAlign w:val="bottom"/>
          </w:tcPr>
          <w:p>
            <w:pPr>
              <w:spacing w:after="0"/>
              <w:rPr>
                <w:sz w:val="19"/>
                <w:szCs w:val="19"/>
                <w:color w:val="auto"/>
              </w:rPr>
            </w:pPr>
          </w:p>
        </w:tc>
        <w:tc>
          <w:tcPr>
            <w:tcW w:w="3520" w:type="dxa"/>
            <w:vAlign w:val="bottom"/>
            <w:tcBorders>
              <w:bottom w:val="single" w:sz="8" w:color="auto"/>
            </w:tcBorders>
          </w:tcPr>
          <w:p>
            <w:pPr>
              <w:spacing w:after="0"/>
              <w:rPr>
                <w:sz w:val="19"/>
                <w:szCs w:val="19"/>
                <w:color w:val="auto"/>
              </w:rPr>
            </w:pPr>
          </w:p>
        </w:tc>
        <w:tc>
          <w:tcPr>
            <w:tcW w:w="1180" w:type="dxa"/>
            <w:vAlign w:val="bottom"/>
          </w:tcPr>
          <w:p>
            <w:pPr>
              <w:spacing w:after="0"/>
              <w:rPr>
                <w:sz w:val="19"/>
                <w:szCs w:val="19"/>
                <w:color w:val="auto"/>
              </w:rPr>
            </w:pPr>
          </w:p>
        </w:tc>
      </w:tr>
    </w:tbl>
    <w:p>
      <w:pPr>
        <w:spacing w:after="0" w:line="21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Telephone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-7620</wp:posOffset>
            </wp:positionV>
            <wp:extent cx="102870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13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H-36</w:t>
      </w:r>
    </w:p>
    <w:p>
      <w:pPr>
        <w:sectPr>
          <w:pgSz w:w="11900" w:h="16838" w:orient="portrait"/>
          <w:cols w:equalWidth="0" w:num="1">
            <w:col w:w="10139"/>
          </w:cols>
          <w:pgMar w:left="320" w:top="455" w:right="1440" w:bottom="1440" w:gutter="0" w:footer="0" w:header="0"/>
        </w:sectPr>
      </w:pPr>
    </w:p>
    <w:bookmarkStart w:id="672" w:name="page673"/>
    <w:bookmarkEnd w:id="6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340"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Facsimile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-7620</wp:posOffset>
            </wp:positionV>
            <wp:extent cx="102870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 xml:space="preserve">E-mail Address: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-7620</wp:posOffset>
            </wp:positionV>
            <wp:extent cx="102870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Attention: _______________________</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Delivery Instructions: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different than above)</w:t>
      </w: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 ____________________________</w:t>
      </w:r>
    </w:p>
    <w:p>
      <w:pPr>
        <w:spacing w:after="0" w:line="2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Street: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wp:posOffset>
            </wp:positionH>
            <wp:positionV relativeFrom="paragraph">
              <wp:posOffset>-7620</wp:posOffset>
            </wp:positionV>
            <wp:extent cx="142811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City/State/Zip: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781050</wp:posOffset>
            </wp:positionH>
            <wp:positionV relativeFrom="paragraph">
              <wp:posOffset>-7620</wp:posOffset>
            </wp:positionV>
            <wp:extent cx="102870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Attention: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-7620</wp:posOffset>
            </wp:positionV>
            <wp:extent cx="1256665"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Telephone No.: ________________________</w:t>
      </w:r>
    </w:p>
    <w:p>
      <w:pPr>
        <w:spacing w:after="0" w:line="15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H-37</w:t>
      </w:r>
    </w:p>
    <w:p>
      <w:pPr>
        <w:sectPr>
          <w:pgSz w:w="11900" w:h="16838" w:orient="portrait"/>
          <w:cols w:equalWidth="0" w:num="1">
            <w:col w:w="10139"/>
          </w:cols>
          <w:pgMar w:left="320" w:top="455" w:right="1440" w:bottom="1440" w:gutter="0" w:footer="0" w:header="0"/>
        </w:sectPr>
      </w:pPr>
    </w:p>
    <w:bookmarkStart w:id="673" w:name="page674"/>
    <w:bookmarkEnd w:id="6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right"/>
        <w:ind w:right="3999"/>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6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H-38</w:t>
      </w:r>
    </w:p>
    <w:p>
      <w:pPr>
        <w:sectPr>
          <w:pgSz w:w="11900" w:h="16838" w:orient="portrait"/>
          <w:cols w:equalWidth="0" w:num="1">
            <w:col w:w="10139"/>
          </w:cols>
          <w:pgMar w:left="320" w:top="455" w:right="1440" w:bottom="1440" w:gutter="0" w:footer="0" w:header="0"/>
        </w:sectPr>
      </w:pPr>
    </w:p>
    <w:bookmarkStart w:id="674" w:name="page675"/>
    <w:bookmarkEnd w:id="6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1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H-39</w:t>
      </w:r>
    </w:p>
    <w:p>
      <w:pPr>
        <w:sectPr>
          <w:pgSz w:w="11900" w:h="16838" w:orient="portrait"/>
          <w:cols w:equalWidth="0" w:num="1">
            <w:col w:w="10139"/>
          </w:cols>
          <w:pgMar w:left="320" w:top="455" w:right="1440" w:bottom="1440" w:gutter="0" w:footer="0" w:header="0"/>
        </w:sectPr>
      </w:pPr>
    </w:p>
    <w:bookmarkStart w:id="675" w:name="page676"/>
    <w:bookmarkEnd w:id="6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FORM OF REGISTRATION RIGHTS AGREEMENT</w:t>
      </w:r>
    </w:p>
    <w:p>
      <w:pPr>
        <w:spacing w:after="0" w:line="1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H-40</w:t>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A1D606E"/>
    <w:multiLevelType w:val="hybridMultilevel"/>
    <w:lvl w:ilvl="0">
      <w:lvlJc w:val="left"/>
      <w:lvlText w:val="☐"/>
      <w:numFmt w:val="bullet"/>
      <w:start w:val="1"/>
    </w:lvl>
  </w:abstractNum>
  <w:abstractNum w:abstractNumId="1">
    <w:nsid w:val="4382503"/>
    <w:multiLevelType w:val="hybridMultilevel"/>
    <w:lvl w:ilvl="0">
      <w:lvlJc w:val="left"/>
      <w:lvlText w:val="☒"/>
      <w:numFmt w:val="bullet"/>
      <w:start w:val="1"/>
    </w:lvl>
  </w:abstractNum>
  <w:abstractNum w:abstractNumId="2">
    <w:nsid w:val="59B76E28"/>
    <w:multiLevelType w:val="hybridMultilevel"/>
    <w:lvl w:ilvl="0">
      <w:lvlJc w:val="left"/>
      <w:lvlText w:val="☒"/>
      <w:numFmt w:val="bullet"/>
      <w:start w:val="1"/>
    </w:lvl>
  </w:abstractNum>
  <w:abstractNum w:abstractNumId="3">
    <w:nsid w:val="4252C2DA"/>
    <w:multiLevelType w:val="hybridMultilevel"/>
    <w:lvl w:ilvl="0">
      <w:lvlJc w:val="left"/>
      <w:lvlText w:val="☐"/>
      <w:numFmt w:val="bullet"/>
      <w:start w:val="1"/>
    </w:lvl>
  </w:abstractNum>
  <w:abstractNum w:abstractNumId="4">
    <w:nsid w:val="6A92EF4C"/>
    <w:multiLevelType w:val="hybridMultilevel"/>
    <w:lvl w:ilvl="0">
      <w:lvlJc w:val="left"/>
      <w:lvlText w:val="(%1)"/>
      <w:numFmt w:val="decimal"/>
      <w:start w:val="2"/>
    </w:lvl>
  </w:abstractNum>
  <w:abstractNum w:abstractNumId="5">
    <w:nsid w:val="41ED20D7"/>
    <w:multiLevelType w:val="hybridMultilevel"/>
    <w:lvl w:ilvl="0">
      <w:lvlJc w:val="left"/>
      <w:lvlText w:val="(%1)"/>
      <w:numFmt w:val="lowerRoman"/>
      <w:start w:val="1"/>
    </w:lvl>
  </w:abstractNum>
  <w:abstractNum w:abstractNumId="6">
    <w:nsid w:val="E6B3F6A"/>
    <w:multiLevelType w:val="hybridMultilevel"/>
    <w:lvl w:ilvl="0">
      <w:lvlJc w:val="left"/>
      <w:lvlText w:val="•"/>
      <w:numFmt w:val="bullet"/>
      <w:start w:val="1"/>
    </w:lvl>
  </w:abstractNum>
  <w:abstractNum w:abstractNumId="7">
    <w:nsid w:val="3EB21819"/>
    <w:multiLevelType w:val="hybridMultilevel"/>
    <w:lvl w:ilvl="0">
      <w:lvlJc w:val="left"/>
      <w:lvlText w:val="•"/>
      <w:numFmt w:val="bullet"/>
      <w:start w:val="1"/>
    </w:lvl>
    <w:lvl w:ilvl="1">
      <w:lvlJc w:val="left"/>
      <w:lvlText w:val="•"/>
      <w:numFmt w:val="bullet"/>
      <w:start w:val="1"/>
    </w:lvl>
  </w:abstractNum>
  <w:abstractNum w:abstractNumId="8">
    <w:nsid w:val="41531DED"/>
    <w:multiLevelType w:val="hybridMultilevel"/>
    <w:lvl w:ilvl="0">
      <w:lvlJc w:val="left"/>
      <w:lvlText w:val="•"/>
      <w:numFmt w:val="bullet"/>
      <w:start w:val="1"/>
    </w:lvl>
  </w:abstractNum>
  <w:abstractNum w:abstractNumId="9">
    <w:nsid w:val="6353CD2"/>
    <w:multiLevelType w:val="hybridMultilevel"/>
    <w:lvl w:ilvl="0">
      <w:lvlJc w:val="left"/>
      <w:lvlText w:val="•"/>
      <w:numFmt w:val="bullet"/>
      <w:start w:val="1"/>
    </w:lvl>
  </w:abstractNum>
  <w:abstractNum w:abstractNumId="10">
    <w:nsid w:val="683CAAD3"/>
    <w:multiLevelType w:val="hybridMultilevel"/>
    <w:lvl w:ilvl="0">
      <w:lvlJc w:val="left"/>
      <w:lvlText w:val="•"/>
      <w:numFmt w:val="bullet"/>
      <w:start w:val="1"/>
    </w:lvl>
  </w:abstractNum>
  <w:abstractNum w:abstractNumId="11">
    <w:nsid w:val="313C7C99"/>
    <w:multiLevelType w:val="hybridMultilevel"/>
    <w:lvl w:ilvl="0">
      <w:lvlJc w:val="left"/>
      <w:lvlText w:val="•"/>
      <w:numFmt w:val="bullet"/>
      <w:start w:val="1"/>
    </w:lvl>
  </w:abstractNum>
  <w:abstractNum w:abstractNumId="12">
    <w:nsid w:val="519EB94C"/>
    <w:multiLevelType w:val="hybridMultilevel"/>
    <w:lvl w:ilvl="0">
      <w:lvlJc w:val="left"/>
      <w:lvlText w:val="•"/>
      <w:numFmt w:val="bullet"/>
      <w:start w:val="1"/>
    </w:lvl>
  </w:abstractNum>
  <w:abstractNum w:abstractNumId="13">
    <w:nsid w:val="39DF2579"/>
    <w:multiLevelType w:val="hybridMultilevel"/>
    <w:lvl w:ilvl="0">
      <w:lvlJc w:val="left"/>
      <w:lvlText w:val="%1:"/>
      <w:numFmt w:val="upperLetter"/>
      <w:start w:val="17"/>
    </w:lvl>
  </w:abstractNum>
  <w:abstractNum w:abstractNumId="14">
    <w:nsid w:val="126E008B"/>
    <w:multiLevelType w:val="hybridMultilevel"/>
    <w:lvl w:ilvl="0">
      <w:lvlJc w:val="left"/>
      <w:lvlText w:val="%1:"/>
      <w:numFmt w:val="upperLetter"/>
      <w:start w:val="1"/>
    </w:lvl>
  </w:abstractNum>
  <w:abstractNum w:abstractNumId="15">
    <w:nsid w:val="34DFBC00"/>
    <w:multiLevelType w:val="hybridMultilevel"/>
    <w:lvl w:ilvl="0">
      <w:lvlJc w:val="left"/>
      <w:lvlText w:val="%1:"/>
      <w:numFmt w:val="upperLetter"/>
      <w:start w:val="17"/>
    </w:lvl>
  </w:abstractNum>
  <w:abstractNum w:abstractNumId="16">
    <w:nsid w:val="1F9EC322"/>
    <w:multiLevelType w:val="hybridMultilevel"/>
    <w:lvl w:ilvl="0">
      <w:lvlJc w:val="left"/>
      <w:lvlText w:val="%1:"/>
      <w:numFmt w:val="upperLetter"/>
      <w:start w:val="1"/>
    </w:lvl>
  </w:abstractNum>
  <w:abstractNum w:abstractNumId="17">
    <w:nsid w:val="3410ED56"/>
    <w:multiLevelType w:val="hybridMultilevel"/>
    <w:lvl w:ilvl="0">
      <w:lvlJc w:val="left"/>
      <w:lvlText w:val="%1:"/>
      <w:numFmt w:val="upperLetter"/>
      <w:start w:val="17"/>
    </w:lvl>
  </w:abstractNum>
  <w:abstractNum w:abstractNumId="18">
    <w:nsid w:val="23C049A"/>
    <w:multiLevelType w:val="hybridMultilevel"/>
    <w:lvl w:ilvl="0">
      <w:lvlJc w:val="left"/>
      <w:lvlText w:val="%1:"/>
      <w:numFmt w:val="upperLetter"/>
      <w:start w:val="1"/>
    </w:lvl>
  </w:abstractNum>
  <w:abstractNum w:abstractNumId="19">
    <w:nsid w:val="5BDA35D4"/>
    <w:multiLevelType w:val="hybridMultilevel"/>
    <w:lvl w:ilvl="0">
      <w:lvlJc w:val="left"/>
      <w:lvlText w:val="%1:"/>
      <w:numFmt w:val="upperLetter"/>
      <w:start w:val="17"/>
    </w:lvl>
  </w:abstractNum>
  <w:abstractNum w:abstractNumId="20">
    <w:nsid w:val="496FB218"/>
    <w:multiLevelType w:val="hybridMultilevel"/>
    <w:lvl w:ilvl="0">
      <w:lvlJc w:val="left"/>
      <w:lvlText w:val="%1:"/>
      <w:numFmt w:val="upperLetter"/>
      <w:start w:val="1"/>
    </w:lvl>
  </w:abstractNum>
  <w:abstractNum w:abstractNumId="21">
    <w:nsid w:val="680EA5D1"/>
    <w:multiLevelType w:val="hybridMultilevel"/>
    <w:lvl w:ilvl="0">
      <w:lvlJc w:val="left"/>
      <w:lvlText w:val="%1:"/>
      <w:numFmt w:val="upperLetter"/>
      <w:start w:val="17"/>
    </w:lvl>
  </w:abstractNum>
  <w:abstractNum w:abstractNumId="22">
    <w:nsid w:val="4A9554FE"/>
    <w:multiLevelType w:val="hybridMultilevel"/>
    <w:lvl w:ilvl="0">
      <w:lvlJc w:val="left"/>
      <w:lvlText w:val="%1:"/>
      <w:numFmt w:val="upperLetter"/>
      <w:start w:val="1"/>
    </w:lvl>
  </w:abstractNum>
  <w:abstractNum w:abstractNumId="23">
    <w:nsid w:val="392EDBE4"/>
    <w:multiLevelType w:val="hybridMultilevel"/>
    <w:lvl w:ilvl="0">
      <w:lvlJc w:val="left"/>
      <w:lvlText w:val="%1:"/>
      <w:numFmt w:val="upperLetter"/>
      <w:start w:val="17"/>
    </w:lvl>
  </w:abstractNum>
  <w:abstractNum w:abstractNumId="24">
    <w:nsid w:val="3D1A2DD9"/>
    <w:multiLevelType w:val="hybridMultilevel"/>
    <w:lvl w:ilvl="0">
      <w:lvlJc w:val="left"/>
      <w:lvlText w:val="%1:"/>
      <w:numFmt w:val="upperLetter"/>
      <w:start w:val="1"/>
    </w:lvl>
  </w:abstractNum>
  <w:abstractNum w:abstractNumId="25">
    <w:nsid w:val="7F618FCD"/>
    <w:multiLevelType w:val="hybridMultilevel"/>
    <w:lvl w:ilvl="0">
      <w:lvlJc w:val="left"/>
      <w:lvlText w:val="%1:"/>
      <w:numFmt w:val="upperLetter"/>
      <w:start w:val="17"/>
    </w:lvl>
  </w:abstractNum>
  <w:abstractNum w:abstractNumId="26">
    <w:nsid w:val="7843E45"/>
    <w:multiLevelType w:val="hybridMultilevel"/>
    <w:lvl w:ilvl="0">
      <w:lvlJc w:val="left"/>
      <w:lvlText w:val="%1:"/>
      <w:numFmt w:val="upperLetter"/>
      <w:start w:val="1"/>
    </w:lvl>
  </w:abstractNum>
  <w:abstractNum w:abstractNumId="27">
    <w:nsid w:val="9815DA3"/>
    <w:multiLevelType w:val="hybridMultilevel"/>
    <w:lvl w:ilvl="0">
      <w:lvlJc w:val="left"/>
      <w:lvlText w:val="%1:"/>
      <w:numFmt w:val="upperLetter"/>
      <w:start w:val="17"/>
    </w:lvl>
  </w:abstractNum>
  <w:abstractNum w:abstractNumId="28">
    <w:nsid w:val="5204A191"/>
    <w:multiLevelType w:val="hybridMultilevel"/>
    <w:lvl w:ilvl="0">
      <w:lvlJc w:val="left"/>
      <w:lvlText w:val="%1:"/>
      <w:numFmt w:val="upperLetter"/>
      <w:start w:val="1"/>
    </w:lvl>
  </w:abstractNum>
  <w:abstractNum w:abstractNumId="29">
    <w:nsid w:val="4C73A9C6"/>
    <w:multiLevelType w:val="hybridMultilevel"/>
    <w:lvl w:ilvl="0">
      <w:lvlJc w:val="left"/>
      <w:lvlText w:val="%1:"/>
      <w:numFmt w:val="upperLetter"/>
      <w:start w:val="17"/>
    </w:lvl>
  </w:abstractNum>
  <w:abstractNum w:abstractNumId="30">
    <w:nsid w:val="1C7E3C01"/>
    <w:multiLevelType w:val="hybridMultilevel"/>
    <w:lvl w:ilvl="0">
      <w:lvlJc w:val="left"/>
      <w:lvlText w:val="%1:"/>
      <w:numFmt w:val="upperLetter"/>
      <w:start w:val="1"/>
    </w:lvl>
  </w:abstractNum>
  <w:abstractNum w:abstractNumId="31">
    <w:nsid w:val="1C2201FF"/>
    <w:multiLevelType w:val="hybridMultilevel"/>
    <w:lvl w:ilvl="0">
      <w:lvlJc w:val="left"/>
      <w:lvlText w:val="%1:"/>
      <w:numFmt w:val="upperLetter"/>
      <w:start w:val="17"/>
    </w:lvl>
  </w:abstractNum>
  <w:abstractNum w:abstractNumId="32">
    <w:nsid w:val="50ABCEC9"/>
    <w:multiLevelType w:val="hybridMultilevel"/>
    <w:lvl w:ilvl="0">
      <w:lvlJc w:val="left"/>
      <w:lvlText w:val="%1:"/>
      <w:numFmt w:val="upperLetter"/>
      <w:start w:val="1"/>
    </w:lvl>
  </w:abstractNum>
  <w:abstractNum w:abstractNumId="33">
    <w:nsid w:val="7635AA2A"/>
    <w:multiLevelType w:val="hybridMultilevel"/>
    <w:lvl w:ilvl="0">
      <w:lvlJc w:val="left"/>
      <w:lvlText w:val="%1:"/>
      <w:numFmt w:val="upperLetter"/>
      <w:start w:val="17"/>
    </w:lvl>
  </w:abstractNum>
  <w:abstractNum w:abstractNumId="34">
    <w:nsid w:val="5E74C4D9"/>
    <w:multiLevelType w:val="hybridMultilevel"/>
    <w:lvl w:ilvl="0">
      <w:lvlJc w:val="left"/>
      <w:lvlText w:val="%1:"/>
      <w:numFmt w:val="upperLetter"/>
      <w:start w:val="1"/>
    </w:lvl>
  </w:abstractNum>
  <w:abstractNum w:abstractNumId="35">
    <w:nsid w:val="3B3EBE15"/>
    <w:multiLevelType w:val="hybridMultilevel"/>
    <w:lvl w:ilvl="0">
      <w:lvlJc w:val="left"/>
      <w:lvlText w:val="%1:"/>
      <w:numFmt w:val="upperLetter"/>
      <w:start w:val="17"/>
    </w:lvl>
  </w:abstractNum>
  <w:abstractNum w:abstractNumId="36">
    <w:nsid w:val="3822CB01"/>
    <w:multiLevelType w:val="hybridMultilevel"/>
    <w:lvl w:ilvl="0">
      <w:lvlJc w:val="left"/>
      <w:lvlText w:val="%1:"/>
      <w:numFmt w:val="upperLetter"/>
      <w:start w:val="1"/>
    </w:lvl>
  </w:abstractNum>
  <w:abstractNum w:abstractNumId="37">
    <w:nsid w:val="6CE00443"/>
    <w:multiLevelType w:val="hybridMultilevel"/>
    <w:lvl w:ilvl="0">
      <w:lvlJc w:val="left"/>
      <w:lvlText w:val="%1:"/>
      <w:numFmt w:val="upperLetter"/>
      <w:start w:val="17"/>
    </w:lvl>
  </w:abstractNum>
  <w:abstractNum w:abstractNumId="38">
    <w:nsid w:val="79F0D62F"/>
    <w:multiLevelType w:val="hybridMultilevel"/>
    <w:lvl w:ilvl="0">
      <w:lvlJc w:val="left"/>
      <w:lvlText w:val="%1:"/>
      <w:numFmt w:val="upperLetter"/>
      <w:start w:val="1"/>
    </w:lvl>
  </w:abstractNum>
  <w:abstractNum w:abstractNumId="39">
    <w:nsid w:val="7975E8EE"/>
    <w:multiLevelType w:val="hybridMultilevel"/>
    <w:lvl w:ilvl="0">
      <w:lvlJc w:val="left"/>
      <w:lvlText w:val="%1:"/>
      <w:numFmt w:val="upperLetter"/>
      <w:start w:val="17"/>
    </w:lvl>
  </w:abstractNum>
  <w:abstractNum w:abstractNumId="40">
    <w:nsid w:val="73154115"/>
    <w:multiLevelType w:val="hybridMultilevel"/>
    <w:lvl w:ilvl="0">
      <w:lvlJc w:val="left"/>
      <w:lvlText w:val="%1:"/>
      <w:numFmt w:val="upperLetter"/>
      <w:start w:val="1"/>
    </w:lvl>
  </w:abstractNum>
  <w:abstractNum w:abstractNumId="41">
    <w:nsid w:val="622D8102"/>
    <w:multiLevelType w:val="hybridMultilevel"/>
    <w:lvl w:ilvl="0">
      <w:lvlJc w:val="left"/>
      <w:lvlText w:val="%1:"/>
      <w:numFmt w:val="upperLetter"/>
      <w:start w:val="17"/>
    </w:lvl>
  </w:abstractNum>
  <w:abstractNum w:abstractNumId="42">
    <w:nsid w:val="2AB26587"/>
    <w:multiLevelType w:val="hybridMultilevel"/>
    <w:lvl w:ilvl="0">
      <w:lvlJc w:val="left"/>
      <w:lvlText w:val="%1:"/>
      <w:numFmt w:val="upperLetter"/>
      <w:start w:val="1"/>
    </w:lvl>
  </w:abstractNum>
  <w:abstractNum w:abstractNumId="43">
    <w:nsid w:val="44B3FA61"/>
    <w:multiLevelType w:val="hybridMultilevel"/>
    <w:lvl w:ilvl="0">
      <w:lvlJc w:val="left"/>
      <w:lvlText w:val="%1:"/>
      <w:numFmt w:val="upperLetter"/>
      <w:start w:val="17"/>
    </w:lvl>
  </w:abstractNum>
  <w:abstractNum w:abstractNumId="44">
    <w:nsid w:val="1C0CA67C"/>
    <w:multiLevelType w:val="hybridMultilevel"/>
    <w:lvl w:ilvl="0">
      <w:lvlJc w:val="left"/>
      <w:lvlText w:val="%1:"/>
      <w:numFmt w:val="upperLetter"/>
      <w:start w:val="1"/>
    </w:lvl>
  </w:abstractNum>
  <w:abstractNum w:abstractNumId="45">
    <w:nsid w:val="3D206613"/>
    <w:multiLevelType w:val="hybridMultilevel"/>
    <w:lvl w:ilvl="0">
      <w:lvlJc w:val="left"/>
      <w:lvlText w:val="•"/>
      <w:numFmt w:val="bullet"/>
      <w:start w:val="1"/>
    </w:lvl>
  </w:abstractNum>
  <w:abstractNum w:abstractNumId="46">
    <w:nsid w:val="7993B662"/>
    <w:multiLevelType w:val="hybridMultilevel"/>
    <w:lvl w:ilvl="0">
      <w:lvlJc w:val="left"/>
      <w:lvlText w:val="•"/>
      <w:numFmt w:val="bullet"/>
      <w:start w:val="1"/>
    </w:lvl>
  </w:abstractNum>
  <w:abstractNum w:abstractNumId="47">
    <w:nsid w:val="3BAB699E"/>
    <w:multiLevelType w:val="hybridMultilevel"/>
    <w:lvl w:ilvl="0">
      <w:lvlJc w:val="left"/>
      <w:lvlText w:val="•"/>
      <w:numFmt w:val="bullet"/>
      <w:start w:val="1"/>
    </w:lvl>
  </w:abstractNum>
  <w:abstractNum w:abstractNumId="48">
    <w:nsid w:val="71315369"/>
    <w:multiLevelType w:val="hybridMultilevel"/>
    <w:lvl w:ilvl="0">
      <w:lvlJc w:val="left"/>
      <w:lvlText w:val="•"/>
      <w:numFmt w:val="bullet"/>
      <w:start w:val="1"/>
    </w:lvl>
  </w:abstractNum>
  <w:abstractNum w:abstractNumId="49">
    <w:nsid w:val="7BCFBAFC"/>
    <w:multiLevelType w:val="hybridMultilevel"/>
    <w:lvl w:ilvl="0">
      <w:lvlJc w:val="left"/>
      <w:lvlText w:val="•"/>
      <w:numFmt w:val="bullet"/>
      <w:start w:val="1"/>
    </w:lvl>
  </w:abstractNum>
  <w:abstractNum w:abstractNumId="50">
    <w:nsid w:val="17859F72"/>
    <w:multiLevelType w:val="hybridMultilevel"/>
    <w:lvl w:ilvl="0">
      <w:lvlJc w:val="left"/>
      <w:lvlText w:val="•"/>
      <w:numFmt w:val="bullet"/>
      <w:start w:val="1"/>
    </w:lvl>
  </w:abstractNum>
  <w:abstractNum w:abstractNumId="51">
    <w:nsid w:val="3AA10581"/>
    <w:multiLevelType w:val="hybridMultilevel"/>
    <w:lvl w:ilvl="0">
      <w:lvlJc w:val="left"/>
      <w:lvlText w:val="•"/>
      <w:numFmt w:val="bullet"/>
      <w:start w:val="1"/>
    </w:lvl>
  </w:abstractNum>
  <w:abstractNum w:abstractNumId="52">
    <w:nsid w:val="63DE60CD"/>
    <w:multiLevelType w:val="hybridMultilevel"/>
    <w:lvl w:ilvl="0">
      <w:lvlJc w:val="left"/>
      <w:lvlText w:val="•"/>
      <w:numFmt w:val="bullet"/>
      <w:start w:val="1"/>
    </w:lvl>
  </w:abstractNum>
  <w:abstractNum w:abstractNumId="53">
    <w:nsid w:val="621AF471"/>
    <w:multiLevelType w:val="hybridMultilevel"/>
    <w:lvl w:ilvl="0">
      <w:lvlJc w:val="left"/>
      <w:lvlText w:val="•"/>
      <w:numFmt w:val="bullet"/>
      <w:start w:val="1"/>
    </w:lvl>
  </w:abstractNum>
  <w:abstractNum w:abstractNumId="54">
    <w:nsid w:val="73CFE165"/>
    <w:multiLevelType w:val="hybridMultilevel"/>
    <w:lvl w:ilvl="0">
      <w:lvlJc w:val="left"/>
      <w:lvlText w:val="•"/>
      <w:numFmt w:val="bullet"/>
      <w:start w:val="1"/>
    </w:lvl>
  </w:abstractNum>
  <w:abstractNum w:abstractNumId="55">
    <w:nsid w:val="20F88EA6"/>
    <w:multiLevelType w:val="hybridMultilevel"/>
    <w:lvl w:ilvl="0">
      <w:lvlJc w:val="left"/>
      <w:lvlText w:val="(%1)"/>
      <w:numFmt w:val="lowerLetter"/>
      <w:start w:val="4"/>
    </w:lvl>
  </w:abstractNum>
  <w:abstractNum w:abstractNumId="56">
    <w:nsid w:val="617C843E"/>
    <w:multiLevelType w:val="hybridMultilevel"/>
    <w:lvl w:ilvl="0">
      <w:lvlJc w:val="left"/>
      <w:lvlText w:val="•"/>
      <w:numFmt w:val="bullet"/>
      <w:start w:val="1"/>
    </w:lvl>
  </w:abstractNum>
  <w:abstractNum w:abstractNumId="57">
    <w:nsid w:val="7B541FAB"/>
    <w:multiLevelType w:val="hybridMultilevel"/>
    <w:lvl w:ilvl="0">
      <w:lvlJc w:val="left"/>
      <w:lvlText w:val="•"/>
      <w:numFmt w:val="bullet"/>
      <w:start w:val="1"/>
    </w:lvl>
  </w:abstractNum>
  <w:abstractNum w:abstractNumId="58">
    <w:nsid w:val="2A79EC49"/>
    <w:multiLevelType w:val="hybridMultilevel"/>
    <w:lvl w:ilvl="0">
      <w:lvlJc w:val="left"/>
      <w:lvlText w:val="•"/>
      <w:numFmt w:val="bullet"/>
      <w:start w:val="1"/>
    </w:lvl>
  </w:abstractNum>
  <w:abstractNum w:abstractNumId="59">
    <w:nsid w:val="338125CF"/>
    <w:multiLevelType w:val="hybridMultilevel"/>
    <w:lvl w:ilvl="0">
      <w:lvlJc w:val="left"/>
      <w:lvlText w:val="•"/>
      <w:numFmt w:val="bullet"/>
      <w:start w:val="1"/>
    </w:lvl>
  </w:abstractNum>
  <w:abstractNum w:abstractNumId="60">
    <w:nsid w:val="47C7C971"/>
    <w:multiLevelType w:val="hybridMultilevel"/>
    <w:lvl w:ilvl="0">
      <w:lvlJc w:val="left"/>
      <w:lvlText w:val="•"/>
      <w:numFmt w:val="bullet"/>
      <w:start w:val="1"/>
    </w:lvl>
  </w:abstractNum>
  <w:abstractNum w:abstractNumId="61">
    <w:nsid w:val="46F8284B"/>
    <w:multiLevelType w:val="hybridMultilevel"/>
    <w:lvl w:ilvl="0">
      <w:lvlJc w:val="left"/>
      <w:lvlText w:val="•"/>
      <w:numFmt w:val="bullet"/>
      <w:start w:val="1"/>
    </w:lvl>
  </w:abstractNum>
  <w:abstractNum w:abstractNumId="62">
    <w:nsid w:val="4FA327CE"/>
    <w:multiLevelType w:val="hybridMultilevel"/>
    <w:lvl w:ilvl="0">
      <w:lvlJc w:val="left"/>
      <w:lvlText w:val="•"/>
      <w:numFmt w:val="bullet"/>
      <w:start w:val="1"/>
    </w:lvl>
  </w:abstractNum>
  <w:abstractNum w:abstractNumId="63">
    <w:nsid w:val="1873983A"/>
    <w:multiLevelType w:val="hybridMultilevel"/>
    <w:lvl w:ilvl="0">
      <w:lvlJc w:val="left"/>
      <w:lvlText w:val="•"/>
      <w:numFmt w:val="bullet"/>
      <w:start w:val="1"/>
    </w:lvl>
  </w:abstractNum>
  <w:abstractNum w:abstractNumId="64">
    <w:nsid w:val="3D2DD275"/>
    <w:multiLevelType w:val="hybridMultilevel"/>
    <w:lvl w:ilvl="0">
      <w:lvlJc w:val="left"/>
      <w:lvlText w:val="(%1)"/>
      <w:numFmt w:val="lowerRoman"/>
      <w:start w:val="4"/>
    </w:lvl>
  </w:abstractNum>
  <w:abstractNum w:abstractNumId="65">
    <w:nsid w:val="2E17ECA7"/>
    <w:multiLevelType w:val="hybridMultilevel"/>
    <w:lvl w:ilvl="0">
      <w:lvlJc w:val="left"/>
      <w:lvlText w:val="•"/>
      <w:numFmt w:val="bullet"/>
      <w:start w:val="1"/>
    </w:lvl>
  </w:abstractNum>
  <w:abstractNum w:abstractNumId="66">
    <w:nsid w:val="53B2564F"/>
    <w:multiLevelType w:val="hybridMultilevel"/>
    <w:lvl w:ilvl="0">
      <w:lvlJc w:val="left"/>
      <w:lvlText w:val="•"/>
      <w:numFmt w:val="bullet"/>
      <w:start w:val="1"/>
    </w:lvl>
  </w:abstractNum>
  <w:abstractNum w:abstractNumId="67">
    <w:nsid w:val="75509D76"/>
    <w:multiLevelType w:val="hybridMultilevel"/>
    <w:lvl w:ilvl="0">
      <w:lvlJc w:val="left"/>
      <w:lvlText w:val="•"/>
      <w:numFmt w:val="bullet"/>
      <w:start w:val="1"/>
    </w:lvl>
  </w:abstractNum>
  <w:abstractNum w:abstractNumId="68">
    <w:nsid w:val="1AF7F0EA"/>
    <w:multiLevelType w:val="hybridMultilevel"/>
    <w:lvl w:ilvl="0">
      <w:lvlJc w:val="left"/>
      <w:lvlText w:val="•"/>
      <w:numFmt w:val="bullet"/>
      <w:start w:val="1"/>
    </w:lvl>
  </w:abstractNum>
  <w:abstractNum w:abstractNumId="69">
    <w:nsid w:val="4DA32C7E"/>
    <w:multiLevelType w:val="hybridMultilevel"/>
    <w:lvl w:ilvl="0">
      <w:lvlJc w:val="left"/>
      <w:lvlText w:val="•"/>
      <w:numFmt w:val="bullet"/>
      <w:start w:val="1"/>
    </w:lvl>
  </w:abstractNum>
  <w:abstractNum w:abstractNumId="70">
    <w:nsid w:val="6EC68664"/>
    <w:multiLevelType w:val="hybridMultilevel"/>
    <w:lvl w:ilvl="0">
      <w:lvlJc w:val="left"/>
      <w:lvlText w:val="•"/>
      <w:numFmt w:val="bullet"/>
      <w:start w:val="1"/>
    </w:lvl>
  </w:abstractNum>
  <w:abstractNum w:abstractNumId="71">
    <w:nsid w:val="E0D31FF"/>
    <w:multiLevelType w:val="hybridMultilevel"/>
    <w:lvl w:ilvl="0">
      <w:lvlJc w:val="left"/>
      <w:lvlText w:val="•"/>
      <w:numFmt w:val="bullet"/>
      <w:start w:val="1"/>
    </w:lvl>
  </w:abstractNum>
  <w:abstractNum w:abstractNumId="72">
    <w:nsid w:val="2FD0AD81"/>
    <w:multiLevelType w:val="hybridMultilevel"/>
    <w:lvl w:ilvl="0">
      <w:lvlJc w:val="left"/>
      <w:lvlText w:val="•"/>
      <w:numFmt w:val="bullet"/>
      <w:start w:val="1"/>
    </w:lvl>
  </w:abstractNum>
  <w:abstractNum w:abstractNumId="73">
    <w:nsid w:val="1978EBEB"/>
    <w:multiLevelType w:val="hybridMultilevel"/>
    <w:lvl w:ilvl="0">
      <w:lvlJc w:val="left"/>
      <w:lvlText w:val="•"/>
      <w:numFmt w:val="bullet"/>
      <w:start w:val="1"/>
    </w:lvl>
  </w:abstractNum>
  <w:abstractNum w:abstractNumId="74">
    <w:nsid w:val="52C12C61"/>
    <w:multiLevelType w:val="hybridMultilevel"/>
    <w:lvl w:ilvl="0">
      <w:lvlJc w:val="left"/>
      <w:lvlText w:val="•"/>
      <w:numFmt w:val="bullet"/>
      <w:start w:val="1"/>
    </w:lvl>
  </w:abstractNum>
  <w:abstractNum w:abstractNumId="75">
    <w:nsid w:val="4BDD53FD"/>
    <w:multiLevelType w:val="hybridMultilevel"/>
    <w:lvl w:ilvl="0">
      <w:lvlJc w:val="left"/>
      <w:lvlText w:val="•"/>
      <w:numFmt w:val="bullet"/>
      <w:start w:val="1"/>
    </w:lvl>
  </w:abstractNum>
  <w:abstractNum w:abstractNumId="76">
    <w:nsid w:val="569951FE"/>
    <w:multiLevelType w:val="hybridMultilevel"/>
    <w:lvl w:ilvl="0">
      <w:lvlJc w:val="left"/>
      <w:lvlText w:val="•"/>
      <w:numFmt w:val="bullet"/>
      <w:start w:val="1"/>
    </w:lvl>
  </w:abstractNum>
  <w:abstractNum w:abstractNumId="77">
    <w:nsid w:val="4C54E2C3"/>
    <w:multiLevelType w:val="hybridMultilevel"/>
    <w:lvl w:ilvl="0">
      <w:lvlJc w:val="left"/>
      <w:lvlText w:val="•"/>
      <w:numFmt w:val="bullet"/>
      <w:start w:val="1"/>
    </w:lvl>
  </w:abstractNum>
  <w:abstractNum w:abstractNumId="78">
    <w:nsid w:val="788BD9B"/>
    <w:multiLevelType w:val="hybridMultilevel"/>
    <w:lvl w:ilvl="0">
      <w:lvlJc w:val="left"/>
      <w:lvlText w:val="•"/>
      <w:numFmt w:val="bullet"/>
      <w:start w:val="1"/>
    </w:lvl>
  </w:abstractNum>
  <w:abstractNum w:abstractNumId="79">
    <w:nsid w:val="47CAA567"/>
    <w:multiLevelType w:val="hybridMultilevel"/>
    <w:lvl w:ilvl="0">
      <w:lvlJc w:val="left"/>
      <w:lvlText w:val="•"/>
      <w:numFmt w:val="bullet"/>
      <w:start w:val="1"/>
    </w:lvl>
  </w:abstractNum>
  <w:abstractNum w:abstractNumId="80">
    <w:nsid w:val="48249DBF"/>
    <w:multiLevelType w:val="hybridMultilevel"/>
    <w:lvl w:ilvl="0">
      <w:lvlJc w:val="left"/>
      <w:lvlText w:val="•"/>
      <w:numFmt w:val="bullet"/>
      <w:start w:val="1"/>
    </w:lvl>
  </w:abstractNum>
  <w:abstractNum w:abstractNumId="81">
    <w:nsid w:val="1F0E5D0D"/>
    <w:multiLevelType w:val="hybridMultilevel"/>
    <w:lvl w:ilvl="0">
      <w:lvlJc w:val="left"/>
      <w:lvlText w:val="•"/>
      <w:numFmt w:val="bullet"/>
      <w:start w:val="1"/>
    </w:lvl>
  </w:abstractNum>
  <w:abstractNum w:abstractNumId="82">
    <w:nsid w:val="26BAAE9"/>
    <w:multiLevelType w:val="hybridMultilevel"/>
    <w:lvl w:ilvl="0">
      <w:lvlJc w:val="left"/>
      <w:lvlText w:val="•"/>
      <w:numFmt w:val="bullet"/>
      <w:start w:val="1"/>
    </w:lvl>
  </w:abstractNum>
  <w:abstractNum w:abstractNumId="83">
    <w:nsid w:val="2C02FE8C"/>
    <w:multiLevelType w:val="hybridMultilevel"/>
    <w:lvl w:ilvl="0">
      <w:lvlJc w:val="left"/>
      <w:lvlText w:val="•"/>
      <w:numFmt w:val="bullet"/>
      <w:start w:val="1"/>
    </w:lvl>
  </w:abstractNum>
  <w:abstractNum w:abstractNumId="84">
    <w:nsid w:val="129517E"/>
    <w:multiLevelType w:val="hybridMultilevel"/>
    <w:lvl w:ilvl="0">
      <w:lvlJc w:val="left"/>
      <w:lvlText w:val="•"/>
      <w:numFmt w:val="bullet"/>
      <w:start w:val="1"/>
    </w:lvl>
  </w:abstractNum>
  <w:abstractNum w:abstractNumId="85">
    <w:nsid w:val="763B8C4E"/>
    <w:multiLevelType w:val="hybridMultilevel"/>
    <w:lvl w:ilvl="0">
      <w:lvlJc w:val="left"/>
      <w:lvlText w:val="•"/>
      <w:numFmt w:val="bullet"/>
      <w:start w:val="1"/>
    </w:lvl>
  </w:abstractNum>
  <w:abstractNum w:abstractNumId="86">
    <w:nsid w:val="4CFB8D32"/>
    <w:multiLevelType w:val="hybridMultilevel"/>
    <w:lvl w:ilvl="0">
      <w:lvlJc w:val="left"/>
      <w:lvlText w:val="•"/>
      <w:numFmt w:val="bullet"/>
      <w:start w:val="1"/>
    </w:lvl>
  </w:abstractNum>
  <w:abstractNum w:abstractNumId="87">
    <w:nsid w:val="62A5D5BD"/>
    <w:multiLevelType w:val="hybridMultilevel"/>
    <w:lvl w:ilvl="0">
      <w:lvlJc w:val="left"/>
      <w:lvlText w:val="(%1)"/>
      <w:numFmt w:val="lowerRoman"/>
      <w:start w:val="1"/>
    </w:lvl>
  </w:abstractNum>
  <w:abstractNum w:abstractNumId="88">
    <w:nsid w:val="718FABF9"/>
    <w:multiLevelType w:val="hybridMultilevel"/>
    <w:lvl w:ilvl="0">
      <w:lvlJc w:val="left"/>
      <w:lvlText w:val="•"/>
      <w:numFmt w:val="bullet"/>
      <w:start w:val="1"/>
    </w:lvl>
  </w:abstractNum>
  <w:abstractNum w:abstractNumId="89">
    <w:nsid w:val="7775797C"/>
    <w:multiLevelType w:val="hybridMultilevel"/>
    <w:lvl w:ilvl="0">
      <w:lvlJc w:val="left"/>
      <w:lvlText w:val="•"/>
      <w:numFmt w:val="bullet"/>
      <w:start w:val="1"/>
    </w:lvl>
  </w:abstractNum>
  <w:abstractNum w:abstractNumId="90">
    <w:nsid w:val="1626FB8C"/>
    <w:multiLevelType w:val="hybridMultilevel"/>
    <w:lvl w:ilvl="0">
      <w:lvlJc w:val="left"/>
      <w:lvlText w:val="•"/>
      <w:numFmt w:val="bullet"/>
      <w:start w:val="1"/>
    </w:lvl>
  </w:abstractNum>
  <w:abstractNum w:abstractNumId="91">
    <w:nsid w:val="3957756A"/>
    <w:multiLevelType w:val="hybridMultilevel"/>
    <w:lvl w:ilvl="0">
      <w:lvlJc w:val="left"/>
      <w:lvlText w:val="•"/>
      <w:numFmt w:val="bullet"/>
      <w:start w:val="1"/>
    </w:lvl>
  </w:abstractNum>
  <w:abstractNum w:abstractNumId="92">
    <w:nsid w:val="3E6DA1C7"/>
    <w:multiLevelType w:val="hybridMultilevel"/>
    <w:lvl w:ilvl="0">
      <w:lvlJc w:val="left"/>
      <w:lvlText w:val="(%1)"/>
      <w:numFmt w:val="lowerRoman"/>
      <w:start w:val="1"/>
    </w:lvl>
  </w:abstractNum>
  <w:abstractNum w:abstractNumId="93">
    <w:nsid w:val="65CA235B"/>
    <w:multiLevelType w:val="hybridMultilevel"/>
    <w:lvl w:ilvl="0">
      <w:lvlJc w:val="left"/>
      <w:lvlText w:val="(%1)"/>
      <w:numFmt w:val="lowerRoman"/>
      <w:start w:val="4"/>
    </w:lvl>
  </w:abstractNum>
  <w:abstractNum w:abstractNumId="94">
    <w:nsid w:val="51CB0DA4"/>
    <w:multiLevelType w:val="hybridMultilevel"/>
    <w:lvl w:ilvl="0">
      <w:lvlJc w:val="left"/>
      <w:lvlText w:val="(%1)"/>
      <w:numFmt w:val="lowerRoman"/>
      <w:start w:val="4"/>
    </w:lvl>
  </w:abstractNum>
  <w:abstractNum w:abstractNumId="95">
    <w:nsid w:val="7B9B743C"/>
    <w:multiLevelType w:val="hybridMultilevel"/>
    <w:lvl w:ilvl="0">
      <w:lvlJc w:val="left"/>
      <w:lvlText w:val="•"/>
      <w:numFmt w:val="bullet"/>
      <w:start w:val="1"/>
    </w:lvl>
  </w:abstractNum>
  <w:abstractNum w:abstractNumId="96">
    <w:nsid w:val="13E21002"/>
    <w:multiLevelType w:val="hybridMultilevel"/>
    <w:lvl w:ilvl="0">
      <w:lvlJc w:val="left"/>
      <w:lvlText w:val="•"/>
      <w:numFmt w:val="bullet"/>
      <w:start w:val="1"/>
    </w:lvl>
  </w:abstractNum>
  <w:abstractNum w:abstractNumId="97">
    <w:nsid w:val="257D63F4"/>
    <w:multiLevelType w:val="hybridMultilevel"/>
    <w:lvl w:ilvl="0">
      <w:lvlJc w:val="left"/>
      <w:lvlText w:val="•"/>
      <w:numFmt w:val="bullet"/>
      <w:start w:val="1"/>
    </w:lvl>
  </w:abstractNum>
  <w:abstractNum w:abstractNumId="98">
    <w:nsid w:val="70EC11B2"/>
    <w:multiLevelType w:val="hybridMultilevel"/>
    <w:lvl w:ilvl="0">
      <w:lvlJc w:val="left"/>
      <w:lvlText w:val="•"/>
      <w:numFmt w:val="bullet"/>
      <w:start w:val="1"/>
    </w:lvl>
  </w:abstractNum>
  <w:abstractNum w:abstractNumId="99">
    <w:nsid w:val="2EDA00ED"/>
    <w:multiLevelType w:val="hybridMultilevel"/>
    <w:lvl w:ilvl="0">
      <w:lvlJc w:val="left"/>
      <w:lvlText w:val="•"/>
      <w:numFmt w:val="bullet"/>
      <w:start w:val="1"/>
    </w:lvl>
    <w:lvl w:ilvl="1">
      <w:lvlJc w:val="left"/>
      <w:lvlText w:val="•"/>
      <w:numFmt w:val="bullet"/>
      <w:start w:val="1"/>
    </w:lvl>
  </w:abstractNum>
  <w:abstractNum w:abstractNumId="100">
    <w:nsid w:val="73209072"/>
    <w:multiLevelType w:val="hybridMultilevel"/>
    <w:lvl w:ilvl="0">
      <w:lvlJc w:val="left"/>
      <w:lvlText w:val="•"/>
      <w:numFmt w:val="bullet"/>
      <w:start w:val="1"/>
    </w:lvl>
    <w:lvl w:ilvl="1">
      <w:lvlJc w:val="left"/>
      <w:lvlText w:val="•"/>
      <w:numFmt w:val="bullet"/>
      <w:start w:val="1"/>
    </w:lvl>
  </w:abstractNum>
  <w:abstractNum w:abstractNumId="101">
    <w:nsid w:val="5FB29816"/>
    <w:multiLevelType w:val="hybridMultilevel"/>
    <w:lvl w:ilvl="0">
      <w:lvlJc w:val="left"/>
      <w:lvlText w:val="•"/>
      <w:numFmt w:val="bullet"/>
      <w:start w:val="1"/>
    </w:lvl>
  </w:abstractNum>
  <w:abstractNum w:abstractNumId="102">
    <w:nsid w:val="3CE732EC"/>
    <w:multiLevelType w:val="hybridMultilevel"/>
    <w:lvl w:ilvl="0">
      <w:lvlJc w:val="left"/>
      <w:lvlText w:val="•"/>
      <w:numFmt w:val="bullet"/>
      <w:start w:val="1"/>
    </w:lvl>
  </w:abstractNum>
  <w:abstractNum w:abstractNumId="103">
    <w:nsid w:val="22F13DF3"/>
    <w:multiLevelType w:val="hybridMultilevel"/>
    <w:lvl w:ilvl="0">
      <w:lvlJc w:val="left"/>
      <w:lvlText w:val="(%1)"/>
      <w:numFmt w:val="decimal"/>
      <w:start w:val="1"/>
    </w:lvl>
  </w:abstractNum>
  <w:abstractNum w:abstractNumId="104">
    <w:nsid w:val="792B8401"/>
    <w:multiLevelType w:val="hybridMultilevel"/>
    <w:lvl w:ilvl="0">
      <w:lvlJc w:val="left"/>
      <w:lvlText w:val="•"/>
      <w:numFmt w:val="bullet"/>
      <w:start w:val="1"/>
    </w:lvl>
  </w:abstractNum>
  <w:abstractNum w:abstractNumId="105">
    <w:nsid w:val="FA85F4D"/>
    <w:multiLevelType w:val="hybridMultilevel"/>
    <w:lvl w:ilvl="0">
      <w:lvlJc w:val="left"/>
      <w:lvlText w:val="•"/>
      <w:numFmt w:val="bullet"/>
      <w:start w:val="1"/>
    </w:lvl>
  </w:abstractNum>
  <w:abstractNum w:abstractNumId="106">
    <w:nsid w:val="6ECE91F0"/>
    <w:multiLevelType w:val="hybridMultilevel"/>
    <w:lvl w:ilvl="0">
      <w:lvlJc w:val="left"/>
      <w:lvlText w:val="•"/>
      <w:numFmt w:val="bullet"/>
      <w:start w:val="1"/>
    </w:lvl>
  </w:abstractNum>
  <w:abstractNum w:abstractNumId="107">
    <w:nsid w:val="4FC4D600"/>
    <w:multiLevelType w:val="hybridMultilevel"/>
    <w:lvl w:ilvl="0">
      <w:lvlJc w:val="left"/>
      <w:lvlText w:val="•"/>
      <w:numFmt w:val="bullet"/>
      <w:start w:val="1"/>
    </w:lvl>
  </w:abstractNum>
  <w:abstractNum w:abstractNumId="108">
    <w:nsid w:val="5BFD4210"/>
    <w:multiLevelType w:val="hybridMultilevel"/>
    <w:lvl w:ilvl="0">
      <w:lvlJc w:val="left"/>
      <w:lvlText w:val="•"/>
      <w:numFmt w:val="bullet"/>
      <w:start w:val="1"/>
    </w:lvl>
  </w:abstractNum>
  <w:abstractNum w:abstractNumId="109">
    <w:nsid w:val="76574F8B"/>
    <w:multiLevelType w:val="hybridMultilevel"/>
    <w:lvl w:ilvl="0">
      <w:lvlJc w:val="left"/>
      <w:lvlText w:val="•"/>
      <w:numFmt w:val="bullet"/>
      <w:start w:val="1"/>
    </w:lvl>
  </w:abstractNum>
  <w:abstractNum w:abstractNumId="110">
    <w:nsid w:val="178F7B67"/>
    <w:multiLevelType w:val="hybridMultilevel"/>
    <w:lvl w:ilvl="0">
      <w:lvlJc w:val="left"/>
      <w:lvlText w:val="•"/>
      <w:numFmt w:val="bullet"/>
      <w:start w:val="1"/>
    </w:lvl>
  </w:abstractNum>
  <w:abstractNum w:abstractNumId="111">
    <w:nsid w:val="2421DFCF"/>
    <w:multiLevelType w:val="hybridMultilevel"/>
    <w:lvl w:ilvl="0">
      <w:lvlJc w:val="left"/>
      <w:lvlText w:val="•"/>
      <w:numFmt w:val="bullet"/>
      <w:start w:val="1"/>
    </w:lvl>
  </w:abstractNum>
  <w:abstractNum w:abstractNumId="112">
    <w:nsid w:val="1565AC99"/>
    <w:multiLevelType w:val="hybridMultilevel"/>
    <w:lvl w:ilvl="0">
      <w:lvlJc w:val="left"/>
      <w:lvlText w:val="(%1)"/>
      <w:numFmt w:val="decimal"/>
      <w:start w:val="1"/>
    </w:lvl>
  </w:abstractNum>
  <w:abstractNum w:abstractNumId="113">
    <w:nsid w:val="19FB2650"/>
    <w:multiLevelType w:val="hybridMultilevel"/>
    <w:lvl w:ilvl="0">
      <w:lvlJc w:val="left"/>
      <w:lvlText w:val="(%1)"/>
      <w:numFmt w:val="lowerRoman"/>
      <w:start w:val="4"/>
    </w:lvl>
  </w:abstractNum>
  <w:abstractNum w:abstractNumId="114">
    <w:nsid w:val="5024DE5B"/>
    <w:multiLevelType w:val="hybridMultilevel"/>
    <w:lvl w:ilvl="0">
      <w:lvlJc w:val="left"/>
      <w:lvlText w:val="(%1)"/>
      <w:numFmt w:val="lowerLetter"/>
      <w:start w:val="1"/>
    </w:lvl>
  </w:abstractNum>
  <w:abstractNum w:abstractNumId="115">
    <w:nsid w:val="168EFE17"/>
    <w:multiLevelType w:val="hybridMultilevel"/>
    <w:lvl w:ilvl="0">
      <w:lvlJc w:val="left"/>
      <w:lvlText w:val="•"/>
      <w:numFmt w:val="bullet"/>
      <w:start w:val="1"/>
    </w:lvl>
  </w:abstractNum>
  <w:abstractNum w:abstractNumId="116">
    <w:nsid w:val="1036B29F"/>
    <w:multiLevelType w:val="hybridMultilevel"/>
    <w:lvl w:ilvl="0">
      <w:lvlJc w:val="left"/>
      <w:lvlText w:val="•"/>
      <w:numFmt w:val="bullet"/>
      <w:start w:val="1"/>
    </w:lvl>
  </w:abstractNum>
  <w:abstractNum w:abstractNumId="117">
    <w:nsid w:val="1D206B8E"/>
    <w:multiLevelType w:val="hybridMultilevel"/>
    <w:lvl w:ilvl="0">
      <w:lvlJc w:val="left"/>
      <w:lvlText w:val="•"/>
      <w:numFmt w:val="bullet"/>
      <w:start w:val="1"/>
    </w:lvl>
  </w:abstractNum>
  <w:abstractNum w:abstractNumId="118">
    <w:nsid w:val="7934D3D4"/>
    <w:multiLevelType w:val="hybridMultilevel"/>
    <w:lvl w:ilvl="0">
      <w:lvlJc w:val="left"/>
      <w:lvlText w:val="•"/>
      <w:numFmt w:val="bullet"/>
      <w:start w:val="1"/>
    </w:lvl>
  </w:abstractNum>
  <w:abstractNum w:abstractNumId="119">
    <w:nsid w:val="1C65E98"/>
    <w:multiLevelType w:val="hybridMultilevel"/>
    <w:lvl w:ilvl="0">
      <w:lvlJc w:val="left"/>
      <w:lvlText w:val="•"/>
      <w:numFmt w:val="bullet"/>
      <w:start w:val="1"/>
    </w:lvl>
  </w:abstractNum>
  <w:abstractNum w:abstractNumId="120">
    <w:nsid w:val="1495E50A"/>
    <w:multiLevelType w:val="hybridMultilevel"/>
    <w:lvl w:ilvl="0">
      <w:lvlJc w:val="left"/>
      <w:lvlText w:val="•"/>
      <w:numFmt w:val="bullet"/>
      <w:start w:val="1"/>
    </w:lvl>
  </w:abstractNum>
  <w:abstractNum w:abstractNumId="121">
    <w:nsid w:val="F5BCF61"/>
    <w:multiLevelType w:val="hybridMultilevel"/>
    <w:lvl w:ilvl="0">
      <w:lvlJc w:val="left"/>
      <w:lvlText w:val="•"/>
      <w:numFmt w:val="bullet"/>
      <w:start w:val="1"/>
    </w:lvl>
  </w:abstractNum>
  <w:abstractNum w:abstractNumId="122">
    <w:nsid w:val="3B1DD403"/>
    <w:multiLevelType w:val="hybridMultilevel"/>
    <w:lvl w:ilvl="0">
      <w:lvlJc w:val="left"/>
      <w:lvlText w:val="•"/>
      <w:numFmt w:val="bullet"/>
      <w:start w:val="1"/>
    </w:lvl>
  </w:abstractNum>
  <w:abstractNum w:abstractNumId="123">
    <w:nsid w:val="530386D1"/>
    <w:multiLevelType w:val="hybridMultilevel"/>
    <w:lvl w:ilvl="0">
      <w:lvlJc w:val="left"/>
      <w:lvlText w:val="•"/>
      <w:numFmt w:val="bullet"/>
      <w:start w:val="1"/>
    </w:lvl>
  </w:abstractNum>
  <w:abstractNum w:abstractNumId="124">
    <w:nsid w:val="7525F2BC"/>
    <w:multiLevelType w:val="hybridMultilevel"/>
    <w:lvl w:ilvl="0">
      <w:lvlJc w:val="left"/>
      <w:lvlText w:val="•"/>
      <w:numFmt w:val="bullet"/>
      <w:start w:val="1"/>
    </w:lvl>
  </w:abstractNum>
  <w:abstractNum w:abstractNumId="125">
    <w:nsid w:val="CE8E1A7"/>
    <w:multiLevelType w:val="hybridMultilevel"/>
    <w:lvl w:ilvl="0">
      <w:lvlJc w:val="left"/>
      <w:lvlText w:val="•"/>
      <w:numFmt w:val="bullet"/>
      <w:start w:val="1"/>
    </w:lvl>
  </w:abstractNum>
  <w:abstractNum w:abstractNumId="126">
    <w:nsid w:val="4E9EFB0D"/>
    <w:multiLevelType w:val="hybridMultilevel"/>
    <w:lvl w:ilvl="0">
      <w:lvlJc w:val="left"/>
      <w:lvlText w:val="•"/>
      <w:numFmt w:val="bullet"/>
      <w:start w:val="1"/>
    </w:lvl>
  </w:abstractNum>
  <w:abstractNum w:abstractNumId="127">
    <w:nsid w:val="90802BE"/>
    <w:multiLevelType w:val="hybridMultilevel"/>
    <w:lvl w:ilvl="0">
      <w:lvlJc w:val="left"/>
      <w:lvlText w:val="•"/>
      <w:numFmt w:val="bullet"/>
      <w:start w:val="1"/>
    </w:lvl>
  </w:abstractNum>
  <w:abstractNum w:abstractNumId="128">
    <w:nsid w:val="3266459B"/>
    <w:multiLevelType w:val="hybridMultilevel"/>
    <w:lvl w:ilvl="0">
      <w:lvlJc w:val="left"/>
      <w:lvlText w:val="•"/>
      <w:numFmt w:val="bullet"/>
      <w:start w:val="1"/>
    </w:lvl>
  </w:abstractNum>
  <w:abstractNum w:abstractNumId="129">
    <w:nsid w:val="3F8B0CBF"/>
    <w:multiLevelType w:val="hybridMultilevel"/>
    <w:lvl w:ilvl="0">
      <w:lvlJc w:val="left"/>
      <w:lvlText w:val="•"/>
      <w:numFmt w:val="bullet"/>
      <w:start w:val="1"/>
    </w:lvl>
  </w:abstractNum>
  <w:abstractNum w:abstractNumId="130">
    <w:nsid w:val="37E203AB"/>
    <w:multiLevelType w:val="hybridMultilevel"/>
    <w:lvl w:ilvl="0">
      <w:lvlJc w:val="left"/>
      <w:lvlText w:val="•"/>
      <w:numFmt w:val="bullet"/>
      <w:start w:val="1"/>
    </w:lvl>
  </w:abstractNum>
  <w:abstractNum w:abstractNumId="131">
    <w:nsid w:val="2586D60E"/>
    <w:multiLevelType w:val="hybridMultilevel"/>
    <w:lvl w:ilvl="0">
      <w:lvlJc w:val="left"/>
      <w:lvlText w:val="•"/>
      <w:numFmt w:val="bullet"/>
      <w:start w:val="1"/>
    </w:lvl>
  </w:abstractNum>
  <w:abstractNum w:abstractNumId="132">
    <w:nsid w:val="1F3DA4D5"/>
    <w:multiLevelType w:val="hybridMultilevel"/>
    <w:lvl w:ilvl="0">
      <w:lvlJc w:val="left"/>
      <w:lvlText w:val="•"/>
      <w:numFmt w:val="bullet"/>
      <w:start w:val="1"/>
    </w:lvl>
  </w:abstractNum>
  <w:abstractNum w:abstractNumId="133">
    <w:nsid w:val="74C93698"/>
    <w:multiLevelType w:val="hybridMultilevel"/>
    <w:lvl w:ilvl="0">
      <w:lvlJc w:val="left"/>
      <w:lvlText w:val="(%1)"/>
      <w:numFmt w:val="lowerLetter"/>
      <w:start w:val="1"/>
    </w:lvl>
    <w:lvl w:ilvl="1">
      <w:lvlJc w:val="left"/>
      <w:lvlText w:val="•"/>
      <w:numFmt w:val="bullet"/>
      <w:start w:val="1"/>
    </w:lvl>
  </w:abstractNum>
  <w:abstractNum w:abstractNumId="134">
    <w:nsid w:val="48781401"/>
    <w:multiLevelType w:val="hybridMultilevel"/>
    <w:lvl w:ilvl="0">
      <w:lvlJc w:val="left"/>
      <w:lvlText w:val="(%1)"/>
      <w:numFmt w:val="lowerLetter"/>
      <w:start w:val="4"/>
    </w:lvl>
  </w:abstractNum>
  <w:abstractNum w:abstractNumId="135">
    <w:nsid w:val="186928D6"/>
    <w:multiLevelType w:val="hybridMultilevel"/>
    <w:lvl w:ilvl="0">
      <w:lvlJc w:val="left"/>
      <w:lvlText w:val="(%1)"/>
      <w:numFmt w:val="lowerLetter"/>
      <w:start w:val="10"/>
    </w:lvl>
  </w:abstractNum>
  <w:abstractNum w:abstractNumId="136">
    <w:nsid w:val="47195E5"/>
    <w:multiLevelType w:val="hybridMultilevel"/>
    <w:lvl w:ilvl="0">
      <w:lvlJc w:val="left"/>
      <w:lvlText w:val="(%1)"/>
      <w:numFmt w:val="lowerRoman"/>
      <w:start w:val="2"/>
    </w:lvl>
  </w:abstractNum>
  <w:abstractNum w:abstractNumId="137">
    <w:nsid w:val="3746A5F2"/>
    <w:multiLevelType w:val="hybridMultilevel"/>
    <w:lvl w:ilvl="0">
      <w:lvlJc w:val="left"/>
      <w:lvlText w:val="•"/>
      <w:numFmt w:val="bullet"/>
      <w:start w:val="1"/>
    </w:lvl>
  </w:abstractNum>
  <w:abstractNum w:abstractNumId="138">
    <w:nsid w:val="682DFED6"/>
    <w:multiLevelType w:val="hybridMultilevel"/>
    <w:lvl w:ilvl="0">
      <w:lvlJc w:val="left"/>
      <w:lvlText w:val="•"/>
      <w:numFmt w:val="bullet"/>
      <w:start w:val="1"/>
    </w:lvl>
  </w:abstractNum>
  <w:abstractNum w:abstractNumId="139">
    <w:nsid w:val="606ED7F6"/>
    <w:multiLevelType w:val="hybridMultilevel"/>
    <w:lvl w:ilvl="0">
      <w:lvlJc w:val="left"/>
      <w:lvlText w:val="•"/>
      <w:numFmt w:val="bullet"/>
      <w:start w:val="1"/>
    </w:lvl>
  </w:abstractNum>
  <w:abstractNum w:abstractNumId="140">
    <w:nsid w:val="2D9DF57D"/>
    <w:multiLevelType w:val="hybridMultilevel"/>
    <w:lvl w:ilvl="0">
      <w:lvlJc w:val="left"/>
      <w:lvlText w:val="•"/>
      <w:numFmt w:val="bullet"/>
      <w:start w:val="1"/>
    </w:lvl>
  </w:abstractNum>
  <w:abstractNum w:abstractNumId="141">
    <w:nsid w:val="7FBD7A3E"/>
    <w:multiLevelType w:val="hybridMultilevel"/>
    <w:lvl w:ilvl="0">
      <w:lvlJc w:val="left"/>
      <w:lvlText w:val="•"/>
      <w:numFmt w:val="bullet"/>
      <w:start w:val="1"/>
    </w:lvl>
  </w:abstractNum>
  <w:abstractNum w:abstractNumId="142">
    <w:nsid w:val="490B7C5"/>
    <w:multiLevelType w:val="hybridMultilevel"/>
    <w:lvl w:ilvl="0">
      <w:lvlJc w:val="left"/>
      <w:lvlText w:val="•"/>
      <w:numFmt w:val="bullet"/>
      <w:start w:val="1"/>
    </w:lvl>
  </w:abstractNum>
  <w:abstractNum w:abstractNumId="143">
    <w:nsid w:val="4303A216"/>
    <w:multiLevelType w:val="hybridMultilevel"/>
    <w:lvl w:ilvl="0">
      <w:lvlJc w:val="left"/>
      <w:lvlText w:val="•"/>
      <w:numFmt w:val="bullet"/>
      <w:start w:val="1"/>
    </w:lvl>
    <w:lvl w:ilvl="1">
      <w:lvlJc w:val="left"/>
      <w:lvlText w:val="•"/>
      <w:numFmt w:val="bullet"/>
      <w:start w:val="1"/>
    </w:lvl>
  </w:abstractNum>
  <w:abstractNum w:abstractNumId="144">
    <w:nsid w:val="19B8A08E"/>
    <w:multiLevelType w:val="hybridMultilevel"/>
    <w:lvl w:ilvl="0">
      <w:lvlJc w:val="left"/>
      <w:lvlText w:val="•"/>
      <w:numFmt w:val="bullet"/>
      <w:start w:val="1"/>
    </w:lvl>
  </w:abstractNum>
  <w:abstractNum w:abstractNumId="145">
    <w:nsid w:val="54B59621"/>
    <w:multiLevelType w:val="hybridMultilevel"/>
    <w:lvl w:ilvl="0">
      <w:lvlJc w:val="left"/>
      <w:lvlText w:val="•"/>
      <w:numFmt w:val="bullet"/>
      <w:start w:val="1"/>
    </w:lvl>
  </w:abstractNum>
  <w:abstractNum w:abstractNumId="146">
    <w:nsid w:val="5992A02E"/>
    <w:multiLevelType w:val="hybridMultilevel"/>
    <w:lvl w:ilvl="0">
      <w:lvlJc w:val="left"/>
      <w:lvlText w:val="•"/>
      <w:numFmt w:val="bullet"/>
      <w:start w:val="1"/>
    </w:lvl>
  </w:abstractNum>
  <w:abstractNum w:abstractNumId="147">
    <w:nsid w:val="29EF532D"/>
    <w:multiLevelType w:val="hybridMultilevel"/>
    <w:lvl w:ilvl="0">
      <w:lvlJc w:val="left"/>
      <w:lvlText w:val="(%1)"/>
      <w:numFmt w:val="lowerRoman"/>
      <w:start w:val="3"/>
    </w:lvl>
  </w:abstractNum>
  <w:abstractNum w:abstractNumId="148">
    <w:nsid w:val="71D601AF"/>
    <w:multiLevelType w:val="hybridMultilevel"/>
    <w:lvl w:ilvl="0">
      <w:lvlJc w:val="left"/>
      <w:lvlText w:val="•"/>
      <w:numFmt w:val="bullet"/>
      <w:start w:val="1"/>
    </w:lvl>
  </w:abstractNum>
  <w:abstractNum w:abstractNumId="149">
    <w:nsid w:val="52C77402"/>
    <w:multiLevelType w:val="hybridMultilevel"/>
    <w:lvl w:ilvl="0">
      <w:lvlJc w:val="left"/>
      <w:lvlText w:val="•"/>
      <w:numFmt w:val="bullet"/>
      <w:start w:val="1"/>
    </w:lvl>
  </w:abstractNum>
  <w:abstractNum w:abstractNumId="150">
    <w:nsid w:val="2BB5B1C6"/>
    <w:multiLevelType w:val="hybridMultilevel"/>
    <w:lvl w:ilvl="0">
      <w:lvlJc w:val="left"/>
      <w:lvlText w:val="•"/>
      <w:numFmt w:val="bullet"/>
      <w:start w:val="1"/>
    </w:lvl>
  </w:abstractNum>
  <w:abstractNum w:abstractNumId="151">
    <w:nsid w:val="66BE6B9"/>
    <w:multiLevelType w:val="hybridMultilevel"/>
    <w:lvl w:ilvl="0">
      <w:lvlJc w:val="left"/>
      <w:lvlText w:val="•"/>
      <w:numFmt w:val="bullet"/>
      <w:start w:val="1"/>
    </w:lvl>
  </w:abstractNum>
  <w:abstractNum w:abstractNumId="152">
    <w:nsid w:val="62234363"/>
    <w:multiLevelType w:val="hybridMultilevel"/>
    <w:lvl w:ilvl="0">
      <w:lvlJc w:val="left"/>
      <w:lvlText w:val="•"/>
      <w:numFmt w:val="bullet"/>
      <w:start w:val="1"/>
    </w:lvl>
  </w:abstractNum>
  <w:abstractNum w:abstractNumId="153">
    <w:nsid w:val="66D385C9"/>
    <w:multiLevelType w:val="hybridMultilevel"/>
    <w:lvl w:ilvl="0">
      <w:lvlJc w:val="left"/>
      <w:lvlText w:val="•"/>
      <w:numFmt w:val="bullet"/>
      <w:start w:val="1"/>
    </w:lvl>
  </w:abstractNum>
  <w:abstractNum w:abstractNumId="154">
    <w:nsid w:val="596F6D8A"/>
    <w:multiLevelType w:val="hybridMultilevel"/>
    <w:lvl w:ilvl="0">
      <w:lvlJc w:val="left"/>
      <w:lvlText w:val="•"/>
      <w:numFmt w:val="bullet"/>
      <w:start w:val="1"/>
    </w:lvl>
  </w:abstractNum>
  <w:abstractNum w:abstractNumId="155">
    <w:nsid w:val="5749361F"/>
    <w:multiLevelType w:val="hybridMultilevel"/>
    <w:lvl w:ilvl="0">
      <w:lvlJc w:val="left"/>
      <w:lvlText w:val="•"/>
      <w:numFmt w:val="bullet"/>
      <w:start w:val="1"/>
    </w:lvl>
  </w:abstractNum>
  <w:abstractNum w:abstractNumId="156">
    <w:nsid w:val="73BC6770"/>
    <w:multiLevelType w:val="hybridMultilevel"/>
    <w:lvl w:ilvl="0">
      <w:lvlJc w:val="left"/>
      <w:lvlText w:val="•"/>
      <w:numFmt w:val="bullet"/>
      <w:start w:val="1"/>
    </w:lvl>
  </w:abstractNum>
  <w:abstractNum w:abstractNumId="157">
    <w:nsid w:val="280E6897"/>
    <w:multiLevelType w:val="hybridMultilevel"/>
    <w:lvl w:ilvl="0">
      <w:lvlJc w:val="left"/>
      <w:lvlText w:val="•"/>
      <w:numFmt w:val="bullet"/>
      <w:start w:val="1"/>
    </w:lvl>
  </w:abstractNum>
  <w:abstractNum w:abstractNumId="158">
    <w:nsid w:val="605138DE"/>
    <w:multiLevelType w:val="hybridMultilevel"/>
    <w:lvl w:ilvl="0">
      <w:lvlJc w:val="left"/>
      <w:lvlText w:val="*"/>
      <w:numFmt w:val="bullet"/>
      <w:start w:val="1"/>
    </w:lvl>
  </w:abstractNum>
  <w:abstractNum w:abstractNumId="159">
    <w:nsid w:val="2622AD0C"/>
    <w:multiLevelType w:val="hybridMultilevel"/>
    <w:lvl w:ilvl="0">
      <w:lvlJc w:val="left"/>
      <w:lvlText w:val="(%1)"/>
      <w:numFmt w:val="decimal"/>
      <w:start w:val="1"/>
    </w:lvl>
  </w:abstractNum>
  <w:abstractNum w:abstractNumId="160">
    <w:nsid w:val="67997556"/>
    <w:multiLevelType w:val="hybridMultilevel"/>
    <w:lvl w:ilvl="0">
      <w:lvlJc w:val="left"/>
      <w:lvlText w:val="(%1)"/>
      <w:numFmt w:val="decimal"/>
      <w:start w:val="4"/>
    </w:lvl>
  </w:abstractNum>
  <w:abstractNum w:abstractNumId="161">
    <w:nsid w:val="18333C89"/>
    <w:multiLevelType w:val="hybridMultilevel"/>
    <w:lvl w:ilvl="0">
      <w:lvlJc w:val="left"/>
      <w:lvlText w:val="•"/>
      <w:numFmt w:val="bullet"/>
      <w:start w:val="1"/>
    </w:lvl>
  </w:abstractNum>
  <w:abstractNum w:abstractNumId="162">
    <w:nsid w:val="4BA9831A"/>
    <w:multiLevelType w:val="hybridMultilevel"/>
    <w:lvl w:ilvl="0">
      <w:lvlJc w:val="left"/>
      <w:lvlText w:val="•"/>
      <w:numFmt w:val="bullet"/>
      <w:start w:val="1"/>
    </w:lvl>
  </w:abstractNum>
  <w:abstractNum w:abstractNumId="163">
    <w:nsid w:val="6D71A2B"/>
    <w:multiLevelType w:val="hybridMultilevel"/>
    <w:lvl w:ilvl="0">
      <w:lvlJc w:val="left"/>
      <w:lvlText w:val="*"/>
      <w:numFmt w:val="bullet"/>
      <w:start w:val="1"/>
    </w:lvl>
  </w:abstractNum>
  <w:abstractNum w:abstractNumId="164">
    <w:nsid w:val="CFC7321"/>
    <w:multiLevelType w:val="hybridMultilevel"/>
    <w:lvl w:ilvl="0">
      <w:lvlJc w:val="left"/>
      <w:lvlText w:val="•"/>
      <w:numFmt w:val="bullet"/>
      <w:start w:val="1"/>
    </w:lvl>
  </w:abstractNum>
  <w:abstractNum w:abstractNumId="165">
    <w:nsid w:val="1421971B"/>
    <w:multiLevelType w:val="hybridMultilevel"/>
    <w:lvl w:ilvl="0">
      <w:lvlJc w:val="left"/>
      <w:lvlText w:val="•"/>
      <w:numFmt w:val="bullet"/>
      <w:start w:val="1"/>
    </w:lvl>
  </w:abstractNum>
  <w:abstractNum w:abstractNumId="166">
    <w:nsid w:val="1F404301"/>
    <w:multiLevelType w:val="hybridMultilevel"/>
    <w:lvl w:ilvl="0">
      <w:lvlJc w:val="left"/>
      <w:lvlText w:val="%1."/>
      <w:numFmt w:val="decimal"/>
      <w:start w:val="1"/>
    </w:lvl>
  </w:abstractNum>
  <w:abstractNum w:abstractNumId="167">
    <w:nsid w:val="116E0907"/>
    <w:multiLevelType w:val="hybridMultilevel"/>
    <w:lvl w:ilvl="0">
      <w:lvlJc w:val="left"/>
      <w:lvlText w:val="•"/>
      <w:numFmt w:val="bullet"/>
      <w:start w:val="1"/>
    </w:lvl>
  </w:abstractNum>
  <w:abstractNum w:abstractNumId="168">
    <w:nsid w:val="4B683D0D"/>
    <w:multiLevelType w:val="hybridMultilevel"/>
    <w:lvl w:ilvl="0">
      <w:lvlJc w:val="left"/>
      <w:lvlText w:val="•"/>
      <w:numFmt w:val="bullet"/>
      <w:start w:val="1"/>
    </w:lvl>
  </w:abstractNum>
  <w:abstractNum w:abstractNumId="169">
    <w:nsid w:val="76E41D8"/>
    <w:multiLevelType w:val="hybridMultilevel"/>
    <w:lvl w:ilvl="0">
      <w:lvlJc w:val="left"/>
      <w:lvlText w:val="•"/>
      <w:numFmt w:val="bullet"/>
      <w:start w:val="1"/>
    </w:lvl>
  </w:abstractNum>
  <w:abstractNum w:abstractNumId="170">
    <w:nsid w:val="71DCE0FD"/>
    <w:multiLevelType w:val="hybridMultilevel"/>
    <w:lvl w:ilvl="0">
      <w:lvlJc w:val="left"/>
      <w:lvlText w:val="•"/>
      <w:numFmt w:val="bullet"/>
      <w:start w:val="1"/>
    </w:lvl>
  </w:abstractNum>
  <w:abstractNum w:abstractNumId="171">
    <w:nsid w:val="7906328B"/>
    <w:multiLevelType w:val="hybridMultilevel"/>
    <w:lvl w:ilvl="0">
      <w:lvlJc w:val="left"/>
      <w:lvlText w:val="•"/>
      <w:numFmt w:val="bullet"/>
      <w:start w:val="1"/>
    </w:lvl>
  </w:abstractNum>
  <w:abstractNum w:abstractNumId="172">
    <w:nsid w:val="72BBC16"/>
    <w:multiLevelType w:val="hybridMultilevel"/>
    <w:lvl w:ilvl="0">
      <w:lvlJc w:val="left"/>
      <w:lvlText w:val="•"/>
      <w:numFmt w:val="bullet"/>
      <w:start w:val="1"/>
    </w:lvl>
  </w:abstractNum>
  <w:abstractNum w:abstractNumId="173">
    <w:nsid w:val="766D98C2"/>
    <w:multiLevelType w:val="hybridMultilevel"/>
    <w:lvl w:ilvl="0">
      <w:lvlJc w:val="left"/>
      <w:lvlText w:val="•"/>
      <w:numFmt w:val="bullet"/>
      <w:start w:val="1"/>
    </w:lvl>
  </w:abstractNum>
  <w:abstractNum w:abstractNumId="174">
    <w:nsid w:val="3C09D4A1"/>
    <w:multiLevelType w:val="hybridMultilevel"/>
    <w:lvl w:ilvl="0">
      <w:lvlJc w:val="left"/>
      <w:lvlText w:val="•"/>
      <w:numFmt w:val="bullet"/>
      <w:start w:val="1"/>
    </w:lvl>
  </w:abstractNum>
  <w:abstractNum w:abstractNumId="175">
    <w:nsid w:val="20E45CA4"/>
    <w:multiLevelType w:val="hybridMultilevel"/>
    <w:lvl w:ilvl="0">
      <w:lvlJc w:val="left"/>
      <w:lvlText w:val="•"/>
      <w:numFmt w:val="bullet"/>
      <w:start w:val="1"/>
    </w:lvl>
  </w:abstractNum>
  <w:abstractNum w:abstractNumId="176">
    <w:nsid w:val="4B232EE3"/>
    <w:multiLevelType w:val="hybridMultilevel"/>
    <w:lvl w:ilvl="0">
      <w:lvlJc w:val="left"/>
      <w:lvlText w:val="•"/>
      <w:numFmt w:val="bullet"/>
      <w:start w:val="1"/>
    </w:lvl>
  </w:abstractNum>
  <w:abstractNum w:abstractNumId="177">
    <w:nsid w:val="159C74CF"/>
    <w:multiLevelType w:val="hybridMultilevel"/>
    <w:lvl w:ilvl="0">
      <w:lvlJc w:val="left"/>
      <w:lvlText w:val="•"/>
      <w:numFmt w:val="bullet"/>
      <w:start w:val="1"/>
    </w:lvl>
  </w:abstractNum>
  <w:abstractNum w:abstractNumId="178">
    <w:nsid w:val="4AD3AFD2"/>
    <w:multiLevelType w:val="hybridMultilevel"/>
    <w:lvl w:ilvl="0">
      <w:lvlJc w:val="left"/>
      <w:lvlText w:val="•"/>
      <w:numFmt w:val="bullet"/>
      <w:start w:val="1"/>
    </w:lvl>
  </w:abstractNum>
  <w:abstractNum w:abstractNumId="179">
    <w:nsid w:val="3CF93092"/>
    <w:multiLevelType w:val="hybridMultilevel"/>
    <w:lvl w:ilvl="0">
      <w:lvlJc w:val="left"/>
      <w:lvlText w:val="•"/>
      <w:numFmt w:val="bullet"/>
      <w:start w:val="1"/>
    </w:lvl>
  </w:abstractNum>
  <w:abstractNum w:abstractNumId="180">
    <w:nsid w:val="6863E8D2"/>
    <w:multiLevelType w:val="hybridMultilevel"/>
    <w:lvl w:ilvl="0">
      <w:lvlJc w:val="left"/>
      <w:lvlText w:val="•"/>
      <w:numFmt w:val="bullet"/>
      <w:start w:val="1"/>
    </w:lvl>
  </w:abstractNum>
  <w:abstractNum w:abstractNumId="181">
    <w:nsid w:val="76896198"/>
    <w:multiLevelType w:val="hybridMultilevel"/>
    <w:lvl w:ilvl="0">
      <w:lvlJc w:val="left"/>
      <w:lvlText w:val="•"/>
      <w:numFmt w:val="bullet"/>
      <w:start w:val="1"/>
    </w:lvl>
  </w:abstractNum>
  <w:abstractNum w:abstractNumId="182">
    <w:nsid w:val="4365174B"/>
    <w:multiLevelType w:val="hybridMultilevel"/>
    <w:lvl w:ilvl="0">
      <w:lvlJc w:val="left"/>
      <w:lvlText w:val="•"/>
      <w:numFmt w:val="bullet"/>
      <w:start w:val="1"/>
    </w:lvl>
  </w:abstractNum>
  <w:abstractNum w:abstractNumId="183">
    <w:nsid w:val="4A872C35"/>
    <w:multiLevelType w:val="hybridMultilevel"/>
    <w:lvl w:ilvl="0">
      <w:lvlJc w:val="left"/>
      <w:lvlText w:val="•"/>
      <w:numFmt w:val="bullet"/>
      <w:start w:val="1"/>
    </w:lvl>
  </w:abstractNum>
  <w:abstractNum w:abstractNumId="184">
    <w:nsid w:val="5D5CE761"/>
    <w:multiLevelType w:val="hybridMultilevel"/>
    <w:lvl w:ilvl="0">
      <w:lvlJc w:val="left"/>
      <w:lvlText w:val="•"/>
      <w:numFmt w:val="bullet"/>
      <w:start w:val="1"/>
    </w:lvl>
  </w:abstractNum>
  <w:abstractNum w:abstractNumId="185">
    <w:nsid w:val="1CD484D5"/>
    <w:multiLevelType w:val="hybridMultilevel"/>
    <w:lvl w:ilvl="0">
      <w:lvlJc w:val="left"/>
      <w:lvlText w:val="•"/>
      <w:numFmt w:val="bullet"/>
      <w:start w:val="1"/>
    </w:lvl>
  </w:abstractNum>
  <w:abstractNum w:abstractNumId="186">
    <w:nsid w:val="21D06255"/>
    <w:multiLevelType w:val="hybridMultilevel"/>
    <w:lvl w:ilvl="0">
      <w:lvlJc w:val="left"/>
      <w:lvlText w:val="•"/>
      <w:numFmt w:val="bullet"/>
      <w:start w:val="1"/>
    </w:lvl>
  </w:abstractNum>
  <w:abstractNum w:abstractNumId="187">
    <w:nsid w:val="51194ED1"/>
    <w:multiLevelType w:val="hybridMultilevel"/>
    <w:lvl w:ilvl="0">
      <w:lvlJc w:val="left"/>
      <w:lvlText w:val="•"/>
      <w:numFmt w:val="bullet"/>
      <w:start w:val="1"/>
    </w:lvl>
  </w:abstractNum>
  <w:abstractNum w:abstractNumId="188">
    <w:nsid w:val="44E2ED6C"/>
    <w:multiLevelType w:val="hybridMultilevel"/>
    <w:lvl w:ilvl="0">
      <w:lvlJc w:val="left"/>
      <w:lvlText w:val="(%1)"/>
      <w:numFmt w:val="decimal"/>
      <w:start w:val="1"/>
    </w:lvl>
  </w:abstractNum>
  <w:abstractNum w:abstractNumId="189">
    <w:nsid w:val="2219B33"/>
    <w:multiLevelType w:val="hybridMultilevel"/>
    <w:lvl w:ilvl="0">
      <w:lvlJc w:val="left"/>
      <w:lvlText w:val="•"/>
      <w:numFmt w:val="bullet"/>
      <w:start w:val="1"/>
    </w:lvl>
  </w:abstractNum>
  <w:abstractNum w:abstractNumId="190">
    <w:nsid w:val="773BFBDD"/>
    <w:multiLevelType w:val="hybridMultilevel"/>
    <w:lvl w:ilvl="0">
      <w:lvlJc w:val="left"/>
      <w:lvlText w:val="*"/>
      <w:numFmt w:val="bullet"/>
      <w:start w:val="1"/>
    </w:lvl>
  </w:abstractNum>
  <w:abstractNum w:abstractNumId="191">
    <w:nsid w:val="2C7C62C2"/>
    <w:multiLevelType w:val="hybridMultilevel"/>
    <w:lvl w:ilvl="0">
      <w:lvlJc w:val="left"/>
      <w:lvlText w:val="(%1)"/>
      <w:numFmt w:val="decimal"/>
      <w:start w:val="1"/>
    </w:lvl>
  </w:abstractNum>
  <w:abstractNum w:abstractNumId="192">
    <w:nsid w:val="1A54D7BC"/>
    <w:multiLevelType w:val="hybridMultilevel"/>
    <w:lvl w:ilvl="0">
      <w:lvlJc w:val="left"/>
      <w:lvlText w:val="(%1)"/>
      <w:numFmt w:val="decimal"/>
      <w:start w:val="5"/>
    </w:lvl>
  </w:abstractNum>
  <w:abstractNum w:abstractNumId="193">
    <w:nsid w:val="42E57EF7"/>
    <w:multiLevelType w:val="hybridMultilevel"/>
    <w:lvl w:ilvl="0">
      <w:lvlJc w:val="left"/>
      <w:lvlText w:val="•"/>
      <w:numFmt w:val="bullet"/>
      <w:start w:val="1"/>
    </w:lvl>
  </w:abstractNum>
  <w:abstractNum w:abstractNumId="194">
    <w:nsid w:val="33537CED"/>
    <w:multiLevelType w:val="hybridMultilevel"/>
    <w:lvl w:ilvl="0">
      <w:lvlJc w:val="left"/>
      <w:lvlText w:val="(%1)"/>
      <w:numFmt w:val="decimal"/>
      <w:start w:val="1"/>
    </w:lvl>
  </w:abstractNum>
  <w:abstractNum w:abstractNumId="195">
    <w:nsid w:val="27514ADE"/>
    <w:multiLevelType w:val="hybridMultilevel"/>
    <w:lvl w:ilvl="0">
      <w:lvlJc w:val="left"/>
      <w:lvlText w:val="(%1)"/>
      <w:numFmt w:val="decimal"/>
      <w:start w:val="3"/>
    </w:lvl>
  </w:abstractNum>
  <w:abstractNum w:abstractNumId="196">
    <w:nsid w:val="57071613"/>
    <w:multiLevelType w:val="hybridMultilevel"/>
    <w:lvl w:ilvl="0">
      <w:lvlJc w:val="left"/>
      <w:lvlText w:val="(%1)"/>
      <w:numFmt w:val="decimal"/>
      <w:start w:val="1"/>
    </w:lvl>
  </w:abstractNum>
  <w:abstractNum w:abstractNumId="197">
    <w:nsid w:val="5293BFEF"/>
    <w:multiLevelType w:val="hybridMultilevel"/>
    <w:lvl w:ilvl="0">
      <w:lvlJc w:val="left"/>
      <w:lvlText w:val="(%1)"/>
      <w:numFmt w:val="decimal"/>
      <w:start w:val="7"/>
    </w:lvl>
  </w:abstractNum>
  <w:abstractNum w:abstractNumId="198">
    <w:nsid w:val="38BF53E5"/>
    <w:multiLevelType w:val="hybridMultilevel"/>
    <w:lvl w:ilvl="0">
      <w:lvlJc w:val="left"/>
      <w:lvlText w:val="(%1)"/>
      <w:numFmt w:val="lowerRoman"/>
      <w:start w:val="1"/>
    </w:lvl>
  </w:abstractNum>
  <w:abstractNum w:abstractNumId="199">
    <w:nsid w:val="226F5320"/>
    <w:multiLevelType w:val="hybridMultilevel"/>
    <w:lvl w:ilvl="0">
      <w:lvlJc w:val="left"/>
      <w:lvlText w:val="(%1)"/>
      <w:numFmt w:val="lowerRoman"/>
      <w:start w:val="1"/>
    </w:lvl>
  </w:abstractNum>
  <w:abstractNum w:abstractNumId="200">
    <w:nsid w:val="5A0201C7"/>
    <w:multiLevelType w:val="hybridMultilevel"/>
    <w:lvl w:ilvl="0">
      <w:lvlJc w:val="left"/>
      <w:lvlText w:val="(%1)"/>
      <w:numFmt w:val="lowerRoman"/>
      <w:start w:val="1"/>
    </w:lvl>
  </w:abstractNum>
  <w:abstractNum w:abstractNumId="201">
    <w:nsid w:val="2A9C34E2"/>
    <w:multiLevelType w:val="hybridMultilevel"/>
    <w:lvl w:ilvl="0">
      <w:lvlJc w:val="left"/>
      <w:lvlText w:val="(%1)"/>
      <w:numFmt w:val="decimal"/>
      <w:start w:val="1"/>
    </w:lvl>
  </w:abstractNum>
  <w:abstractNum w:abstractNumId="202">
    <w:nsid w:val="1B7585AB"/>
    <w:multiLevelType w:val="hybridMultilevel"/>
    <w:lvl w:ilvl="0">
      <w:lvlJc w:val="left"/>
      <w:lvlText w:val="(%1)"/>
      <w:numFmt w:val="decimal"/>
      <w:start w:val="1"/>
    </w:lvl>
  </w:abstractNum>
  <w:abstractNum w:abstractNumId="203">
    <w:nsid w:val="612DBDDD"/>
    <w:multiLevelType w:val="hybridMultilevel"/>
    <w:lvl w:ilvl="0">
      <w:lvlJc w:val="left"/>
      <w:lvlText w:val="•"/>
      <w:numFmt w:val="bullet"/>
      <w:start w:val="1"/>
    </w:lvl>
  </w:abstractNum>
  <w:abstractNum w:abstractNumId="204">
    <w:nsid w:val="2109CDA4"/>
    <w:multiLevelType w:val="hybridMultilevel"/>
    <w:lvl w:ilvl="0">
      <w:lvlJc w:val="left"/>
      <w:lvlText w:val="(%1)"/>
      <w:numFmt w:val="decimal"/>
      <w:start w:val="1"/>
    </w:lvl>
  </w:abstractNum>
  <w:abstractNum w:abstractNumId="205">
    <w:nsid w:val="577F5A4D"/>
    <w:multiLevelType w:val="hybridMultilevel"/>
    <w:lvl w:ilvl="0">
      <w:lvlJc w:val="left"/>
      <w:lvlText w:val="•"/>
      <w:numFmt w:val="bullet"/>
      <w:start w:val="1"/>
    </w:lvl>
  </w:abstractNum>
  <w:abstractNum w:abstractNumId="206">
    <w:nsid w:val="2121A81"/>
    <w:multiLevelType w:val="hybridMultilevel"/>
    <w:lvl w:ilvl="0">
      <w:lvlJc w:val="left"/>
      <w:lvlText w:val="•"/>
      <w:numFmt w:val="bullet"/>
      <w:start w:val="1"/>
    </w:lvl>
  </w:abstractNum>
  <w:abstractNum w:abstractNumId="207">
    <w:nsid w:val="6C2CFC88"/>
    <w:multiLevelType w:val="hybridMultilevel"/>
    <w:lvl w:ilvl="0">
      <w:lvlJc w:val="left"/>
      <w:lvlText w:val="•"/>
      <w:numFmt w:val="bullet"/>
      <w:start w:val="1"/>
    </w:lvl>
  </w:abstractNum>
  <w:abstractNum w:abstractNumId="208">
    <w:nsid w:val="6D1BCF1C"/>
    <w:multiLevelType w:val="hybridMultilevel"/>
    <w:lvl w:ilvl="0">
      <w:lvlJc w:val="left"/>
      <w:lvlText w:val="•"/>
      <w:numFmt w:val="bullet"/>
      <w:start w:val="1"/>
    </w:lvl>
  </w:abstractNum>
  <w:abstractNum w:abstractNumId="209">
    <w:nsid w:val="4CE5CA53"/>
    <w:multiLevelType w:val="hybridMultilevel"/>
    <w:lvl w:ilvl="0">
      <w:lvlJc w:val="left"/>
      <w:lvlText w:val="•"/>
      <w:numFmt w:val="bullet"/>
      <w:start w:val="1"/>
    </w:lvl>
  </w:abstractNum>
  <w:abstractNum w:abstractNumId="210">
    <w:nsid w:val="29262D1A"/>
    <w:multiLevelType w:val="hybridMultilevel"/>
    <w:lvl w:ilvl="0">
      <w:lvlJc w:val="left"/>
      <w:lvlText w:val="•"/>
      <w:numFmt w:val="bullet"/>
      <w:start w:val="1"/>
    </w:lvl>
  </w:abstractNum>
  <w:abstractNum w:abstractNumId="211">
    <w:nsid w:val="557FB7EE"/>
    <w:multiLevelType w:val="hybridMultilevel"/>
    <w:lvl w:ilvl="0">
      <w:lvlJc w:val="left"/>
      <w:lvlText w:val="•"/>
      <w:numFmt w:val="bullet"/>
      <w:start w:val="1"/>
    </w:lvl>
  </w:abstractNum>
  <w:abstractNum w:abstractNumId="212">
    <w:nsid w:val="436F2BEB"/>
    <w:multiLevelType w:val="hybridMultilevel"/>
    <w:lvl w:ilvl="0">
      <w:lvlJc w:val="left"/>
      <w:lvlText w:val="*"/>
      <w:numFmt w:val="bullet"/>
      <w:start w:val="1"/>
    </w:lvl>
  </w:abstractNum>
  <w:abstractNum w:abstractNumId="213">
    <w:nsid w:val="6C8B4466"/>
    <w:multiLevelType w:val="hybridMultilevel"/>
    <w:lvl w:ilvl="0">
      <w:lvlJc w:val="left"/>
      <w:lvlText w:val="(%1)"/>
      <w:numFmt w:val="decimal"/>
      <w:start w:val="1"/>
    </w:lvl>
  </w:abstractNum>
  <w:abstractNum w:abstractNumId="214">
    <w:nsid w:val="2006E424"/>
    <w:multiLevelType w:val="hybridMultilevel"/>
    <w:lvl w:ilvl="0">
      <w:lvlJc w:val="left"/>
      <w:lvlText w:val="(%1)"/>
      <w:numFmt w:val="decimal"/>
      <w:start w:val="7"/>
    </w:lvl>
  </w:abstractNum>
  <w:abstractNum w:abstractNumId="215">
    <w:nsid w:val="20CC134C"/>
    <w:multiLevelType w:val="hybridMultilevel"/>
    <w:lvl w:ilvl="0">
      <w:lvlJc w:val="left"/>
      <w:lvlText w:val="•"/>
      <w:numFmt w:val="bullet"/>
      <w:start w:val="1"/>
    </w:lvl>
  </w:abstractNum>
  <w:abstractNum w:abstractNumId="216">
    <w:nsid w:val="95FC93B"/>
    <w:multiLevelType w:val="hybridMultilevel"/>
    <w:lvl w:ilvl="0">
      <w:lvlJc w:val="left"/>
      <w:lvlText w:val="•"/>
      <w:numFmt w:val="bullet"/>
      <w:start w:val="1"/>
    </w:lvl>
  </w:abstractNum>
  <w:abstractNum w:abstractNumId="217">
    <w:nsid w:val="41D74679"/>
    <w:multiLevelType w:val="hybridMultilevel"/>
    <w:lvl w:ilvl="0">
      <w:lvlJc w:val="left"/>
      <w:lvlText w:val="(%1)"/>
      <w:numFmt w:val="upperLetter"/>
      <w:start w:val="1"/>
    </w:lvl>
  </w:abstractNum>
  <w:abstractNum w:abstractNumId="218">
    <w:nsid w:val="71E5621E"/>
    <w:multiLevelType w:val="hybridMultilevel"/>
    <w:lvl w:ilvl="0">
      <w:lvlJc w:val="left"/>
      <w:lvlText w:val="(%1)"/>
      <w:numFmt w:val="upperLetter"/>
      <w:start w:val="2"/>
    </w:lvl>
  </w:abstractNum>
  <w:abstractNum w:abstractNumId="219">
    <w:nsid w:val="4E42B6A8"/>
    <w:multiLevelType w:val="hybridMultilevel"/>
    <w:lvl w:ilvl="0">
      <w:lvlJc w:val="left"/>
      <w:lvlText w:val="(%1)"/>
      <w:numFmt w:val="upperLetter"/>
      <w:start w:val="27"/>
    </w:lvl>
  </w:abstractNum>
  <w:abstractNum w:abstractNumId="220">
    <w:nsid w:val="43F8E1AC"/>
    <w:multiLevelType w:val="hybridMultilevel"/>
    <w:lvl w:ilvl="0">
      <w:lvlJc w:val="left"/>
      <w:lvlText w:val="(%1)"/>
      <w:numFmt w:val="upperLetter"/>
      <w:start w:val="30"/>
    </w:lvl>
  </w:abstractNum>
  <w:abstractNum w:abstractNumId="221">
    <w:nsid w:val="69215DFB"/>
    <w:multiLevelType w:val="hybridMultilevel"/>
    <w:lvl w:ilvl="0">
      <w:lvlJc w:val="left"/>
      <w:lvlText w:val="(%1)"/>
      <w:numFmt w:val="lowerRoman"/>
      <w:start w:val="2"/>
    </w:lvl>
  </w:abstractNum>
  <w:abstractNum w:abstractNumId="222">
    <w:nsid w:val="7ABF196A"/>
    <w:multiLevelType w:val="hybridMultilevel"/>
    <w:lvl w:ilvl="0">
      <w:lvlJc w:val="left"/>
      <w:lvlText w:val="(%1)"/>
      <w:numFmt w:val="lowerRoman"/>
      <w:start w:val="2"/>
    </w:lvl>
  </w:abstractNum>
  <w:abstractNum w:abstractNumId="223">
    <w:nsid w:val="5E4DB968"/>
    <w:multiLevelType w:val="hybridMultilevel"/>
    <w:lvl w:ilvl="0">
      <w:lvlJc w:val="left"/>
      <w:lvlText w:val="(%1)"/>
      <w:numFmt w:val="decimal"/>
      <w:start w:val="30"/>
    </w:lvl>
  </w:abstractNum>
  <w:abstractNum w:abstractNumId="224">
    <w:nsid w:val="2C06DCF3"/>
    <w:multiLevelType w:val="hybridMultilevel"/>
    <w:lvl w:ilvl="0">
      <w:lvlJc w:val="left"/>
      <w:lvlText w:val="(%1)"/>
      <w:numFmt w:val="lowerRoman"/>
      <w:start w:val="2"/>
    </w:lvl>
  </w:abstractNum>
  <w:abstractNum w:abstractNumId="225">
    <w:nsid w:val="2E129658"/>
    <w:multiLevelType w:val="hybridMultilevel"/>
    <w:lvl w:ilvl="0">
      <w:lvlJc w:val="left"/>
      <w:lvlText w:val="(%1)"/>
      <w:numFmt w:val="lowerRoman"/>
      <w:start w:val="4"/>
    </w:lvl>
  </w:abstractNum>
  <w:abstractNum w:abstractNumId="226">
    <w:nsid w:val="59F0446"/>
    <w:multiLevelType w:val="hybridMultilevel"/>
    <w:lvl w:ilvl="0">
      <w:lvlJc w:val="left"/>
      <w:lvlText w:val="•"/>
      <w:numFmt w:val="bullet"/>
      <w:start w:val="1"/>
    </w:lvl>
  </w:abstractNum>
  <w:abstractNum w:abstractNumId="227">
    <w:nsid w:val="30DF306"/>
    <w:multiLevelType w:val="hybridMultilevel"/>
    <w:lvl w:ilvl="0">
      <w:lvlJc w:val="left"/>
      <w:lvlText w:val="(%1)"/>
      <w:numFmt w:val="lowerRoman"/>
      <w:start w:val="1"/>
    </w:lvl>
  </w:abstractNum>
  <w:abstractNum w:abstractNumId="228">
    <w:nsid w:val="A65647"/>
    <w:multiLevelType w:val="hybridMultilevel"/>
    <w:lvl w:ilvl="0">
      <w:lvlJc w:val="left"/>
      <w:lvlText w:val="(%1)"/>
      <w:numFmt w:val="lowerRoman"/>
      <w:start w:val="3"/>
    </w:lvl>
  </w:abstractNum>
  <w:abstractNum w:abstractNumId="229">
    <w:nsid w:val="3E5E582B"/>
    <w:multiLevelType w:val="hybridMultilevel"/>
    <w:lvl w:ilvl="0">
      <w:lvlJc w:val="left"/>
      <w:lvlText w:val="(%1)"/>
      <w:numFmt w:val="lowerRoman"/>
      <w:start w:val="1"/>
    </w:lvl>
  </w:abstractNum>
  <w:abstractNum w:abstractNumId="230">
    <w:nsid w:val="257D4626"/>
    <w:multiLevelType w:val="hybridMultilevel"/>
    <w:lvl w:ilvl="0">
      <w:lvlJc w:val="left"/>
      <w:lvlText w:val="(%1)"/>
      <w:numFmt w:val="lowerRoman"/>
      <w:start w:val="4"/>
    </w:lvl>
  </w:abstractNum>
  <w:abstractNum w:abstractNumId="231">
    <w:nsid w:val="5AA8580E"/>
    <w:multiLevelType w:val="hybridMultilevel"/>
    <w:lvl w:ilvl="0">
      <w:lvlJc w:val="left"/>
      <w:lvlText w:val="(%1)"/>
      <w:numFmt w:val="lowerRoman"/>
      <w:start w:val="1"/>
    </w:lvl>
  </w:abstractNum>
  <w:abstractNum w:abstractNumId="232">
    <w:nsid w:val="68FA8D0D"/>
    <w:multiLevelType w:val="hybridMultilevel"/>
    <w:lvl w:ilvl="0">
      <w:lvlJc w:val="left"/>
      <w:lvlText w:val="•"/>
      <w:numFmt w:val="bullet"/>
      <w:start w:val="1"/>
    </w:lvl>
  </w:abstractNum>
  <w:abstractNum w:abstractNumId="233">
    <w:nsid w:val="40F2CBD2"/>
    <w:multiLevelType w:val="hybridMultilevel"/>
    <w:lvl w:ilvl="0">
      <w:lvlJc w:val="left"/>
      <w:lvlText w:val="(%1)"/>
      <w:numFmt w:val="lowerRoman"/>
      <w:start w:val="1"/>
    </w:lvl>
  </w:abstractNum>
  <w:abstractNum w:abstractNumId="234">
    <w:nsid w:val="3BD615EB"/>
    <w:multiLevelType w:val="hybridMultilevel"/>
    <w:lvl w:ilvl="0">
      <w:lvlJc w:val="left"/>
      <w:lvlText w:val="•"/>
      <w:numFmt w:val="bullet"/>
      <w:start w:val="1"/>
    </w:lvl>
  </w:abstractNum>
  <w:abstractNum w:abstractNumId="235">
    <w:nsid w:val="A045AB2"/>
    <w:multiLevelType w:val="hybridMultilevel"/>
    <w:lvl w:ilvl="0">
      <w:lvlJc w:val="left"/>
      <w:lvlText w:val="•"/>
      <w:numFmt w:val="bullet"/>
      <w:start w:val="1"/>
    </w:lvl>
  </w:abstractNum>
  <w:abstractNum w:abstractNumId="236">
    <w:nsid w:val="1872261F"/>
    <w:multiLevelType w:val="hybridMultilevel"/>
    <w:lvl w:ilvl="0">
      <w:lvlJc w:val="left"/>
      <w:lvlText w:val="(%1)"/>
      <w:numFmt w:val="lowerLetter"/>
      <w:start w:val="2"/>
    </w:lvl>
  </w:abstractNum>
  <w:abstractNum w:abstractNumId="237">
    <w:nsid w:val="3DE8306C"/>
    <w:multiLevelType w:val="hybridMultilevel"/>
    <w:lvl w:ilvl="0">
      <w:lvlJc w:val="left"/>
      <w:lvlText w:val="•"/>
      <w:numFmt w:val="bullet"/>
      <w:start w:val="1"/>
    </w:lvl>
  </w:abstractNum>
  <w:abstractNum w:abstractNumId="238">
    <w:nsid w:val="7631573A"/>
    <w:multiLevelType w:val="hybridMultilevel"/>
    <w:lvl w:ilvl="0">
      <w:lvlJc w:val="left"/>
      <w:lvlText w:val="(%1)"/>
      <w:numFmt w:val="decimal"/>
      <w:start w:val="1"/>
    </w:lvl>
  </w:abstractNum>
  <w:abstractNum w:abstractNumId="239">
    <w:nsid w:val="58DF53B"/>
    <w:multiLevelType w:val="hybridMultilevel"/>
    <w:lvl w:ilvl="0">
      <w:lvlJc w:val="left"/>
      <w:lvlText w:val="•"/>
      <w:numFmt w:val="bullet"/>
      <w:start w:val="1"/>
    </w:lvl>
  </w:abstractNum>
  <w:abstractNum w:abstractNumId="240">
    <w:nsid w:val="ACDFAC0"/>
    <w:multiLevelType w:val="hybridMultilevel"/>
    <w:lvl w:ilvl="0">
      <w:lvlJc w:val="left"/>
      <w:lvlText w:val="•"/>
      <w:numFmt w:val="bullet"/>
      <w:start w:val="1"/>
    </w:lvl>
  </w:abstractNum>
  <w:abstractNum w:abstractNumId="241">
    <w:nsid w:val="1F578454"/>
    <w:multiLevelType w:val="hybridMultilevel"/>
    <w:lvl w:ilvl="0">
      <w:lvlJc w:val="left"/>
      <w:lvlText w:val="•"/>
      <w:numFmt w:val="bullet"/>
      <w:start w:val="1"/>
    </w:lvl>
  </w:abstractNum>
  <w:abstractNum w:abstractNumId="242">
    <w:nsid w:val="5B0DAD2A"/>
    <w:multiLevelType w:val="hybridMultilevel"/>
    <w:lvl w:ilvl="0">
      <w:lvlJc w:val="left"/>
      <w:lvlText w:val="(%1)"/>
      <w:numFmt w:val="decimal"/>
      <w:start w:val="2"/>
    </w:lvl>
  </w:abstractNum>
  <w:abstractNum w:abstractNumId="243">
    <w:nsid w:val="4E3D26AB"/>
    <w:multiLevelType w:val="hybridMultilevel"/>
    <w:lvl w:ilvl="0">
      <w:lvlJc w:val="left"/>
      <w:lvlText w:val="%1."/>
      <w:numFmt w:val="decimal"/>
      <w:start w:val="2"/>
    </w:lvl>
  </w:abstractNum>
  <w:abstractNum w:abstractNumId="244">
    <w:nsid w:val="BE2C8BA"/>
    <w:multiLevelType w:val="hybridMultilevel"/>
    <w:lvl w:ilvl="0">
      <w:lvlJc w:val="left"/>
      <w:lvlText w:val="(%1)"/>
      <w:numFmt w:val="lowerRoman"/>
      <w:start w:val="4"/>
    </w:lvl>
  </w:abstractNum>
  <w:abstractNum w:abstractNumId="245">
    <w:nsid w:val="7B14914E"/>
    <w:multiLevelType w:val="hybridMultilevel"/>
    <w:lvl w:ilvl="0">
      <w:lvlJc w:val="left"/>
      <w:lvlText w:val="•"/>
      <w:numFmt w:val="bullet"/>
      <w:start w:val="1"/>
    </w:lvl>
  </w:abstractNum>
  <w:abstractNum w:abstractNumId="246">
    <w:nsid w:val="6F0939F8"/>
    <w:multiLevelType w:val="hybridMultilevel"/>
    <w:lvl w:ilvl="0">
      <w:lvlJc w:val="left"/>
      <w:lvlText w:val="•"/>
      <w:numFmt w:val="bullet"/>
      <w:start w:val="1"/>
    </w:lvl>
  </w:abstractNum>
  <w:abstractNum w:abstractNumId="247">
    <w:nsid w:val="154291F6"/>
    <w:multiLevelType w:val="hybridMultilevel"/>
    <w:lvl w:ilvl="0">
      <w:lvlJc w:val="left"/>
      <w:lvlText w:val="%1."/>
      <w:numFmt w:val="decimal"/>
      <w:start w:val="8"/>
    </w:lvl>
  </w:abstractNum>
  <w:abstractNum w:abstractNumId="248">
    <w:nsid w:val="3CEBD7C7"/>
    <w:multiLevelType w:val="hybridMultilevel"/>
    <w:lvl w:ilvl="0">
      <w:lvlJc w:val="left"/>
      <w:lvlText w:val="(%1)"/>
      <w:numFmt w:val="decimal"/>
      <w:start w:val="1"/>
    </w:lvl>
  </w:abstractNum>
  <w:abstractNum w:abstractNumId="249">
    <w:nsid w:val="60EE9C16"/>
    <w:multiLevelType w:val="hybridMultilevel"/>
    <w:lvl w:ilvl="0">
      <w:lvlJc w:val="left"/>
      <w:lvlText w:val="%1."/>
      <w:numFmt w:val="decimal"/>
      <w:start w:val="2"/>
    </w:lvl>
  </w:abstractNum>
  <w:abstractNum w:abstractNumId="250">
    <w:nsid w:val="6385489E"/>
    <w:multiLevelType w:val="hybridMultilevel"/>
    <w:lvl w:ilvl="0">
      <w:lvlJc w:val="left"/>
      <w:lvlText w:val="%1."/>
      <w:numFmt w:val="decimal"/>
      <w:start w:val="7"/>
    </w:lvl>
  </w:abstractNum>
  <w:abstractNum w:abstractNumId="251">
    <w:nsid w:val="E4B973"/>
    <w:multiLevelType w:val="hybridMultilevel"/>
    <w:lvl w:ilvl="0">
      <w:lvlJc w:val="left"/>
      <w:lvlText w:val="(%1)"/>
      <w:numFmt w:val="decimal"/>
      <w:start w:val="1"/>
    </w:lvl>
  </w:abstractNum>
  <w:abstractNum w:abstractNumId="252">
    <w:nsid w:val="4A0FFA11"/>
    <w:multiLevelType w:val="hybridMultilevel"/>
    <w:lvl w:ilvl="0">
      <w:lvlJc w:val="left"/>
      <w:lvlText w:val="(%1)"/>
      <w:numFmt w:val="lowerRoman"/>
      <w:start w:val="1"/>
    </w:lvl>
  </w:abstractNum>
  <w:abstractNum w:abstractNumId="253">
    <w:nsid w:val="5E446208"/>
    <w:multiLevelType w:val="hybridMultilevel"/>
    <w:lvl w:ilvl="0">
      <w:lvlJc w:val="left"/>
      <w:lvlText w:val="(%1)"/>
      <w:numFmt w:val="lowerRoman"/>
      <w:start w:val="2"/>
    </w:lvl>
  </w:abstractNum>
  <w:abstractNum w:abstractNumId="254">
    <w:nsid w:val="5F3272DB"/>
    <w:multiLevelType w:val="hybridMultilevel"/>
    <w:lvl w:ilvl="0">
      <w:lvlJc w:val="left"/>
      <w:lvlText w:val="(%1)"/>
      <w:numFmt w:val="upperLetter"/>
      <w:start w:val="5"/>
    </w:lvl>
  </w:abstractNum>
  <w:abstractNum w:abstractNumId="255">
    <w:nsid w:val="7616D704"/>
    <w:multiLevelType w:val="hybridMultilevel"/>
    <w:lvl w:ilvl="0">
      <w:lvlJc w:val="left"/>
      <w:lvlText w:val="(%1)"/>
      <w:numFmt w:val="lowerRoman"/>
      <w:start w:val="4"/>
    </w:lvl>
  </w:abstractNum>
  <w:abstractNum w:abstractNumId="256">
    <w:nsid w:val="C56F860"/>
    <w:multiLevelType w:val="hybridMultilevel"/>
    <w:lvl w:ilvl="0">
      <w:lvlJc w:val="left"/>
      <w:lvlText w:val="(%1)"/>
      <w:numFmt w:val="lowerRoman"/>
      <w:start w:val="8"/>
    </w:lvl>
  </w:abstractNum>
  <w:abstractNum w:abstractNumId="257">
    <w:nsid w:val="64D17722"/>
    <w:multiLevelType w:val="hybridMultilevel"/>
    <w:lvl w:ilvl="0">
      <w:lvlJc w:val="left"/>
      <w:lvlText w:val="(%1)"/>
      <w:numFmt w:val="lowerRoman"/>
      <w:start w:val="1"/>
    </w:lvl>
  </w:abstractNum>
  <w:abstractNum w:abstractNumId="258">
    <w:nsid w:val="7924CA0A"/>
    <w:multiLevelType w:val="hybridMultilevel"/>
    <w:lvl w:ilvl="0">
      <w:lvlJc w:val="left"/>
      <w:lvlText w:val="(%1)"/>
      <w:numFmt w:val="lowerRoman"/>
      <w:start w:val="6"/>
    </w:lvl>
  </w:abstractNum>
  <w:abstractNum w:abstractNumId="259">
    <w:nsid w:val="CFD4EA7"/>
    <w:multiLevelType w:val="hybridMultilevel"/>
    <w:lvl w:ilvl="0">
      <w:lvlJc w:val="left"/>
      <w:lvlText w:val="(%1)"/>
      <w:numFmt w:val="lowerRoman"/>
      <w:start w:val="2"/>
    </w:lvl>
  </w:abstractNum>
  <w:abstractNum w:abstractNumId="260">
    <w:nsid w:val="232FCF4D"/>
    <w:multiLevelType w:val="hybridMultilevel"/>
    <w:lvl w:ilvl="0">
      <w:lvlJc w:val="left"/>
      <w:lvlText w:val="(%1)"/>
      <w:numFmt w:val="lowerRoman"/>
      <w:start w:val="2"/>
    </w:lvl>
  </w:abstractNum>
  <w:abstractNum w:abstractNumId="261">
    <w:nsid w:val="1EA21031"/>
    <w:multiLevelType w:val="hybridMultilevel"/>
    <w:lvl w:ilvl="0">
      <w:lvlJc w:val="left"/>
      <w:lvlText w:val="(%1)"/>
      <w:numFmt w:val="lowerRoman"/>
      <w:start w:val="1"/>
    </w:lvl>
  </w:abstractNum>
  <w:abstractNum w:abstractNumId="262">
    <w:nsid w:val="67A5A6B5"/>
    <w:multiLevelType w:val="hybridMultilevel"/>
    <w:lvl w:ilvl="0">
      <w:lvlJc w:val="left"/>
      <w:lvlText w:val="(%1)"/>
      <w:numFmt w:val="lowerLetter"/>
      <w:start w:val="1"/>
    </w:lvl>
    <w:lvl w:ilvl="1">
      <w:lvlJc w:val="left"/>
      <w:lvlText w:val="(%2)"/>
      <w:numFmt w:val="lowerRoman"/>
      <w:start w:val="1"/>
    </w:lvl>
  </w:abstractNum>
  <w:abstractNum w:abstractNumId="263">
    <w:nsid w:val="C2A5C5B"/>
    <w:multiLevelType w:val="hybridMultilevel"/>
    <w:lvl w:ilvl="0">
      <w:lvlJc w:val="left"/>
      <w:lvlText w:val="(%1)"/>
      <w:numFmt w:val="lowerLetter"/>
      <w:start w:val="1"/>
    </w:lvl>
  </w:abstractNum>
  <w:abstractNum w:abstractNumId="264">
    <w:nsid w:val="5F94DC03"/>
    <w:multiLevelType w:val="hybridMultilevel"/>
    <w:lvl w:ilvl="0">
      <w:lvlJc w:val="left"/>
      <w:lvlText w:val="(%1)"/>
      <w:numFmt w:val="lowerLetter"/>
      <w:start w:val="3"/>
    </w:lvl>
  </w:abstractNum>
  <w:abstractNum w:abstractNumId="265">
    <w:nsid w:val="237BBCA0"/>
    <w:multiLevelType w:val="hybridMultilevel"/>
    <w:lvl w:ilvl="0">
      <w:lvlJc w:val="left"/>
      <w:lvlText w:val="(%1)"/>
      <w:numFmt w:val="lowerLetter"/>
      <w:start w:val="8"/>
    </w:lvl>
  </w:abstractNum>
  <w:abstractNum w:abstractNumId="266">
    <w:nsid w:val="162EB70D"/>
    <w:multiLevelType w:val="hybridMultilevel"/>
    <w:lvl w:ilvl="0">
      <w:lvlJc w:val="left"/>
      <w:lvlText w:val="(%1)"/>
      <w:numFmt w:val="lowerLetter"/>
      <w:start w:val="1"/>
    </w:lvl>
  </w:abstractNum>
  <w:abstractNum w:abstractNumId="267">
    <w:nsid w:val="78070222"/>
    <w:multiLevelType w:val="hybridMultilevel"/>
    <w:lvl w:ilvl="0">
      <w:lvlJc w:val="left"/>
      <w:lvlText w:val="(%1)"/>
      <w:numFmt w:val="lowerLetter"/>
      <w:start w:val="7"/>
    </w:lvl>
  </w:abstractNum>
  <w:abstractNum w:abstractNumId="268">
    <w:nsid w:val="6163ED0D"/>
    <w:multiLevelType w:val="hybridMultilevel"/>
    <w:lvl w:ilvl="0">
      <w:lvlJc w:val="left"/>
      <w:lvlText w:val="(%1)"/>
      <w:numFmt w:val="lowerLetter"/>
      <w:start w:val="1"/>
    </w:lvl>
  </w:abstractNum>
  <w:abstractNum w:abstractNumId="269">
    <w:nsid w:val="C600E47"/>
    <w:multiLevelType w:val="hybridMultilevel"/>
    <w:lvl w:ilvl="0">
      <w:lvlJc w:val="left"/>
      <w:lvlText w:val="(%1)"/>
      <w:numFmt w:val="lowerLetter"/>
      <w:start w:val="1"/>
    </w:lvl>
  </w:abstractNum>
  <w:abstractNum w:abstractNumId="270">
    <w:nsid w:val="7D94F75D"/>
    <w:multiLevelType w:val="hybridMultilevel"/>
    <w:lvl w:ilvl="0">
      <w:lvlJc w:val="left"/>
      <w:lvlText w:val="(%1)"/>
      <w:numFmt w:val="lowerLetter"/>
      <w:start w:val="1"/>
    </w:lvl>
  </w:abstractNum>
  <w:abstractNum w:abstractNumId="271">
    <w:nsid w:val="6C31E7CD"/>
    <w:multiLevelType w:val="hybridMultilevel"/>
    <w:lvl w:ilvl="0">
      <w:lvlJc w:val="left"/>
      <w:lvlText w:val="(%1)"/>
      <w:numFmt w:val="lowerLetter"/>
      <w:start w:val="3"/>
    </w:lvl>
  </w:abstractNum>
  <w:abstractNum w:abstractNumId="272">
    <w:nsid w:val="2BB7929B"/>
    <w:multiLevelType w:val="hybridMultilevel"/>
    <w:lvl w:ilvl="0">
      <w:lvlJc w:val="left"/>
      <w:lvlText w:val="(%1)"/>
      <w:numFmt w:val="lowerLetter"/>
      <w:start w:val="1"/>
    </w:lvl>
  </w:abstractNum>
  <w:abstractNum w:abstractNumId="273">
    <w:nsid w:val="58A2A487"/>
    <w:multiLevelType w:val="hybridMultilevel"/>
    <w:lvl w:ilvl="0">
      <w:lvlJc w:val="left"/>
      <w:lvlText w:val="(%1)"/>
      <w:numFmt w:val="lowerLetter"/>
      <w:start w:val="5"/>
    </w:lvl>
  </w:abstractNum>
  <w:abstractNum w:abstractNumId="274">
    <w:nsid w:val="3A6F0E78"/>
    <w:multiLevelType w:val="hybridMultilevel"/>
    <w:lvl w:ilvl="0">
      <w:lvlJc w:val="left"/>
      <w:lvlText w:val="(%1)"/>
      <w:numFmt w:val="lowerLetter"/>
      <w:start w:val="1"/>
    </w:lvl>
  </w:abstractNum>
  <w:abstractNum w:abstractNumId="275">
    <w:nsid w:val="379A5B56"/>
    <w:multiLevelType w:val="hybridMultilevel"/>
    <w:lvl w:ilvl="0">
      <w:lvlJc w:val="left"/>
      <w:lvlText w:val="(%1)"/>
      <w:numFmt w:val="lowerLetter"/>
      <w:start w:val="1"/>
    </w:lvl>
  </w:abstractNum>
  <w:abstractNum w:abstractNumId="276">
    <w:nsid w:val="53B735D5"/>
    <w:multiLevelType w:val="hybridMultilevel"/>
    <w:lvl w:ilvl="0">
      <w:lvlJc w:val="left"/>
      <w:lvlText w:val="(%1)"/>
      <w:numFmt w:val="lowerLetter"/>
      <w:start w:val="1"/>
    </w:lvl>
  </w:abstractNum>
  <w:abstractNum w:abstractNumId="277">
    <w:nsid w:val="29784870"/>
    <w:multiLevelType w:val="hybridMultilevel"/>
    <w:lvl w:ilvl="0">
      <w:lvlJc w:val="left"/>
      <w:lvlText w:val="(%1)"/>
      <w:numFmt w:val="lowerLetter"/>
      <w:start w:val="1"/>
    </w:lvl>
  </w:abstractNum>
  <w:abstractNum w:abstractNumId="278">
    <w:nsid w:val="4CDCED4C"/>
    <w:multiLevelType w:val="hybridMultilevel"/>
    <w:lvl w:ilvl="0">
      <w:lvlJc w:val="left"/>
      <w:lvlText w:val="(%1)"/>
      <w:numFmt w:val="lowerLetter"/>
      <w:start w:val="1"/>
    </w:lvl>
    <w:lvl w:ilvl="1">
      <w:lvlJc w:val="left"/>
      <w:lvlText w:val="(%2)"/>
      <w:numFmt w:val="lowerRoman"/>
      <w:start w:val="1"/>
    </w:lvl>
  </w:abstractNum>
  <w:abstractNum w:abstractNumId="279">
    <w:nsid w:val="10A30D9C"/>
    <w:multiLevelType w:val="hybridMultilevel"/>
    <w:lvl w:ilvl="0">
      <w:lvlJc w:val="left"/>
      <w:lvlText w:val="(%1)"/>
      <w:numFmt w:val="lowerLetter"/>
      <w:start w:val="3"/>
    </w:lvl>
  </w:abstractNum>
  <w:abstractNum w:abstractNumId="280">
    <w:nsid w:val="A66E486"/>
    <w:multiLevelType w:val="hybridMultilevel"/>
    <w:lvl w:ilvl="0">
      <w:lvlJc w:val="left"/>
      <w:lvlText w:val="%1"/>
      <w:numFmt w:val="lowerLetter"/>
      <w:start w:val="1"/>
    </w:lvl>
    <w:lvl w:ilvl="1">
      <w:lvlJc w:val="left"/>
      <w:lvlText w:val="(%2)"/>
      <w:numFmt w:val="lowerLetter"/>
      <w:start w:val="1"/>
    </w:lvl>
  </w:abstractNum>
  <w:abstractNum w:abstractNumId="281">
    <w:nsid w:val="306235EA"/>
    <w:multiLevelType w:val="hybridMultilevel"/>
    <w:lvl w:ilvl="0">
      <w:lvlJc w:val="left"/>
      <w:lvlText w:val="(%1)"/>
      <w:numFmt w:val="lowerLetter"/>
      <w:start w:val="3"/>
    </w:lvl>
    <w:lvl w:ilvl="1">
      <w:lvlJc w:val="left"/>
      <w:lvlText w:val="(%2)"/>
      <w:numFmt w:val="lowerLetter"/>
      <w:start w:val="2"/>
    </w:lvl>
  </w:abstractNum>
  <w:abstractNum w:abstractNumId="282">
    <w:nsid w:val="1187C70F"/>
    <w:multiLevelType w:val="hybridMultilevel"/>
    <w:lvl w:ilvl="0">
      <w:lvlJc w:val="left"/>
      <w:lvlText w:val="(%1)"/>
      <w:numFmt w:val="lowerLetter"/>
      <w:start w:val="4"/>
    </w:lvl>
  </w:abstractNum>
  <w:abstractNum w:abstractNumId="283">
    <w:nsid w:val="5476DE98"/>
    <w:multiLevelType w:val="hybridMultilevel"/>
    <w:lvl w:ilvl="0">
      <w:lvlJc w:val="left"/>
      <w:lvlText w:val="(%1)"/>
      <w:numFmt w:val="lowerLetter"/>
      <w:start w:val="1"/>
    </w:lvl>
  </w:abstractNum>
  <w:abstractNum w:abstractNumId="284">
    <w:nsid w:val="EA697F2"/>
    <w:multiLevelType w:val="hybridMultilevel"/>
    <w:lvl w:ilvl="0">
      <w:lvlJc w:val="left"/>
      <w:lvlText w:val="(%1)"/>
      <w:numFmt w:val="lowerLetter"/>
      <w:start w:val="5"/>
    </w:lvl>
  </w:abstractNum>
  <w:abstractNum w:abstractNumId="285">
    <w:nsid w:val="70BA39EB"/>
    <w:multiLevelType w:val="hybridMultilevel"/>
    <w:lvl w:ilvl="0">
      <w:lvlJc w:val="left"/>
      <w:lvlText w:val="%1"/>
      <w:numFmt w:val="lowerLetter"/>
      <w:start w:val="1"/>
    </w:lvl>
    <w:lvl w:ilvl="1">
      <w:lvlJc w:val="left"/>
      <w:lvlText w:val="(%2)"/>
      <w:numFmt w:val="lowerLetter"/>
      <w:start w:val="1"/>
    </w:lvl>
  </w:abstractNum>
  <w:abstractNum w:abstractNumId="286">
    <w:nsid w:val="4A8DB59C"/>
    <w:multiLevelType w:val="hybridMultilevel"/>
    <w:lvl w:ilvl="0">
      <w:lvlJc w:val="left"/>
      <w:lvlText w:val="(%1)"/>
      <w:numFmt w:val="lowerLetter"/>
      <w:start w:val="35"/>
    </w:lvl>
    <w:lvl w:ilvl="1">
      <w:lvlJc w:val="left"/>
      <w:lvlText w:val="(%2)"/>
      <w:numFmt w:val="lowerLetter"/>
      <w:start w:val="4"/>
    </w:lvl>
  </w:abstractNum>
  <w:abstractNum w:abstractNumId="287">
    <w:nsid w:val="1AFD9053"/>
    <w:multiLevelType w:val="hybridMultilevel"/>
    <w:lvl w:ilvl="0">
      <w:lvlJc w:val="left"/>
      <w:lvlText w:val="(%1)"/>
      <w:numFmt w:val="lowerLetter"/>
      <w:start w:val="5"/>
    </w:lvl>
    <w:lvl w:ilvl="1">
      <w:lvlJc w:val="left"/>
      <w:lvlText w:val="(%2)"/>
      <w:numFmt w:val="lowerRoman"/>
      <w:start w:val="1"/>
    </w:lvl>
  </w:abstractNum>
  <w:abstractNum w:abstractNumId="288">
    <w:nsid w:val="558BB10D"/>
    <w:multiLevelType w:val="hybridMultilevel"/>
    <w:lvl w:ilvl="0">
      <w:lvlJc w:val="left"/>
      <w:lvlText w:val="%1"/>
      <w:numFmt w:val="lowerLetter"/>
      <w:start w:val="1"/>
    </w:lvl>
    <w:lvl w:ilvl="1">
      <w:lvlJc w:val="left"/>
      <w:lvlText w:val="(%2)"/>
      <w:numFmt w:val="lowerRoman"/>
      <w:start w:val="6"/>
    </w:lvl>
  </w:abstractNum>
  <w:abstractNum w:abstractNumId="289">
    <w:nsid w:val="43B27FA7"/>
    <w:multiLevelType w:val="hybridMultilevel"/>
    <w:lvl w:ilvl="0">
      <w:lvlJc w:val="left"/>
      <w:lvlText w:val="(%1)"/>
      <w:numFmt w:val="lowerLetter"/>
      <w:start w:val="6"/>
    </w:lvl>
    <w:lvl w:ilvl="1">
      <w:lvlJc w:val="left"/>
      <w:lvlText w:val="%2"/>
      <w:numFmt w:val="lowerRoman"/>
      <w:start w:val="1"/>
    </w:lvl>
  </w:abstractNum>
  <w:abstractNum w:abstractNumId="290">
    <w:nsid w:val="27FADEFA"/>
    <w:multiLevelType w:val="hybridMultilevel"/>
    <w:lvl w:ilvl="0">
      <w:lvlJc w:val="left"/>
      <w:lvlText w:val="(%1)"/>
      <w:numFmt w:val="lowerLetter"/>
      <w:start w:val="10"/>
    </w:lvl>
  </w:abstractNum>
  <w:abstractNum w:abstractNumId="291">
    <w:nsid w:val="78BB805A"/>
    <w:multiLevelType w:val="hybridMultilevel"/>
    <w:lvl w:ilvl="0">
      <w:lvlJc w:val="left"/>
      <w:lvlText w:val="(%1)"/>
      <w:numFmt w:val="lowerLetter"/>
      <w:start w:val="1"/>
    </w:lvl>
    <w:lvl w:ilvl="1">
      <w:lvlJc w:val="left"/>
      <w:lvlText w:val="(%2)"/>
      <w:numFmt w:val="lowerRoman"/>
      <w:start w:val="1"/>
    </w:lvl>
  </w:abstractNum>
  <w:abstractNum w:abstractNumId="292">
    <w:nsid w:val="62548FD8"/>
    <w:multiLevelType w:val="hybridMultilevel"/>
    <w:lvl w:ilvl="0">
      <w:lvlJc w:val="left"/>
      <w:lvlText w:val="(%1)"/>
      <w:numFmt w:val="upperLetter"/>
      <w:start w:val="2"/>
    </w:lvl>
    <w:lvl w:ilvl="1">
      <w:lvlJc w:val="left"/>
      <w:lvlText w:val="(%2)"/>
      <w:numFmt w:val="lowerRoman"/>
      <w:start w:val="7"/>
    </w:lvl>
  </w:abstractNum>
  <w:abstractNum w:abstractNumId="293">
    <w:nsid w:val="FA085B0"/>
    <w:multiLevelType w:val="hybridMultilevel"/>
    <w:lvl w:ilvl="0">
      <w:lvlJc w:val="left"/>
      <w:lvlText w:val="%1"/>
      <w:numFmt w:val="upperLetter"/>
      <w:start w:val="1"/>
    </w:lvl>
    <w:lvl w:ilvl="1">
      <w:lvlJc w:val="left"/>
      <w:lvlText w:val="(%2)"/>
      <w:numFmt w:val="lowerRoman"/>
      <w:start w:val="8"/>
    </w:lvl>
  </w:abstractNum>
  <w:abstractNum w:abstractNumId="294">
    <w:nsid w:val="4E5DCB5"/>
    <w:multiLevelType w:val="hybridMultilevel"/>
    <w:lvl w:ilvl="0">
      <w:lvlJc w:val="left"/>
      <w:lvlText w:val="(%1)"/>
      <w:numFmt w:val="upperLetter"/>
      <w:start w:val="1"/>
    </w:lvl>
    <w:lvl w:ilvl="1">
      <w:lvlJc w:val="left"/>
      <w:lvlText w:val="%2"/>
      <w:numFmt w:val="lowerRoman"/>
      <w:start w:val="1"/>
    </w:lvl>
  </w:abstractNum>
  <w:abstractNum w:abstractNumId="295">
    <w:nsid w:val="41E96BDB"/>
    <w:multiLevelType w:val="hybridMultilevel"/>
    <w:lvl w:ilvl="0">
      <w:lvlJc w:val="left"/>
      <w:lvlText w:val="(%1)"/>
      <w:numFmt w:val="lowerLetter"/>
      <w:start w:val="2"/>
    </w:lvl>
  </w:abstractNum>
  <w:abstractNum w:abstractNumId="296">
    <w:nsid w:val="331C4250"/>
    <w:multiLevelType w:val="hybridMultilevel"/>
    <w:lvl w:ilvl="0">
      <w:lvlJc w:val="left"/>
      <w:lvlText w:val="%1"/>
      <w:numFmt w:val="upperLetter"/>
      <w:start w:val="1"/>
    </w:lvl>
    <w:lvl w:ilvl="1">
      <w:lvlJc w:val="left"/>
      <w:lvlText w:val="(%2)"/>
      <w:numFmt w:val="lowerLetter"/>
      <w:start w:val="1"/>
    </w:lvl>
  </w:abstractNum>
  <w:abstractNum w:abstractNumId="297">
    <w:nsid w:val="1B1493C2"/>
    <w:multiLevelType w:val="hybridMultilevel"/>
    <w:lvl w:ilvl="0">
      <w:lvlJc w:val="left"/>
      <w:lvlText w:val="(%1)"/>
      <w:numFmt w:val="upperLetter"/>
      <w:start w:val="2"/>
    </w:lvl>
    <w:lvl w:ilvl="1">
      <w:lvlJc w:val="left"/>
      <w:lvlText w:val="(%2)"/>
      <w:numFmt w:val="lowerLetter"/>
      <w:start w:val="5"/>
    </w:lvl>
  </w:abstractNum>
  <w:abstractNum w:abstractNumId="298">
    <w:nsid w:val="39F06DFD"/>
    <w:multiLevelType w:val="hybridMultilevel"/>
    <w:lvl w:ilvl="0">
      <w:lvlJc w:val="left"/>
      <w:lvlText w:val="(%1)"/>
      <w:numFmt w:val="lowerLetter"/>
      <w:start w:val="6"/>
    </w:lvl>
  </w:abstractNum>
  <w:abstractNum w:abstractNumId="299">
    <w:nsid w:val="14802F5D"/>
    <w:multiLevelType w:val="hybridMultilevel"/>
    <w:lvl w:ilvl="0">
      <w:lvlJc w:val="left"/>
      <w:lvlText w:val="(%1)"/>
      <w:numFmt w:val="lowerLetter"/>
      <w:start w:val="1"/>
    </w:lvl>
  </w:abstractNum>
  <w:abstractNum w:abstractNumId="300">
    <w:nsid w:val="2774A209"/>
    <w:multiLevelType w:val="hybridMultilevel"/>
    <w:lvl w:ilvl="0">
      <w:lvlJc w:val="left"/>
      <w:lvlText w:val="(%1)"/>
      <w:numFmt w:val="lowerLetter"/>
      <w:start w:val="1"/>
    </w:lvl>
  </w:abstractNum>
  <w:abstractNum w:abstractNumId="301">
    <w:nsid w:val="3785655A"/>
    <w:multiLevelType w:val="hybridMultilevel"/>
    <w:lvl w:ilvl="0">
      <w:lvlJc w:val="left"/>
      <w:lvlText w:val="(%1)"/>
      <w:numFmt w:val="lowerLetter"/>
      <w:start w:val="10"/>
    </w:lvl>
  </w:abstractNum>
  <w:abstractNum w:abstractNumId="302">
    <w:nsid w:val="B2172A"/>
    <w:multiLevelType w:val="hybridMultilevel"/>
    <w:lvl w:ilvl="0">
      <w:lvlJc w:val="left"/>
      <w:lvlText w:val="%1"/>
      <w:numFmt w:val="lowerLetter"/>
      <w:start w:val="1"/>
    </w:lvl>
    <w:lvl w:ilvl="1">
      <w:lvlJc w:val="left"/>
      <w:lvlText w:val="(%2)"/>
      <w:numFmt w:val="lowerLetter"/>
      <w:start w:val="1"/>
    </w:lvl>
  </w:abstractNum>
  <w:abstractNum w:abstractNumId="303">
    <w:nsid w:val="532C34A5"/>
    <w:multiLevelType w:val="hybridMultilevel"/>
    <w:lvl w:ilvl="0">
      <w:lvlJc w:val="left"/>
      <w:lvlText w:val="(%1)"/>
      <w:numFmt w:val="lowerLetter"/>
      <w:start w:val="9"/>
    </w:lvl>
    <w:lvl w:ilvl="1">
      <w:lvlJc w:val="left"/>
      <w:lvlText w:val="%2"/>
      <w:numFmt w:val="lowerLetter"/>
      <w:start w:val="1"/>
    </w:lvl>
  </w:abstractNum>
  <w:abstractNum w:abstractNumId="304">
    <w:nsid w:val="102809E2"/>
    <w:multiLevelType w:val="hybridMultilevel"/>
    <w:lvl w:ilvl="0">
      <w:lvlJc w:val="left"/>
      <w:lvlText w:val="(%1)"/>
      <w:numFmt w:val="lowerLetter"/>
      <w:start w:val="6"/>
    </w:lvl>
  </w:abstractNum>
  <w:abstractNum w:abstractNumId="305">
    <w:nsid w:val="3B2125A3"/>
    <w:multiLevelType w:val="hybridMultilevel"/>
    <w:lvl w:ilvl="0">
      <w:lvlJc w:val="left"/>
      <w:lvlText w:val="%1"/>
      <w:numFmt w:val="lowerLetter"/>
      <w:start w:val="1"/>
    </w:lvl>
    <w:lvl w:ilvl="1">
      <w:lvlJc w:val="left"/>
      <w:lvlText w:val="(%2)"/>
      <w:numFmt w:val="lowerLetter"/>
      <w:start w:val="14"/>
    </w:lvl>
  </w:abstractNum>
  <w:abstractNum w:abstractNumId="306">
    <w:nsid w:val="AC68FFB"/>
    <w:multiLevelType w:val="hybridMultilevel"/>
    <w:lvl w:ilvl="0">
      <w:lvlJc w:val="left"/>
      <w:lvlText w:val="(%1)"/>
      <w:numFmt w:val="lowerLetter"/>
      <w:start w:val="9"/>
    </w:lvl>
    <w:lvl w:ilvl="1">
      <w:lvlJc w:val="left"/>
      <w:lvlText w:val="%2"/>
      <w:numFmt w:val="lowerLetter"/>
      <w:start w:val="1"/>
    </w:lvl>
  </w:abstractNum>
  <w:abstractNum w:abstractNumId="307">
    <w:nsid w:val="63DF3FB7"/>
    <w:multiLevelType w:val="hybridMultilevel"/>
    <w:lvl w:ilvl="0">
      <w:lvlJc w:val="left"/>
      <w:lvlText w:val="(%1)"/>
      <w:numFmt w:val="lowerLetter"/>
      <w:start w:val="1"/>
    </w:lvl>
  </w:abstractNum>
  <w:abstractNum w:abstractNumId="308">
    <w:nsid w:val="64996E13"/>
    <w:multiLevelType w:val="hybridMultilevel"/>
    <w:lvl w:ilvl="0">
      <w:lvlJc w:val="left"/>
      <w:lvlText w:val="(%1)"/>
      <w:numFmt w:val="lowerLetter"/>
      <w:start w:val="1"/>
    </w:lvl>
  </w:abstractNum>
  <w:abstractNum w:abstractNumId="309">
    <w:nsid w:val="57A37D47"/>
    <w:multiLevelType w:val="hybridMultilevel"/>
    <w:lvl w:ilvl="0">
      <w:lvlJc w:val="left"/>
      <w:lvlText w:val="(%1)"/>
      <w:numFmt w:val="lowerLetter"/>
      <w:start w:val="1"/>
    </w:lvl>
  </w:abstractNum>
  <w:abstractNum w:abstractNumId="310">
    <w:nsid w:val="74824D54"/>
    <w:multiLevelType w:val="hybridMultilevel"/>
    <w:lvl w:ilvl="0">
      <w:lvlJc w:val="left"/>
      <w:lvlText w:val="%1"/>
      <w:numFmt w:val="lowerLetter"/>
      <w:start w:val="1"/>
    </w:lvl>
    <w:lvl w:ilvl="1">
      <w:lvlJc w:val="left"/>
      <w:lvlText w:val="(%2)"/>
      <w:numFmt w:val="lowerLetter"/>
      <w:start w:val="2"/>
    </w:lvl>
  </w:abstractNum>
  <w:abstractNum w:abstractNumId="311">
    <w:nsid w:val="6F00529A"/>
    <w:multiLevelType w:val="hybridMultilevel"/>
    <w:lvl w:ilvl="0">
      <w:lvlJc w:val="left"/>
      <w:lvlText w:val="(%1)"/>
      <w:numFmt w:val="lowerLetter"/>
      <w:start w:val="61"/>
    </w:lvl>
    <w:lvl w:ilvl="1">
      <w:lvlJc w:val="left"/>
      <w:lvlText w:val="%2"/>
      <w:numFmt w:val="lowerLetter"/>
      <w:start w:val="1"/>
    </w:lvl>
  </w:abstractNum>
  <w:abstractNum w:abstractNumId="312">
    <w:nsid w:val="805B331"/>
    <w:multiLevelType w:val="hybridMultilevel"/>
    <w:lvl w:ilvl="0">
      <w:lvlJc w:val="left"/>
      <w:lvlText w:val="(%1)"/>
      <w:numFmt w:val="lowerLetter"/>
      <w:start w:val="1"/>
    </w:lvl>
    <w:lvl w:ilvl="1">
      <w:lvlJc w:val="left"/>
      <w:lvlText w:val="(%2)"/>
      <w:numFmt w:val="lowerLetter"/>
      <w:start w:val="3"/>
    </w:lvl>
  </w:abstractNum>
  <w:abstractNum w:abstractNumId="313">
    <w:nsid w:val="60A1463"/>
    <w:multiLevelType w:val="hybridMultilevel"/>
    <w:lvl w:ilvl="0">
      <w:lvlJc w:val="left"/>
      <w:lvlText w:val="(%1)"/>
      <w:numFmt w:val="lowerLetter"/>
      <w:start w:val="1"/>
    </w:lvl>
  </w:abstractNum>
  <w:abstractNum w:abstractNumId="314">
    <w:nsid w:val="43773132"/>
    <w:multiLevelType w:val="hybridMultilevel"/>
    <w:lvl w:ilvl="0">
      <w:lvlJc w:val="left"/>
      <w:lvlText w:val="(%1)"/>
      <w:numFmt w:val="lowerLetter"/>
      <w:start w:val="1"/>
    </w:lvl>
    <w:lvl w:ilvl="1">
      <w:lvlJc w:val="left"/>
      <w:lvlText w:val="(%2)"/>
      <w:numFmt w:val="lowerRoman"/>
      <w:start w:val="1"/>
    </w:lvl>
  </w:abstractNum>
  <w:abstractNum w:abstractNumId="315">
    <w:nsid w:val="16AC4B23"/>
    <w:multiLevelType w:val="hybridMultilevel"/>
    <w:lvl w:ilvl="0">
      <w:lvlJc w:val="left"/>
      <w:lvlText w:val="%1"/>
      <w:numFmt w:val="lowerLetter"/>
      <w:start w:val="1"/>
    </w:lvl>
    <w:lvl w:ilvl="1">
      <w:lvlJc w:val="left"/>
      <w:lvlText w:val="(%2)"/>
      <w:numFmt w:val="lowerRoman"/>
      <w:start w:val="3"/>
    </w:lvl>
  </w:abstractNum>
  <w:abstractNum w:abstractNumId="316">
    <w:nsid w:val="76C44E4E"/>
    <w:multiLevelType w:val="hybridMultilevel"/>
    <w:lvl w:ilvl="0">
      <w:lvlJc w:val="left"/>
      <w:lvlText w:val="(%1)"/>
      <w:numFmt w:val="lowerLetter"/>
      <w:start w:val="2"/>
    </w:lvl>
    <w:lvl w:ilvl="1">
      <w:lvlJc w:val="left"/>
      <w:lvlText w:val="%2"/>
      <w:numFmt w:val="lowerRoman"/>
      <w:start w:val="1"/>
    </w:lvl>
  </w:abstractNum>
  <w:abstractNum w:abstractNumId="317">
    <w:nsid w:val="E04E6CE"/>
    <w:multiLevelType w:val="hybridMultilevel"/>
    <w:lvl w:ilvl="0">
      <w:lvlJc w:val="left"/>
      <w:lvlText w:val="%1"/>
      <w:numFmt w:val="lowerLetter"/>
      <w:start w:val="1"/>
    </w:lvl>
    <w:lvl w:ilvl="1">
      <w:lvlJc w:val="left"/>
      <w:lvlText w:val="(%2)"/>
      <w:numFmt w:val="lowerLetter"/>
      <w:start w:val="1"/>
    </w:lvl>
  </w:abstractNum>
  <w:abstractNum w:abstractNumId="318">
    <w:nsid w:val="31A9DB76"/>
    <w:multiLevelType w:val="hybridMultilevel"/>
    <w:lvl w:ilvl="0">
      <w:lvlJc w:val="left"/>
      <w:lvlText w:val="(%1)"/>
      <w:numFmt w:val="lowerLetter"/>
      <w:start w:val="35"/>
    </w:lvl>
    <w:lvl w:ilvl="1">
      <w:lvlJc w:val="left"/>
      <w:lvlText w:val="(%2)"/>
      <w:numFmt w:val="lowerLetter"/>
      <w:start w:val="2"/>
    </w:lvl>
  </w:abstractNum>
  <w:abstractNum w:abstractNumId="319">
    <w:nsid w:val="4C4FFF5B"/>
    <w:multiLevelType w:val="hybridMultilevel"/>
    <w:lvl w:ilvl="0">
      <w:lvlJc w:val="left"/>
      <w:lvlText w:val="(%1)"/>
      <w:numFmt w:val="lowerLetter"/>
      <w:start w:val="3"/>
    </w:lvl>
  </w:abstractNum>
  <w:abstractNum w:abstractNumId="320">
    <w:nsid w:val="51B76675"/>
    <w:multiLevelType w:val="hybridMultilevel"/>
    <w:lvl w:ilvl="0">
      <w:lvlJc w:val="left"/>
      <w:lvlText w:val="%1"/>
      <w:numFmt w:val="lowerLetter"/>
      <w:start w:val="1"/>
    </w:lvl>
    <w:lvl w:ilvl="1">
      <w:lvlJc w:val="left"/>
      <w:lvlText w:val="(%2)"/>
      <w:numFmt w:val="lowerLetter"/>
      <w:start w:val="1"/>
    </w:lvl>
  </w:abstractNum>
  <w:abstractNum w:abstractNumId="321">
    <w:nsid w:val="59A4BA71"/>
    <w:multiLevelType w:val="hybridMultilevel"/>
    <w:lvl w:ilvl="0">
      <w:lvlJc w:val="left"/>
      <w:lvlText w:val="(%1)"/>
      <w:numFmt w:val="lowerLetter"/>
      <w:start w:val="35"/>
    </w:lvl>
    <w:lvl w:ilvl="1">
      <w:lvlJc w:val="left"/>
      <w:lvlText w:val="%2"/>
      <w:numFmt w:val="lowerLetter"/>
      <w:start w:val="1"/>
    </w:lvl>
  </w:abstractNum>
  <w:abstractNum w:abstractNumId="322">
    <w:nsid w:val="450B7FB6"/>
    <w:multiLevelType w:val="hybridMultilevel"/>
    <w:lvl w:ilvl="0">
      <w:lvlJc w:val="left"/>
      <w:lvlText w:val="(%1)"/>
      <w:numFmt w:val="lowerLetter"/>
      <w:start w:val="2"/>
    </w:lvl>
  </w:abstractNum>
  <w:abstractNum w:abstractNumId="323">
    <w:nsid w:val="340BF64D"/>
    <w:multiLevelType w:val="hybridMultilevel"/>
    <w:lvl w:ilvl="0">
      <w:lvlJc w:val="left"/>
      <w:lvlText w:val="(%1)"/>
      <w:numFmt w:val="lowerLetter"/>
      <w:start w:val="8"/>
    </w:lvl>
  </w:abstractNum>
  <w:abstractNum w:abstractNumId="324">
    <w:nsid w:val="69454021"/>
    <w:multiLevelType w:val="hybridMultilevel"/>
    <w:lvl w:ilvl="0">
      <w:lvlJc w:val="left"/>
      <w:lvlText w:val="(%1)"/>
      <w:numFmt w:val="lowerLetter"/>
      <w:start w:val="2"/>
    </w:lvl>
  </w:abstractNum>
  <w:abstractNum w:abstractNumId="325">
    <w:nsid w:val="49F15C6B"/>
    <w:multiLevelType w:val="hybridMultilevel"/>
    <w:lvl w:ilvl="0">
      <w:lvlJc w:val="left"/>
      <w:lvlText w:val="%1"/>
      <w:numFmt w:val="lowerLetter"/>
      <w:start w:val="1"/>
    </w:lvl>
    <w:lvl w:ilvl="1">
      <w:lvlJc w:val="left"/>
      <w:lvlText w:val="(%2)"/>
      <w:numFmt w:val="lowerLetter"/>
      <w:start w:val="1"/>
    </w:lvl>
  </w:abstractNum>
  <w:abstractNum w:abstractNumId="326">
    <w:nsid w:val="75F56228"/>
    <w:multiLevelType w:val="hybridMultilevel"/>
    <w:lvl w:ilvl="0">
      <w:lvlJc w:val="left"/>
      <w:lvlText w:val="(%1)"/>
      <w:numFmt w:val="lowerLetter"/>
      <w:start w:val="9"/>
    </w:lvl>
    <w:lvl w:ilvl="1">
      <w:lvlJc w:val="left"/>
      <w:lvlText w:val="%2"/>
      <w:numFmt w:val="lowerLetter"/>
      <w:start w:val="1"/>
    </w:lvl>
  </w:abstractNum>
  <w:abstractNum w:abstractNumId="327">
    <w:nsid w:val="1C618271"/>
    <w:multiLevelType w:val="hybridMultilevel"/>
    <w:lvl w:ilvl="0">
      <w:lvlJc w:val="left"/>
      <w:lvlText w:val="(%1)"/>
      <w:numFmt w:val="lowerLetter"/>
      <w:start w:val="2"/>
    </w:lvl>
  </w:abstractNum>
  <w:abstractNum w:abstractNumId="328">
    <w:nsid w:val="6505F02E"/>
    <w:multiLevelType w:val="hybridMultilevel"/>
    <w:lvl w:ilvl="0">
      <w:lvlJc w:val="left"/>
      <w:lvlText w:val="(%1)"/>
      <w:numFmt w:val="lowerLetter"/>
      <w:start w:val="5"/>
    </w:lvl>
    <w:lvl w:ilvl="1">
      <w:lvlJc w:val="left"/>
      <w:lvlText w:val="(%2)"/>
      <w:numFmt w:val="lowerRoman"/>
      <w:start w:val="1"/>
    </w:lvl>
  </w:abstractNum>
  <w:abstractNum w:abstractNumId="329">
    <w:nsid w:val="2FE5D025"/>
    <w:multiLevelType w:val="hybridMultilevel"/>
    <w:lvl w:ilvl="0">
      <w:lvlJc w:val="left"/>
      <w:lvlText w:val="%1"/>
      <w:numFmt w:val="lowerLetter"/>
      <w:start w:val="1"/>
    </w:lvl>
    <w:lvl w:ilvl="1">
      <w:lvlJc w:val="left"/>
      <w:lvlText w:val="(%2)"/>
      <w:numFmt w:val="lowerRoman"/>
      <w:start w:val="8"/>
    </w:lvl>
  </w:abstractNum>
  <w:abstractNum w:abstractNumId="330">
    <w:nsid w:val="30E1B1CF"/>
    <w:multiLevelType w:val="hybridMultilevel"/>
    <w:lvl w:ilvl="0">
      <w:lvlJc w:val="left"/>
      <w:lvlText w:val="(%1)"/>
      <w:numFmt w:val="lowerLetter"/>
      <w:start w:val="6"/>
    </w:lvl>
    <w:lvl w:ilvl="1">
      <w:lvlJc w:val="left"/>
      <w:lvlText w:val="%2"/>
      <w:numFmt w:val="lowerRoman"/>
      <w:start w:val="1"/>
    </w:lvl>
  </w:abstractNum>
  <w:abstractNum w:abstractNumId="331">
    <w:nsid w:val="C7A9237"/>
    <w:multiLevelType w:val="hybridMultilevel"/>
    <w:lvl w:ilvl="0">
      <w:lvlJc w:val="left"/>
      <w:lvlText w:val="%1"/>
      <w:numFmt w:val="lowerLetter"/>
      <w:start w:val="1"/>
    </w:lvl>
    <w:lvl w:ilvl="1">
      <w:lvlJc w:val="left"/>
      <w:lvlText w:val="(%2)"/>
      <w:numFmt w:val="lowerLetter"/>
      <w:start w:val="11"/>
    </w:lvl>
  </w:abstractNum>
  <w:abstractNum w:abstractNumId="332">
    <w:nsid w:val="676B3580"/>
    <w:multiLevelType w:val="hybridMultilevel"/>
    <w:lvl w:ilvl="0">
      <w:lvlJc w:val="left"/>
      <w:lvlText w:val="(%1)"/>
      <w:numFmt w:val="lowerLetter"/>
      <w:start w:val="9"/>
    </w:lvl>
    <w:lvl w:ilvl="1">
      <w:lvlJc w:val="left"/>
      <w:lvlText w:val="%2"/>
      <w:numFmt w:val="lowerLetter"/>
      <w:start w:val="1"/>
    </w:lvl>
  </w:abstractNum>
  <w:abstractNum w:abstractNumId="333">
    <w:nsid w:val="3193C8F9"/>
    <w:multiLevelType w:val="hybridMultilevel"/>
    <w:lvl w:ilvl="0">
      <w:lvlJc w:val="left"/>
      <w:lvlText w:val="(%1)"/>
      <w:numFmt w:val="lowerLetter"/>
      <w:start w:val="1"/>
    </w:lvl>
    <w:lvl w:ilvl="1">
      <w:lvlJc w:val="left"/>
      <w:lvlText w:val="(%2)"/>
      <w:numFmt w:val="lowerRoman"/>
      <w:start w:val="1"/>
    </w:lvl>
  </w:abstractNum>
  <w:abstractNum w:abstractNumId="334">
    <w:nsid w:val="5FA6C6DC"/>
    <w:multiLevelType w:val="hybridMultilevel"/>
    <w:lvl w:ilvl="0">
      <w:lvlJc w:val="left"/>
      <w:lvlText w:val="(%1)"/>
      <w:numFmt w:val="upperLetter"/>
      <w:start w:val="2"/>
    </w:lvl>
    <w:lvl w:ilvl="1">
      <w:lvlJc w:val="left"/>
      <w:lvlText w:val="(%2)"/>
      <w:numFmt w:val="lowerRoman"/>
      <w:start w:val="7"/>
    </w:lvl>
  </w:abstractNum>
  <w:abstractNum w:abstractNumId="335">
    <w:nsid w:val="77933F62"/>
    <w:multiLevelType w:val="hybridMultilevel"/>
    <w:lvl w:ilvl="0">
      <w:lvlJc w:val="left"/>
      <w:lvlText w:val="%1"/>
      <w:numFmt w:val="lowerLetter"/>
      <w:start w:val="1"/>
    </w:lvl>
    <w:lvl w:ilvl="1">
      <w:lvlJc w:val="left"/>
      <w:lvlText w:val="(%2)"/>
      <w:numFmt w:val="lowerRoman"/>
      <w:start w:val="10"/>
    </w:lvl>
  </w:abstractNum>
  <w:abstractNum w:abstractNumId="336">
    <w:nsid w:val="6CB4EE9C"/>
    <w:multiLevelType w:val="hybridMultilevel"/>
    <w:lvl w:ilvl="0">
      <w:lvlJc w:val="left"/>
      <w:lvlText w:val="(%1)"/>
      <w:numFmt w:val="lowerLetter"/>
      <w:start w:val="2"/>
    </w:lvl>
    <w:lvl w:ilvl="1">
      <w:lvlJc w:val="left"/>
      <w:lvlText w:val="%2"/>
      <w:numFmt w:val="lowerRoman"/>
      <w:start w:val="1"/>
    </w:lvl>
  </w:abstractNum>
  <w:abstractNum w:abstractNumId="337">
    <w:nsid w:val="6A6D56D7"/>
    <w:multiLevelType w:val="hybridMultilevel"/>
    <w:lvl w:ilvl="0">
      <w:lvlJc w:val="left"/>
      <w:lvlText w:val="(%1)"/>
      <w:numFmt w:val="lowerLetter"/>
      <w:start w:val="1"/>
    </w:lvl>
  </w:abstractNum>
  <w:abstractNum w:abstractNumId="338">
    <w:nsid w:val="5B727F19"/>
    <w:multiLevelType w:val="hybridMultilevel"/>
    <w:lvl w:ilvl="0">
      <w:lvlJc w:val="left"/>
      <w:lvlText w:val="(%1)"/>
      <w:numFmt w:val="lowerLetter"/>
      <w:start w:val="6"/>
    </w:lvl>
  </w:abstractNum>
  <w:abstractNum w:abstractNumId="339">
    <w:nsid w:val="514E5CB0"/>
    <w:multiLevelType w:val="hybridMultilevel"/>
    <w:lvl w:ilvl="0">
      <w:lvlJc w:val="left"/>
      <w:lvlText w:val="(%1)"/>
      <w:numFmt w:val="lowerLetter"/>
      <w:start w:val="1"/>
    </w:lvl>
  </w:abstractNum>
  <w:abstractNum w:abstractNumId="340">
    <w:nsid w:val="4210D41E"/>
    <w:multiLevelType w:val="hybridMultilevel"/>
    <w:lvl w:ilvl="0">
      <w:lvlJc w:val="left"/>
      <w:lvlText w:val="(%1)"/>
      <w:numFmt w:val="lowerLetter"/>
      <w:start w:val="2"/>
    </w:lvl>
  </w:abstractNum>
  <w:abstractNum w:abstractNumId="341">
    <w:nsid w:val="4FF4CC6D"/>
    <w:multiLevelType w:val="hybridMultilevel"/>
    <w:lvl w:ilvl="0">
      <w:lvlJc w:val="left"/>
      <w:lvlText w:val="(%1)"/>
      <w:numFmt w:val="lowerLetter"/>
      <w:start w:val="1"/>
    </w:lvl>
  </w:abstractNum>
  <w:abstractNum w:abstractNumId="342">
    <w:nsid w:val="404EAF4A"/>
    <w:multiLevelType w:val="hybridMultilevel"/>
    <w:lvl w:ilvl="0">
      <w:lvlJc w:val="left"/>
      <w:lvlText w:val="(%1)"/>
      <w:numFmt w:val="lowerLetter"/>
      <w:start w:val="9"/>
    </w:lvl>
  </w:abstractNum>
  <w:abstractNum w:abstractNumId="343">
    <w:nsid w:val="4A16874F"/>
    <w:multiLevelType w:val="hybridMultilevel"/>
    <w:lvl w:ilvl="0">
      <w:lvlJc w:val="left"/>
      <w:lvlText w:val="%1"/>
      <w:numFmt w:val="lowerLetter"/>
      <w:start w:val="1"/>
    </w:lvl>
    <w:lvl w:ilvl="1">
      <w:lvlJc w:val="left"/>
      <w:lvlText w:val="(%2)"/>
      <w:numFmt w:val="lowerLetter"/>
      <w:start w:val="1"/>
    </w:lvl>
  </w:abstractNum>
  <w:abstractNum w:abstractNumId="344">
    <w:nsid w:val="55FEE0D1"/>
    <w:multiLevelType w:val="hybridMultilevel"/>
    <w:lvl w:ilvl="0">
      <w:lvlJc w:val="left"/>
      <w:lvlText w:val="(%1)"/>
      <w:numFmt w:val="lowerLetter"/>
      <w:start w:val="35"/>
    </w:lvl>
    <w:lvl w:ilvl="1">
      <w:lvlJc w:val="left"/>
      <w:lvlText w:val="%2"/>
      <w:numFmt w:val="lowerLetter"/>
      <w:start w:val="1"/>
    </w:lvl>
  </w:abstractNum>
  <w:abstractNum w:abstractNumId="345">
    <w:nsid w:val="3C5E07C"/>
    <w:multiLevelType w:val="hybridMultilevel"/>
    <w:lvl w:ilvl="0">
      <w:lvlJc w:val="left"/>
      <w:lvlText w:val="(%1)"/>
      <w:numFmt w:val="lowerLetter"/>
      <w:start w:val="6"/>
    </w:lvl>
  </w:abstractNum>
  <w:abstractNum w:abstractNumId="346">
    <w:nsid w:val="60C2D273"/>
    <w:multiLevelType w:val="hybridMultilevel"/>
    <w:lvl w:ilvl="0">
      <w:lvlJc w:val="left"/>
      <w:lvlText w:val="%1"/>
      <w:numFmt w:val="lowerLetter"/>
      <w:start w:val="1"/>
    </w:lvl>
    <w:lvl w:ilvl="1">
      <w:lvlJc w:val="left"/>
      <w:lvlText w:val="(%2)"/>
      <w:numFmt w:val="lowerLetter"/>
      <w:start w:val="13"/>
    </w:lvl>
  </w:abstractNum>
  <w:abstractNum w:abstractNumId="347">
    <w:nsid w:val="4CC32F1F"/>
    <w:multiLevelType w:val="hybridMultilevel"/>
    <w:lvl w:ilvl="0">
      <w:lvlJc w:val="left"/>
      <w:lvlText w:val="(%1)"/>
      <w:numFmt w:val="lowerLetter"/>
      <w:start w:val="9"/>
    </w:lvl>
    <w:lvl w:ilvl="1">
      <w:lvlJc w:val="left"/>
      <w:lvlText w:val="%2"/>
      <w:numFmt w:val="lowerLetter"/>
      <w:start w:val="1"/>
    </w:lvl>
  </w:abstractNum>
  <w:abstractNum w:abstractNumId="348">
    <w:nsid w:val="11CAC74A"/>
    <w:multiLevelType w:val="hybridMultilevel"/>
    <w:lvl w:ilvl="0">
      <w:lvlJc w:val="left"/>
      <w:lvlText w:val="(%1)"/>
      <w:numFmt w:val="lowerLetter"/>
      <w:start w:val="1"/>
    </w:lvl>
  </w:abstractNum>
  <w:abstractNum w:abstractNumId="349">
    <w:nsid w:val="126CADE9"/>
    <w:multiLevelType w:val="hybridMultilevel"/>
    <w:lvl w:ilvl="0">
      <w:lvlJc w:val="left"/>
      <w:lvlText w:val="(%1)"/>
      <w:numFmt w:val="lowerLetter"/>
      <w:start w:val="1"/>
    </w:lvl>
  </w:abstractNum>
  <w:abstractNum w:abstractNumId="350">
    <w:nsid w:val="19132E7B"/>
    <w:multiLevelType w:val="hybridMultilevel"/>
    <w:lvl w:ilvl="0">
      <w:lvlJc w:val="left"/>
      <w:lvlText w:val="(%1)"/>
      <w:numFmt w:val="lowerRoman"/>
      <w:start w:val="3"/>
    </w:lvl>
  </w:abstractNum>
  <w:abstractNum w:abstractNumId="351">
    <w:nsid w:val="63822DC0"/>
    <w:multiLevelType w:val="hybridMultilevel"/>
    <w:lvl w:ilvl="0">
      <w:lvlJc w:val="left"/>
      <w:lvlText w:val="(%1)"/>
      <w:numFmt w:val="lowerLetter"/>
      <w:start w:val="1"/>
    </w:lvl>
  </w:abstractNum>
  <w:abstractNum w:abstractNumId="352">
    <w:nsid w:val="6C11685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53">
    <w:nsid w:val="5E1EAE31"/>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354">
    <w:nsid w:val="178E240D"/>
    <w:multiLevelType w:val="hybridMultilevel"/>
    <w:lvl w:ilvl="0">
      <w:lvlJc w:val="left"/>
      <w:lvlText w:val="%1"/>
      <w:numFmt w:val="lowerLetter"/>
      <w:start w:val="1"/>
    </w:lvl>
    <w:lvl w:ilvl="1">
      <w:lvlJc w:val="left"/>
      <w:lvlText w:val="(%2)"/>
      <w:numFmt w:val="lowerRoman"/>
      <w:start w:val="11"/>
    </w:lvl>
  </w:abstractNum>
  <w:abstractNum w:abstractNumId="355">
    <w:nsid w:val="5556A87B"/>
    <w:multiLevelType w:val="hybridMultilevel"/>
    <w:lvl w:ilvl="0">
      <w:lvlJc w:val="left"/>
      <w:lvlText w:val="(%1)"/>
      <w:numFmt w:val="lowerLetter"/>
      <w:start w:val="3"/>
    </w:lvl>
    <w:lvl w:ilvl="1">
      <w:lvlJc w:val="left"/>
      <w:lvlText w:val="%2"/>
      <w:numFmt w:val="lowerRoman"/>
      <w:start w:val="1"/>
    </w:lvl>
  </w:abstractNum>
  <w:abstractNum w:abstractNumId="356">
    <w:nsid w:val="28100A9C"/>
    <w:multiLevelType w:val="hybridMultilevel"/>
    <w:lvl w:ilvl="0">
      <w:lvlJc w:val="left"/>
      <w:lvlText w:val="(%1)"/>
      <w:numFmt w:val="lowerLetter"/>
      <w:start w:val="1"/>
    </w:lvl>
  </w:abstractNum>
  <w:abstractNum w:abstractNumId="357">
    <w:nsid w:val="D838636"/>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58">
    <w:nsid w:val="71B82AED"/>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1"/>
    </w:lvl>
  </w:abstractNum>
  <w:abstractNum w:abstractNumId="359">
    <w:nsid w:val="D15FACA"/>
    <w:multiLevelType w:val="hybridMultilevel"/>
    <w:lvl w:ilvl="0">
      <w:lvlJc w:val="left"/>
      <w:lvlText w:val="(%1)"/>
      <w:numFmt w:val="lowerRoman"/>
      <w:start w:val="4"/>
    </w:lvl>
    <w:lvl w:ilvl="1">
      <w:lvlJc w:val="left"/>
      <w:lvlText w:val="(%2)"/>
      <w:numFmt w:val="lowerRoman"/>
      <w:start w:val="11"/>
    </w:lvl>
  </w:abstractNum>
  <w:abstractNum w:abstractNumId="360">
    <w:nsid w:val="3D69565B"/>
    <w:multiLevelType w:val="hybridMultilevel"/>
    <w:lvl w:ilvl="0">
      <w:lvlJc w:val="left"/>
      <w:lvlText w:val="%1"/>
      <w:numFmt w:val="upperLetter"/>
      <w:start w:val="1"/>
    </w:lvl>
    <w:lvl w:ilvl="1">
      <w:lvlJc w:val="left"/>
      <w:lvlText w:val="(%2)"/>
      <w:numFmt w:val="lowerLetter"/>
      <w:start w:val="3"/>
    </w:lvl>
  </w:abstractNum>
  <w:abstractNum w:abstractNumId="361">
    <w:nsid w:val="2299DCBC"/>
    <w:multiLevelType w:val="hybridMultilevel"/>
    <w:lvl w:ilvl="0">
      <w:lvlJc w:val="left"/>
      <w:lvlText w:val="(%1)"/>
      <w:numFmt w:val="upperLetter"/>
      <w:start w:val="1"/>
    </w:lvl>
    <w:lvl w:ilvl="1">
      <w:lvlJc w:val="left"/>
      <w:lvlText w:val="%2"/>
      <w:numFmt w:val="lowerLetter"/>
      <w:start w:val="1"/>
    </w:lvl>
  </w:abstractNum>
  <w:abstractNum w:abstractNumId="362">
    <w:nsid w:val="19908D02"/>
    <w:multiLevelType w:val="hybridMultilevel"/>
    <w:lvl w:ilvl="0">
      <w:lvlJc w:val="left"/>
      <w:lvlText w:val="(%1)"/>
      <w:numFmt w:val="upperLetter"/>
      <w:start w:val="1"/>
    </w:lvl>
    <w:lvl w:ilvl="1">
      <w:lvlJc w:val="left"/>
      <w:lvlText w:val="%2"/>
      <w:numFmt w:val="lowerLetter"/>
      <w:start w:val="1"/>
    </w:lvl>
  </w:abstractNum>
  <w:abstractNum w:abstractNumId="363">
    <w:nsid w:val="24D48BDB"/>
    <w:multiLevelType w:val="hybridMultilevel"/>
    <w:lvl w:ilvl="0">
      <w:lvlJc w:val="left"/>
      <w:lvlText w:val="(%1)"/>
      <w:numFmt w:val="lowerLetter"/>
      <w:start w:val="1"/>
    </w:lvl>
  </w:abstractNum>
  <w:abstractNum w:abstractNumId="364">
    <w:nsid w:val="542DA5B5"/>
    <w:multiLevelType w:val="hybridMultilevel"/>
    <w:lvl w:ilvl="0">
      <w:lvlJc w:val="left"/>
      <w:lvlText w:val="(%1)"/>
      <w:numFmt w:val="lowerLetter"/>
      <w:start w:val="2"/>
    </w:lvl>
    <w:lvl w:ilvl="1">
      <w:lvlJc w:val="left"/>
      <w:lvlText w:val="(%2)"/>
      <w:numFmt w:val="lowerRoman"/>
      <w:start w:val="1"/>
    </w:lvl>
  </w:abstractNum>
  <w:abstractNum w:abstractNumId="365">
    <w:nsid w:val="793753DE"/>
    <w:multiLevelType w:val="hybridMultilevel"/>
    <w:lvl w:ilvl="0">
      <w:lvlJc w:val="left"/>
      <w:lvlText w:val="(%1)"/>
      <w:numFmt w:val="lowerLetter"/>
      <w:start w:val="1"/>
    </w:lvl>
  </w:abstractNum>
  <w:abstractNum w:abstractNumId="366">
    <w:nsid w:val="1C67CB3D"/>
    <w:multiLevelType w:val="hybridMultilevel"/>
    <w:lvl w:ilvl="0">
      <w:lvlJc w:val="left"/>
      <w:lvlText w:val="(%1)"/>
      <w:numFmt w:val="lowerLetter"/>
      <w:start w:val="2"/>
    </w:lvl>
  </w:abstractNum>
  <w:abstractNum w:abstractNumId="367">
    <w:nsid w:val="40E29452"/>
    <w:multiLevelType w:val="hybridMultilevel"/>
    <w:lvl w:ilvl="0">
      <w:lvlJc w:val="left"/>
      <w:lvlText w:val="(%1)"/>
      <w:numFmt w:val="lowerLetter"/>
      <w:start w:val="1"/>
    </w:lvl>
  </w:abstractNum>
  <w:abstractNum w:abstractNumId="368">
    <w:nsid w:val="63A4AAB6"/>
    <w:multiLevelType w:val="hybridMultilevel"/>
    <w:lvl w:ilvl="0">
      <w:lvlJc w:val="left"/>
      <w:lvlText w:val="(%1)"/>
      <w:numFmt w:val="lowerLetter"/>
      <w:start w:val="3"/>
    </w:lvl>
  </w:abstractNum>
  <w:abstractNum w:abstractNumId="369">
    <w:nsid w:val="77DA4A57"/>
    <w:multiLevelType w:val="hybridMultilevel"/>
    <w:lvl w:ilvl="0">
      <w:lvlJc w:val="left"/>
      <w:lvlText w:val="(%1)"/>
      <w:numFmt w:val="lowerLetter"/>
      <w:start w:val="5"/>
    </w:lvl>
  </w:abstractNum>
  <w:abstractNum w:abstractNumId="370">
    <w:nsid w:val="1230F102"/>
    <w:multiLevelType w:val="hybridMultilevel"/>
    <w:lvl w:ilvl="0">
      <w:lvlJc w:val="left"/>
      <w:lvlText w:val="(%1)"/>
      <w:numFmt w:val="lowerLetter"/>
      <w:start w:val="1"/>
    </w:lvl>
  </w:abstractNum>
  <w:abstractNum w:abstractNumId="371">
    <w:nsid w:val="25B57ED4"/>
    <w:multiLevelType w:val="hybridMultilevel"/>
    <w:lvl w:ilvl="0">
      <w:lvlJc w:val="left"/>
      <w:lvlText w:val="(%1)"/>
      <w:numFmt w:val="lowerLetter"/>
      <w:start w:val="2"/>
    </w:lvl>
  </w:abstractNum>
  <w:abstractNum w:abstractNumId="372">
    <w:nsid w:val="47CF16C4"/>
    <w:multiLevelType w:val="hybridMultilevel"/>
    <w:lvl w:ilvl="0">
      <w:lvlJc w:val="left"/>
      <w:lvlText w:val="%1"/>
      <w:numFmt w:val="lowerLetter"/>
      <w:start w:val="1"/>
    </w:lvl>
    <w:lvl w:ilvl="1">
      <w:lvlJc w:val="left"/>
      <w:lvlText w:val="(%2)"/>
      <w:numFmt w:val="lowerLetter"/>
      <w:start w:val="1"/>
    </w:lvl>
  </w:abstractNum>
  <w:abstractNum w:abstractNumId="373">
    <w:nsid w:val="527FA04C"/>
    <w:multiLevelType w:val="hybridMultilevel"/>
    <w:lvl w:ilvl="0">
      <w:lvlJc w:val="left"/>
      <w:lvlText w:val="(%1)"/>
      <w:numFmt w:val="lowerLetter"/>
      <w:start w:val="9"/>
    </w:lvl>
    <w:lvl w:ilvl="1">
      <w:lvlJc w:val="left"/>
      <w:lvlText w:val="(%2)"/>
      <w:numFmt w:val="lowerLetter"/>
      <w:start w:val="2"/>
    </w:lvl>
  </w:abstractNum>
  <w:abstractNum w:abstractNumId="374">
    <w:nsid w:val="6FCC0624"/>
    <w:multiLevelType w:val="hybridMultilevel"/>
    <w:lvl w:ilvl="0">
      <w:lvlJc w:val="left"/>
      <w:lvlText w:val="(%1)"/>
      <w:numFmt w:val="lowerLetter"/>
      <w:start w:val="1"/>
    </w:lvl>
  </w:abstractNum>
  <w:abstractNum w:abstractNumId="375">
    <w:nsid w:val="1DCDF795"/>
    <w:multiLevelType w:val="hybridMultilevel"/>
    <w:lvl w:ilvl="0">
      <w:lvlJc w:val="left"/>
      <w:lvlText w:val="(%1)"/>
      <w:numFmt w:val="lowerLetter"/>
      <w:start w:val="5"/>
    </w:lvl>
  </w:abstractNum>
  <w:abstractNum w:abstractNumId="376">
    <w:nsid w:val="564580C8"/>
    <w:multiLevelType w:val="hybridMultilevel"/>
    <w:lvl w:ilvl="0">
      <w:lvlJc w:val="left"/>
      <w:lvlText w:val="%1"/>
      <w:numFmt w:val="lowerLetter"/>
      <w:start w:val="1"/>
    </w:lvl>
    <w:lvl w:ilvl="1">
      <w:lvlJc w:val="left"/>
      <w:lvlText w:val="(%2)"/>
      <w:numFmt w:val="lowerLetter"/>
      <w:start w:val="1"/>
    </w:lvl>
  </w:abstractNum>
  <w:abstractNum w:abstractNumId="377">
    <w:nsid w:val="508ED897"/>
    <w:multiLevelType w:val="hybridMultilevel"/>
    <w:lvl w:ilvl="0">
      <w:lvlJc w:val="left"/>
      <w:lvlText w:val="(%1)"/>
      <w:numFmt w:val="lowerLetter"/>
      <w:start w:val="35"/>
    </w:lvl>
    <w:lvl w:ilvl="1">
      <w:lvlJc w:val="left"/>
      <w:lvlText w:val="%2"/>
      <w:numFmt w:val="lowerLetter"/>
      <w:start w:val="1"/>
    </w:lvl>
  </w:abstractNum>
  <w:abstractNum w:abstractNumId="378">
    <w:nsid w:val="6A9126B5"/>
    <w:multiLevelType w:val="hybridMultilevel"/>
    <w:lvl w:ilvl="0">
      <w:lvlJc w:val="left"/>
      <w:lvlText w:val="(%1)"/>
      <w:numFmt w:val="lowerLetter"/>
      <w:start w:val="2"/>
    </w:lvl>
  </w:abstractNum>
  <w:abstractNum w:abstractNumId="379">
    <w:nsid w:val="68104812"/>
    <w:multiLevelType w:val="hybridMultilevel"/>
    <w:lvl w:ilvl="0">
      <w:lvlJc w:val="left"/>
      <w:lvlText w:val="(%1)"/>
      <w:numFmt w:val="lowerLetter"/>
      <w:start w:val="1"/>
    </w:lvl>
  </w:abstractNum>
  <w:abstractNum w:abstractNumId="380">
    <w:nsid w:val="62FB8680"/>
    <w:multiLevelType w:val="hybridMultilevel"/>
    <w:lvl w:ilvl="0">
      <w:lvlJc w:val="left"/>
      <w:lvlText w:val="(%1)"/>
      <w:numFmt w:val="lowerLetter"/>
      <w:start w:val="4"/>
    </w:lvl>
  </w:abstractNum>
  <w:abstractNum w:abstractNumId="381">
    <w:nsid w:val="3A45530"/>
    <w:multiLevelType w:val="hybridMultilevel"/>
    <w:lvl w:ilvl="0">
      <w:lvlJc w:val="left"/>
      <w:lvlText w:val="(%1)"/>
      <w:numFmt w:val="lowerLetter"/>
      <w:start w:val="1"/>
    </w:lvl>
  </w:abstractNum>
  <w:abstractNum w:abstractNumId="382">
    <w:nsid w:val="4B9275D2"/>
    <w:multiLevelType w:val="hybridMultilevel"/>
    <w:lvl w:ilvl="0">
      <w:lvlJc w:val="left"/>
      <w:lvlText w:val="%1"/>
      <w:numFmt w:val="decimal"/>
      <w:start w:val="1"/>
    </w:lvl>
    <w:lvl w:ilvl="1">
      <w:lvlJc w:val="left"/>
      <w:lvlText w:val="(%2)"/>
      <w:numFmt w:val="lowerLetter"/>
      <w:start w:val="2"/>
    </w:lvl>
  </w:abstractNum>
  <w:abstractNum w:abstractNumId="383">
    <w:nsid w:val="4F0CEEDB"/>
    <w:multiLevelType w:val="hybridMultilevel"/>
    <w:lvl w:ilvl="0">
      <w:lvlJc w:val="left"/>
      <w:lvlText w:val="(%1)"/>
      <w:numFmt w:val="decimal"/>
      <w:start w:val="5"/>
    </w:lvl>
    <w:lvl w:ilvl="1">
      <w:lvlJc w:val="left"/>
      <w:lvlText w:val="(%2)"/>
      <w:numFmt w:val="lowerLetter"/>
      <w:start w:val="3"/>
    </w:lvl>
  </w:abstractNum>
  <w:abstractNum w:abstractNumId="384">
    <w:nsid w:val="61C30361"/>
    <w:multiLevelType w:val="hybridMultilevel"/>
    <w:lvl w:ilvl="0">
      <w:lvlJc w:val="left"/>
      <w:lvlText w:val="(%1)"/>
      <w:numFmt w:val="lowerLetter"/>
      <w:start w:val="1"/>
    </w:lvl>
  </w:abstractNum>
  <w:abstractNum w:abstractNumId="385">
    <w:nsid w:val="632099E0"/>
    <w:multiLevelType w:val="hybridMultilevel"/>
    <w:lvl w:ilvl="0">
      <w:lvlJc w:val="left"/>
      <w:lvlText w:val="(%1)"/>
      <w:numFmt w:val="lowerLetter"/>
      <w:start w:val="2"/>
    </w:lvl>
  </w:abstractNum>
  <w:abstractNum w:abstractNumId="386">
    <w:nsid w:val="24639756"/>
    <w:multiLevelType w:val="hybridMultilevel"/>
    <w:lvl w:ilvl="0">
      <w:lvlJc w:val="left"/>
      <w:lvlText w:val="(%1)"/>
      <w:numFmt w:val="lowerLetter"/>
      <w:start w:val="6"/>
    </w:lvl>
  </w:abstractNum>
  <w:abstractNum w:abstractNumId="387">
    <w:nsid w:val="9D30DFD"/>
    <w:multiLevelType w:val="hybridMultilevel"/>
    <w:lvl w:ilvl="0">
      <w:lvlJc w:val="left"/>
      <w:lvlText w:val="(%1)"/>
      <w:numFmt w:val="lowerLetter"/>
      <w:start w:val="1"/>
    </w:lvl>
  </w:abstractNum>
  <w:abstractNum w:abstractNumId="388">
    <w:nsid w:val="70A42016"/>
    <w:multiLevelType w:val="hybridMultilevel"/>
    <w:lvl w:ilvl="0">
      <w:lvlJc w:val="left"/>
      <w:lvlText w:val="(%1)"/>
      <w:numFmt w:val="lowerLetter"/>
      <w:start w:val="1"/>
    </w:lvl>
    <w:lvl w:ilvl="1">
      <w:lvlJc w:val="left"/>
      <w:lvlText w:val="(%2)"/>
      <w:numFmt w:val="lowerRoman"/>
      <w:start w:val="1"/>
    </w:lvl>
  </w:abstractNum>
  <w:abstractNum w:abstractNumId="389">
    <w:nsid w:val="161BC243"/>
    <w:multiLevelType w:val="hybridMultilevel"/>
    <w:lvl w:ilvl="0">
      <w:lvlJc w:val="left"/>
      <w:lvlText w:val="(%1)"/>
      <w:numFmt w:val="lowerLetter"/>
      <w:start w:val="1"/>
    </w:lvl>
  </w:abstractNum>
  <w:abstractNum w:abstractNumId="390">
    <w:nsid w:val="16E908C8"/>
    <w:multiLevelType w:val="hybridMultilevel"/>
    <w:lvl w:ilvl="0">
      <w:lvlJc w:val="left"/>
      <w:lvlText w:val="(%1)"/>
      <w:numFmt w:val="lowerLetter"/>
      <w:start w:val="3"/>
    </w:lvl>
  </w:abstractNum>
  <w:abstractNum w:abstractNumId="391">
    <w:nsid w:val="2E0D7671"/>
    <w:multiLevelType w:val="hybridMultilevel"/>
    <w:lvl w:ilvl="0">
      <w:lvlJc w:val="left"/>
      <w:lvlText w:val="(%1)"/>
      <w:numFmt w:val="lowerLetter"/>
      <w:start w:val="1"/>
    </w:lvl>
  </w:abstractNum>
  <w:abstractNum w:abstractNumId="392">
    <w:nsid w:val="38B59EFF"/>
    <w:multiLevelType w:val="hybridMultilevel"/>
    <w:lvl w:ilvl="0">
      <w:lvlJc w:val="left"/>
      <w:lvlText w:val="(%1)"/>
      <w:numFmt w:val="lowerLetter"/>
      <w:start w:val="1"/>
    </w:lvl>
  </w:abstractNum>
  <w:abstractNum w:abstractNumId="393">
    <w:nsid w:val="307995CA"/>
    <w:multiLevelType w:val="hybridMultilevel"/>
    <w:lvl w:ilvl="0">
      <w:lvlJc w:val="left"/>
      <w:lvlText w:val="(%1)"/>
      <w:numFmt w:val="lowerLetter"/>
      <w:start w:val="1"/>
    </w:lvl>
  </w:abstractNum>
  <w:abstractNum w:abstractNumId="394">
    <w:nsid w:val="52E2024D"/>
    <w:multiLevelType w:val="hybridMultilevel"/>
    <w:lvl w:ilvl="0">
      <w:lvlJc w:val="left"/>
      <w:lvlText w:val="(%1)"/>
      <w:numFmt w:val="lowerLetter"/>
      <w:start w:val="2"/>
    </w:lvl>
  </w:abstractNum>
  <w:abstractNum w:abstractNumId="395">
    <w:nsid w:val="CE344B5"/>
    <w:multiLevelType w:val="hybridMultilevel"/>
    <w:lvl w:ilvl="0">
      <w:lvlJc w:val="left"/>
      <w:lvlText w:val="%1"/>
      <w:numFmt w:val="lowerLetter"/>
      <w:start w:val="1"/>
    </w:lvl>
    <w:lvl w:ilvl="1">
      <w:lvlJc w:val="left"/>
      <w:lvlText w:val="(%2)"/>
      <w:numFmt w:val="lowerLetter"/>
      <w:start w:val="1"/>
    </w:lvl>
  </w:abstractNum>
  <w:abstractNum w:abstractNumId="396">
    <w:nsid w:val="29B0E9A8"/>
    <w:multiLevelType w:val="hybridMultilevel"/>
    <w:lvl w:ilvl="0">
      <w:lvlJc w:val="left"/>
      <w:lvlText w:val="(%1)"/>
      <w:numFmt w:val="lowerLetter"/>
      <w:start w:val="25"/>
    </w:lvl>
    <w:lvl w:ilvl="1">
      <w:lvlJc w:val="left"/>
      <w:lvlText w:val="(%2)"/>
      <w:numFmt w:val="lowerLetter"/>
      <w:start w:val="2"/>
    </w:lvl>
  </w:abstractNum>
  <w:abstractNum w:abstractNumId="397">
    <w:nsid w:val="6F49CD8A"/>
    <w:multiLevelType w:val="hybridMultilevel"/>
    <w:lvl w:ilvl="0">
      <w:lvlJc w:val="left"/>
      <w:lvlText w:val="(%1)"/>
      <w:numFmt w:val="lowerLetter"/>
      <w:start w:val="3"/>
    </w:lvl>
  </w:abstractNum>
  <w:abstractNum w:abstractNumId="398">
    <w:nsid w:val="4DC5D907"/>
    <w:multiLevelType w:val="hybridMultilevel"/>
    <w:lvl w:ilvl="0">
      <w:lvlJc w:val="left"/>
      <w:lvlText w:val="(%1)"/>
      <w:numFmt w:val="lowerLetter"/>
      <w:start w:val="1"/>
    </w:lvl>
  </w:abstractNum>
  <w:abstractNum w:abstractNumId="399">
    <w:nsid w:val="D55945E"/>
    <w:multiLevelType w:val="hybridMultilevel"/>
    <w:lvl w:ilvl="0">
      <w:lvlJc w:val="left"/>
      <w:lvlText w:val="(%1)"/>
      <w:numFmt w:val="lowerLetter"/>
      <w:start w:val="1"/>
    </w:lvl>
  </w:abstractNum>
  <w:abstractNum w:abstractNumId="400">
    <w:nsid w:val="672417E1"/>
    <w:multiLevelType w:val="hybridMultilevel"/>
    <w:lvl w:ilvl="0">
      <w:lvlJc w:val="left"/>
      <w:lvlText w:val="%1"/>
      <w:numFmt w:val="decimal"/>
      <w:start w:val="1"/>
    </w:lvl>
    <w:lvl w:ilvl="1">
      <w:lvlJc w:val="left"/>
      <w:lvlText w:val="(%2)"/>
      <w:numFmt w:val="lowerLetter"/>
      <w:start w:val="1"/>
    </w:lvl>
  </w:abstractNum>
  <w:abstractNum w:abstractNumId="401">
    <w:nsid w:val="5FF6CA09"/>
    <w:multiLevelType w:val="hybridMultilevel"/>
    <w:lvl w:ilvl="0">
      <w:lvlJc w:val="left"/>
      <w:lvlText w:val="(%1)"/>
      <w:numFmt w:val="decimal"/>
      <w:start w:val="15"/>
    </w:lvl>
    <w:lvl w:ilvl="1">
      <w:lvlJc w:val="left"/>
      <w:lvlText w:val="(%2)"/>
      <w:numFmt w:val="lowerLetter"/>
      <w:start w:val="5"/>
    </w:lvl>
  </w:abstractNum>
  <w:abstractNum w:abstractNumId="402">
    <w:nsid w:val="330B1333"/>
    <w:multiLevelType w:val="hybridMultilevel"/>
    <w:lvl w:ilvl="0">
      <w:lvlJc w:val="left"/>
      <w:lvlText w:val="(%1)"/>
      <w:numFmt w:val="lowerLetter"/>
      <w:start w:val="9"/>
    </w:lvl>
  </w:abstractNum>
  <w:abstractNum w:abstractNumId="403">
    <w:nsid w:val="2EF32EA6"/>
    <w:multiLevelType w:val="hybridMultilevel"/>
    <w:lvl w:ilvl="0">
      <w:lvlJc w:val="left"/>
      <w:lvlText w:val="%1"/>
      <w:numFmt w:val="decimal"/>
      <w:start w:val="1"/>
    </w:lvl>
    <w:lvl w:ilvl="1">
      <w:lvlJc w:val="left"/>
      <w:lvlText w:val="(%2)"/>
      <w:numFmt w:val="lowerLetter"/>
      <w:start w:val="1"/>
    </w:lvl>
  </w:abstractNum>
  <w:abstractNum w:abstractNumId="404">
    <w:nsid w:val="32766A55"/>
    <w:multiLevelType w:val="hybridMultilevel"/>
    <w:lvl w:ilvl="0">
      <w:lvlJc w:val="left"/>
      <w:lvlText w:val="(%1)"/>
      <w:numFmt w:val="decimal"/>
      <w:start w:val="2"/>
    </w:lvl>
    <w:lvl w:ilvl="1">
      <w:lvlJc w:val="left"/>
      <w:lvlText w:val="(%2)"/>
      <w:numFmt w:val="lowerLetter"/>
      <w:start w:val="4"/>
    </w:lvl>
  </w:abstractNum>
  <w:abstractNum w:abstractNumId="405">
    <w:nsid w:val="22D71957"/>
    <w:multiLevelType w:val="hybridMultilevel"/>
    <w:lvl w:ilvl="0">
      <w:lvlJc w:val="left"/>
      <w:lvlText w:val="%1"/>
      <w:numFmt w:val="lowerLetter"/>
      <w:start w:val="1"/>
    </w:lvl>
    <w:lvl w:ilvl="1">
      <w:lvlJc w:val="left"/>
      <w:lvlText w:val="(%2)"/>
      <w:numFmt w:val="lowerLetter"/>
      <w:start w:val="6"/>
    </w:lvl>
  </w:abstractNum>
  <w:abstractNum w:abstractNumId="406">
    <w:nsid w:val="4CC1263B"/>
    <w:multiLevelType w:val="hybridMultilevel"/>
    <w:lvl w:ilvl="0">
      <w:lvlJc w:val="left"/>
      <w:lvlText w:val="(%1)"/>
      <w:numFmt w:val="lowerLetter"/>
      <w:start w:val="35"/>
    </w:lvl>
    <w:lvl w:ilvl="1">
      <w:lvlJc w:val="left"/>
      <w:lvlText w:val="%2"/>
      <w:numFmt w:val="lowerLetter"/>
      <w:start w:val="1"/>
    </w:lvl>
  </w:abstractNum>
  <w:abstractNum w:abstractNumId="407">
    <w:nsid w:val="8BBEB1D"/>
    <w:multiLevelType w:val="hybridMultilevel"/>
    <w:lvl w:ilvl="0">
      <w:lvlJc w:val="left"/>
      <w:lvlText w:val="(%1)"/>
      <w:numFmt w:val="lowerLetter"/>
      <w:start w:val="1"/>
    </w:lvl>
  </w:abstractNum>
  <w:abstractNum w:abstractNumId="408">
    <w:nsid w:val="7365F1EE"/>
    <w:multiLevelType w:val="hybridMultilevel"/>
    <w:lvl w:ilvl="0">
      <w:lvlJc w:val="left"/>
      <w:lvlText w:val="(%1)"/>
      <w:numFmt w:val="lowerLetter"/>
      <w:start w:val="2"/>
    </w:lvl>
  </w:abstractNum>
  <w:abstractNum w:abstractNumId="409">
    <w:nsid w:val="37524CF0"/>
    <w:multiLevelType w:val="hybridMultilevel"/>
    <w:lvl w:ilvl="0">
      <w:lvlJc w:val="left"/>
      <w:lvlText w:val="(%1)"/>
      <w:numFmt w:val="lowerLetter"/>
      <w:start w:val="1"/>
    </w:lvl>
  </w:abstractNum>
  <w:abstractNum w:abstractNumId="410">
    <w:nsid w:val="70CC332F"/>
    <w:multiLevelType w:val="hybridMultilevel"/>
    <w:lvl w:ilvl="0">
      <w:lvlJc w:val="left"/>
      <w:lvlText w:val="(%1)"/>
      <w:numFmt w:val="lowerLetter"/>
      <w:start w:val="2"/>
    </w:lvl>
  </w:abstractNum>
  <w:abstractNum w:abstractNumId="411">
    <w:nsid w:val="5661786E"/>
    <w:multiLevelType w:val="hybridMultilevel"/>
    <w:lvl w:ilvl="0">
      <w:lvlJc w:val="left"/>
      <w:lvlText w:val="%1"/>
      <w:numFmt w:val="decimal"/>
      <w:start w:val="100"/>
    </w:lvl>
  </w:abstractNum>
  <w:abstractNum w:abstractNumId="412">
    <w:nsid w:val="3AF6A220"/>
    <w:multiLevelType w:val="hybridMultilevel"/>
    <w:lvl w:ilvl="0">
      <w:lvlJc w:val="left"/>
      <w:lvlText w:val="(%1)"/>
      <w:numFmt w:val="lowerLetter"/>
      <w:start w:val="1"/>
    </w:lvl>
  </w:abstractNum>
  <w:abstractNum w:abstractNumId="413">
    <w:nsid w:val="3C5EA902"/>
    <w:multiLevelType w:val="hybridMultilevel"/>
    <w:lvl w:ilvl="0">
      <w:lvlJc w:val="left"/>
      <w:lvlText w:val="(%1)"/>
      <w:numFmt w:val="lowerLetter"/>
      <w:start w:val="1"/>
    </w:lvl>
  </w:abstractNum>
  <w:abstractNum w:abstractNumId="414">
    <w:nsid w:val="256E6749"/>
    <w:multiLevelType w:val="hybridMultilevel"/>
    <w:lvl w:ilvl="0">
      <w:lvlJc w:val="left"/>
      <w:lvlText w:val="(%1)"/>
      <w:numFmt w:val="lowerLetter"/>
      <w:start w:val="1"/>
    </w:lvl>
  </w:abstractNum>
  <w:abstractNum w:abstractNumId="415">
    <w:nsid w:val="1CB9A581"/>
    <w:multiLevelType w:val="hybridMultilevel"/>
    <w:lvl w:ilvl="0">
      <w:lvlJc w:val="left"/>
      <w:lvlText w:val="(%1)"/>
      <w:numFmt w:val="lowerLetter"/>
      <w:start w:val="4"/>
    </w:lvl>
  </w:abstractNum>
  <w:abstractNum w:abstractNumId="416">
    <w:nsid w:val="1F7F42E2"/>
    <w:multiLevelType w:val="hybridMultilevel"/>
    <w:lvl w:ilvl="0">
      <w:lvlJc w:val="left"/>
      <w:lvlText w:val="(%1)"/>
      <w:numFmt w:val="lowerLetter"/>
      <w:start w:val="1"/>
    </w:lvl>
  </w:abstractNum>
  <w:abstractNum w:abstractNumId="417">
    <w:nsid w:val="49D1FEA0"/>
    <w:multiLevelType w:val="hybridMultilevel"/>
    <w:lvl w:ilvl="0">
      <w:lvlJc w:val="left"/>
      <w:lvlText w:val="(%1)"/>
      <w:numFmt w:val="lowerLetter"/>
      <w:start w:val="5"/>
    </w:lvl>
  </w:abstractNum>
  <w:abstractNum w:abstractNumId="418">
    <w:nsid w:val="268CB37F"/>
    <w:multiLevelType w:val="hybridMultilevel"/>
    <w:lvl w:ilvl="0">
      <w:lvlJc w:val="left"/>
      <w:lvlText w:val="(%1)"/>
      <w:numFmt w:val="lowerLetter"/>
      <w:start w:val="1"/>
    </w:lvl>
  </w:abstractNum>
  <w:abstractNum w:abstractNumId="419">
    <w:nsid w:val="102362F8"/>
    <w:multiLevelType w:val="hybridMultilevel"/>
    <w:lvl w:ilvl="0">
      <w:lvlJc w:val="left"/>
      <w:lvlText w:val="(%1)"/>
      <w:numFmt w:val="lowerLetter"/>
      <w:start w:val="1"/>
    </w:lvl>
  </w:abstractNum>
  <w:abstractNum w:abstractNumId="420">
    <w:nsid w:val="5FEDC0E3"/>
    <w:multiLevelType w:val="hybridMultilevel"/>
    <w:lvl w:ilvl="0">
      <w:lvlJc w:val="left"/>
      <w:lvlText w:val="(%1)"/>
      <w:numFmt w:val="lowerLetter"/>
      <w:start w:val="2"/>
    </w:lvl>
  </w:abstractNum>
  <w:abstractNum w:abstractNumId="421">
    <w:nsid w:val="3D75BC47"/>
    <w:multiLevelType w:val="hybridMultilevel"/>
    <w:lvl w:ilvl="0">
      <w:lvlJc w:val="left"/>
      <w:lvlText w:val="(%1)"/>
      <w:numFmt w:val="lowerLetter"/>
      <w:start w:val="1"/>
    </w:lvl>
  </w:abstractNum>
  <w:abstractNum w:abstractNumId="422">
    <w:nsid w:val="3E30D969"/>
    <w:multiLevelType w:val="hybridMultilevel"/>
    <w:lvl w:ilvl="0">
      <w:lvlJc w:val="left"/>
      <w:lvlText w:val="(%1)"/>
      <w:numFmt w:val="lowerLetter"/>
      <w:start w:val="1"/>
    </w:lvl>
  </w:abstractNum>
  <w:abstractNum w:abstractNumId="423">
    <w:nsid w:val="18A35FE3"/>
    <w:multiLevelType w:val="hybridMultilevel"/>
    <w:lvl w:ilvl="0">
      <w:lvlJc w:val="left"/>
      <w:lvlText w:val="(%1)"/>
      <w:numFmt w:val="lowerLetter"/>
      <w:start w:val="1"/>
    </w:lvl>
  </w:abstractNum>
  <w:abstractNum w:abstractNumId="424">
    <w:nsid w:val="6DEF5211"/>
    <w:multiLevelType w:val="hybridMultilevel"/>
    <w:lvl w:ilvl="0">
      <w:lvlJc w:val="left"/>
      <w:lvlText w:val="(%1)"/>
      <w:numFmt w:val="lowerLetter"/>
      <w:start w:val="1"/>
    </w:lvl>
  </w:abstractNum>
  <w:abstractNum w:abstractNumId="425">
    <w:nsid w:val="1112DBB6"/>
    <w:multiLevelType w:val="hybridMultilevel"/>
    <w:lvl w:ilvl="0">
      <w:lvlJc w:val="left"/>
      <w:lvlText w:val="(%1)"/>
      <w:numFmt w:val="lowerLetter"/>
      <w:start w:val="1"/>
    </w:lvl>
    <w:lvl w:ilvl="1">
      <w:lvlJc w:val="left"/>
      <w:lvlText w:val="(%2)"/>
      <w:numFmt w:val="lowerRoman"/>
      <w:start w:val="1"/>
    </w:lvl>
  </w:abstractNum>
  <w:abstractNum w:abstractNumId="426">
    <w:nsid w:val="2586A498"/>
    <w:multiLevelType w:val="hybridMultilevel"/>
    <w:lvl w:ilvl="0">
      <w:lvlJc w:val="left"/>
      <w:lvlText w:val="(%1)"/>
      <w:numFmt w:val="lowerLetter"/>
      <w:start w:val="1"/>
    </w:lvl>
  </w:abstractNum>
  <w:abstractNum w:abstractNumId="427">
    <w:nsid w:val="17A03BB9"/>
    <w:multiLevelType w:val="hybridMultilevel"/>
    <w:lvl w:ilvl="0">
      <w:lvlJc w:val="left"/>
      <w:lvlText w:val="(%1)"/>
      <w:numFmt w:val="lowerLetter"/>
      <w:start w:val="2"/>
    </w:lvl>
  </w:abstractNum>
  <w:abstractNum w:abstractNumId="428">
    <w:nsid w:val="5CA941"/>
    <w:multiLevelType w:val="hybridMultilevel"/>
    <w:lvl w:ilvl="0">
      <w:lvlJc w:val="left"/>
      <w:lvlText w:val="(%1)"/>
      <w:numFmt w:val="lowerLetter"/>
      <w:start w:val="1"/>
    </w:lvl>
  </w:abstractNum>
  <w:abstractNum w:abstractNumId="429">
    <w:nsid w:val="734C7D9F"/>
    <w:multiLevelType w:val="hybridMultilevel"/>
    <w:lvl w:ilvl="0">
      <w:lvlJc w:val="left"/>
      <w:lvlText w:val="(%1)"/>
      <w:numFmt w:val="lowerLetter"/>
      <w:start w:val="1"/>
    </w:lvl>
  </w:abstractNum>
  <w:abstractNum w:abstractNumId="430">
    <w:nsid w:val="24F5D018"/>
    <w:multiLevelType w:val="hybridMultilevel"/>
    <w:lvl w:ilvl="0">
      <w:lvlJc w:val="left"/>
      <w:lvlText w:val="(%1)"/>
      <w:numFmt w:val="lowerRoman"/>
      <w:start w:val="1"/>
    </w:lvl>
  </w:abstractNum>
  <w:abstractNum w:abstractNumId="431">
    <w:nsid w:val="6780C122"/>
    <w:multiLevelType w:val="hybridMultilevel"/>
    <w:lvl w:ilvl="0">
      <w:lvlJc w:val="left"/>
      <w:lvlText w:val="(%1)"/>
      <w:numFmt w:val="lowerRoman"/>
      <w:start w:val="6"/>
    </w:lvl>
  </w:abstractNum>
  <w:abstractNum w:abstractNumId="432">
    <w:nsid w:val="534347A8"/>
    <w:multiLevelType w:val="hybridMultilevel"/>
    <w:lvl w:ilvl="0">
      <w:lvlJc w:val="left"/>
      <w:lvlText w:val="•"/>
      <w:numFmt w:val="bullet"/>
      <w:start w:val="1"/>
    </w:lvl>
  </w:abstractNum>
  <w:abstractNum w:abstractNumId="433">
    <w:nsid w:val="5800E34B"/>
    <w:multiLevelType w:val="hybridMultilevel"/>
    <w:lvl w:ilvl="0">
      <w:lvlJc w:val="left"/>
      <w:lvlText w:val="•"/>
      <w:numFmt w:val="bullet"/>
      <w:start w:val="1"/>
    </w:lvl>
  </w:abstractNum>
  <w:abstractNum w:abstractNumId="434">
    <w:nsid w:val="1673EFC8"/>
    <w:multiLevelType w:val="hybridMultilevel"/>
    <w:lvl w:ilvl="0">
      <w:lvlJc w:val="left"/>
      <w:lvlText w:val="%1."/>
      <w:numFmt w:val="decimal"/>
      <w:start w:val="1"/>
    </w:lvl>
  </w:abstractNum>
  <w:abstractNum w:abstractNumId="435">
    <w:nsid w:val="5B9B1FD"/>
    <w:multiLevelType w:val="hybridMultilevel"/>
    <w:lvl w:ilvl="0">
      <w:lvlJc w:val="left"/>
      <w:lvlText w:val="(%1)"/>
      <w:numFmt w:val="lowerLetter"/>
      <w:start w:val="1"/>
    </w:lvl>
  </w:abstractNum>
  <w:abstractNum w:abstractNumId="436">
    <w:nsid w:val="7AD7FCA2"/>
    <w:multiLevelType w:val="hybridMultilevel"/>
    <w:lvl w:ilvl="0">
      <w:lvlJc w:val="left"/>
      <w:lvlText w:val="(%1)"/>
      <w:numFmt w:val="decimal"/>
      <w:start w:val="4"/>
    </w:lvl>
  </w:abstractNum>
  <w:abstractNum w:abstractNumId="437">
    <w:nsid w:val="63351604"/>
    <w:multiLevelType w:val="hybridMultilevel"/>
    <w:lvl w:ilvl="0">
      <w:lvlJc w:val="left"/>
      <w:lvlText w:val="(%1)"/>
      <w:numFmt w:val="lowerLetter"/>
      <w:start w:val="35"/>
    </w:lvl>
    <w:lvl w:ilvl="1">
      <w:lvlJc w:val="left"/>
      <w:lvlText w:val="%2."/>
      <w:numFmt w:val="decimal"/>
      <w:start w:val="2"/>
    </w:lvl>
  </w:abstractNum>
  <w:abstractNum w:abstractNumId="438">
    <w:nsid w:val="E759D1A"/>
    <w:multiLevelType w:val="hybridMultilevel"/>
    <w:lvl w:ilvl="0">
      <w:lvlJc w:val="left"/>
      <w:lvlText w:val="(%1)"/>
      <w:numFmt w:val="lowerLetter"/>
      <w:start w:val="3"/>
    </w:lvl>
    <w:lvl w:ilvl="1">
      <w:lvlJc w:val="left"/>
      <w:lvlText w:val="%2"/>
      <w:numFmt w:val="decimal"/>
      <w:start w:val="1"/>
    </w:lvl>
  </w:abstractNum>
  <w:abstractNum w:abstractNumId="439">
    <w:nsid w:val="6E3DEE90"/>
    <w:multiLevelType w:val="hybridMultilevel"/>
    <w:lvl w:ilvl="0">
      <w:lvlJc w:val="left"/>
      <w:lvlText w:val="(%1)"/>
      <w:numFmt w:val="lowerLetter"/>
      <w:start w:val="1"/>
    </w:lvl>
  </w:abstractNum>
  <w:abstractNum w:abstractNumId="440">
    <w:nsid w:val="1A8762F4"/>
    <w:multiLevelType w:val="hybridMultilevel"/>
    <w:lvl w:ilvl="0">
      <w:lvlJc w:val="left"/>
      <w:lvlText w:val="%1."/>
      <w:numFmt w:val="decimal"/>
      <w:start w:val="5"/>
    </w:lvl>
  </w:abstractNum>
  <w:abstractNum w:abstractNumId="441">
    <w:nsid w:val="7F41D04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6"/>
    </w:lvl>
  </w:abstractNum>
  <w:abstractNum w:abstractNumId="442">
    <w:nsid w:val="449F66FE"/>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443">
    <w:nsid w:val="557E0515"/>
    <w:multiLevelType w:val="hybridMultilevel"/>
    <w:lvl w:ilvl="0">
      <w:lvlJc w:val="left"/>
      <w:lvlText w:val="%1"/>
      <w:numFmt w:val="lowerLetter"/>
      <w:start w:val="1"/>
    </w:lvl>
    <w:lvl w:ilvl="1">
      <w:lvlJc w:val="left"/>
      <w:lvlText w:val="%2"/>
      <w:numFmt w:val="decimal"/>
      <w:start w:val="787"/>
    </w:lvl>
  </w:abstractNum>
  <w:abstractNum w:abstractNumId="444">
    <w:nsid w:val="3BA0794B"/>
    <w:multiLevelType w:val="hybridMultilevel"/>
    <w:lvl w:ilvl="0">
      <w:lvlJc w:val="left"/>
      <w:lvlText w:val="%1."/>
      <w:numFmt w:val="lowerLetter"/>
      <w:start w:val="3"/>
    </w:lvl>
    <w:lvl w:ilvl="1">
      <w:lvlJc w:val="left"/>
      <w:lvlText w:val="%2"/>
      <w:numFmt w:val="decimal"/>
      <w:start w:val="1"/>
    </w:lvl>
  </w:abstractNum>
  <w:abstractNum w:abstractNumId="445">
    <w:nsid w:val="6A0DCE48"/>
    <w:multiLevelType w:val="hybridMultilevel"/>
    <w:lvl w:ilvl="0">
      <w:lvlJc w:val="left"/>
      <w:lvlText w:val="%1"/>
      <w:numFmt w:val="lowerRoman"/>
      <w:start w:val="1"/>
    </w:lvl>
    <w:lvl w:ilvl="1">
      <w:lvlJc w:val="left"/>
      <w:lvlText w:val="%2."/>
      <w:numFmt w:val="decimal"/>
      <w:start w:val="7"/>
    </w:lvl>
  </w:abstractNum>
  <w:abstractNum w:abstractNumId="446">
    <w:nsid w:val="7237AA96"/>
    <w:multiLevelType w:val="hybridMultilevel"/>
    <w:lvl w:ilvl="0">
      <w:lvlJc w:val="left"/>
      <w:lvlText w:val="(%1)"/>
      <w:numFmt w:val="lowerRoman"/>
      <w:start w:val="1"/>
    </w:lvl>
    <w:lvl w:ilvl="1">
      <w:lvlJc w:val="left"/>
      <w:lvlText w:val="%2"/>
      <w:numFmt w:val="decimal"/>
      <w:start w:val="1"/>
    </w:lvl>
  </w:abstractNum>
  <w:abstractNum w:abstractNumId="447">
    <w:nsid w:val="5B1FBC2D"/>
    <w:multiLevelType w:val="hybridMultilevel"/>
    <w:lvl w:ilvl="0">
      <w:lvlJc w:val="left"/>
      <w:lvlText w:val="%1."/>
      <w:numFmt w:val="decimal"/>
      <w:start w:val="8"/>
    </w:lvl>
  </w:abstractNum>
  <w:abstractNum w:abstractNumId="448">
    <w:nsid w:val="33DFCCE8"/>
    <w:multiLevelType w:val="hybridMultilevel"/>
    <w:lvl w:ilvl="0">
      <w:lvlJc w:val="left"/>
      <w:lvlText w:val="%1."/>
      <w:numFmt w:val="decimal"/>
      <w:start w:val="13"/>
    </w:lvl>
  </w:abstractNum>
  <w:abstractNum w:abstractNumId="449">
    <w:nsid w:val="18C45E15"/>
    <w:multiLevelType w:val="hybridMultilevel"/>
    <w:lvl w:ilvl="0">
      <w:lvlJc w:val="left"/>
      <w:lvlText w:val="%1."/>
      <w:numFmt w:val="decimal"/>
      <w:start w:val="20"/>
    </w:lvl>
  </w:abstractNum>
  <w:abstractNum w:abstractNumId="450">
    <w:nsid w:val="6B431F25"/>
    <w:multiLevelType w:val="hybridMultilevel"/>
    <w:lvl w:ilvl="0">
      <w:lvlJc w:val="left"/>
      <w:lvlText w:val="%1."/>
      <w:numFmt w:val="decimal"/>
      <w:start w:val="1"/>
    </w:lvl>
  </w:abstractNum>
  <w:abstractNum w:abstractNumId="451">
    <w:nsid w:val="13CD8DCB"/>
    <w:multiLevelType w:val="hybridMultilevel"/>
    <w:lvl w:ilvl="0">
      <w:lvlJc w:val="left"/>
      <w:lvlText w:val="(%1)"/>
      <w:numFmt w:val="lowerLetter"/>
      <w:start w:val="1"/>
    </w:lvl>
  </w:abstractNum>
  <w:abstractNum w:abstractNumId="452">
    <w:nsid w:val="563A1A5C"/>
    <w:multiLevelType w:val="hybridMultilevel"/>
    <w:lvl w:ilvl="0">
      <w:lvlJc w:val="left"/>
      <w:lvlText w:val="(%1)"/>
      <w:numFmt w:val="decimal"/>
      <w:start w:val="4"/>
    </w:lvl>
  </w:abstractNum>
  <w:abstractNum w:abstractNumId="453">
    <w:nsid w:val="2973F88F"/>
    <w:multiLevelType w:val="hybridMultilevel"/>
    <w:lvl w:ilvl="0">
      <w:lvlJc w:val="left"/>
      <w:lvlText w:val="%1."/>
      <w:numFmt w:val="decimal"/>
      <w:start w:val="2"/>
    </w:lvl>
  </w:abstractNum>
  <w:abstractNum w:abstractNumId="454">
    <w:nsid w:val="2C70EDAE"/>
    <w:multiLevelType w:val="hybridMultilevel"/>
    <w:lvl w:ilvl="0">
      <w:lvlJc w:val="left"/>
      <w:lvlText w:val="(%1)"/>
      <w:numFmt w:val="lowerLetter"/>
      <w:start w:val="1"/>
    </w:lvl>
  </w:abstractNum>
  <w:abstractNum w:abstractNumId="455">
    <w:nsid w:val="44296C6D"/>
    <w:multiLevelType w:val="hybridMultilevel"/>
    <w:lvl w:ilvl="0">
      <w:lvlJc w:val="left"/>
      <w:lvlText w:val="%1."/>
      <w:numFmt w:val="decimal"/>
      <w:start w:val="5"/>
    </w:lvl>
  </w:abstractNum>
  <w:abstractNum w:abstractNumId="456">
    <w:nsid w:val="3A86D445"/>
    <w:multiLevelType w:val="hybridMultilevel"/>
    <w:lvl w:ilvl="0">
      <w:lvlJc w:val="left"/>
      <w:lvlText w:val="%1"/>
      <w:numFmt w:val="lowerLetter"/>
      <w:start w:val="1"/>
    </w:lvl>
    <w:lvl w:ilvl="1">
      <w:lvlJc w:val="left"/>
      <w:lvlText w:val="%2."/>
      <w:numFmt w:val="decimal"/>
      <w:start w:val="6"/>
    </w:lvl>
  </w:abstractNum>
  <w:abstractNum w:abstractNumId="457">
    <w:nsid w:val="51F79246"/>
    <w:multiLevelType w:val="hybridMultilevel"/>
    <w:lvl w:ilvl="0">
      <w:lvlJc w:val="left"/>
      <w:lvlText w:val="(%1)"/>
      <w:numFmt w:val="lowerLetter"/>
      <w:start w:val="2"/>
    </w:lvl>
    <w:lvl w:ilvl="1">
      <w:lvlJc w:val="left"/>
      <w:lvlText w:val="%2"/>
      <w:numFmt w:val="decimal"/>
      <w:start w:val="1"/>
    </w:lvl>
  </w:abstractNum>
  <w:abstractNum w:abstractNumId="458">
    <w:nsid w:val="5BC9A827"/>
    <w:multiLevelType w:val="hybridMultilevel"/>
    <w:lvl w:ilvl="0">
      <w:lvlJc w:val="left"/>
      <w:lvlText w:val="%1"/>
      <w:numFmt w:val="lowerLetter"/>
      <w:start w:val="1"/>
    </w:lvl>
    <w:lvl w:ilvl="1">
      <w:lvlJc w:val="left"/>
      <w:lvlText w:val="%2"/>
      <w:numFmt w:val="decimal"/>
      <w:start w:val="787"/>
    </w:lvl>
  </w:abstractNum>
  <w:abstractNum w:abstractNumId="459">
    <w:nsid w:val="3AE37D86"/>
    <w:multiLevelType w:val="hybridMultilevel"/>
    <w:lvl w:ilvl="0">
      <w:lvlJc w:val="left"/>
      <w:lvlText w:val="%1."/>
      <w:numFmt w:val="lowerLetter"/>
      <w:start w:val="3"/>
    </w:lvl>
    <w:lvl w:ilvl="1">
      <w:lvlJc w:val="left"/>
      <w:lvlText w:val="%2"/>
      <w:numFmt w:val="decimal"/>
      <w:start w:val="1"/>
    </w:lvl>
  </w:abstractNum>
  <w:abstractNum w:abstractNumId="460">
    <w:nsid w:val="45440FE5"/>
    <w:multiLevelType w:val="hybridMultilevel"/>
    <w:lvl w:ilvl="0">
      <w:lvlJc w:val="left"/>
      <w:lvlText w:val="%1"/>
      <w:numFmt w:val="lowerRoman"/>
      <w:start w:val="1"/>
    </w:lvl>
    <w:lvl w:ilvl="1">
      <w:lvlJc w:val="left"/>
      <w:lvlText w:val="%2."/>
      <w:numFmt w:val="decimal"/>
      <w:start w:val="7"/>
    </w:lvl>
  </w:abstractNum>
  <w:abstractNum w:abstractNumId="461">
    <w:nsid w:val="BF783F"/>
    <w:multiLevelType w:val="hybridMultilevel"/>
    <w:lvl w:ilvl="0">
      <w:lvlJc w:val="left"/>
      <w:lvlText w:val="(%1)"/>
      <w:numFmt w:val="lowerRoman"/>
      <w:start w:val="1"/>
    </w:lvl>
    <w:lvl w:ilvl="1">
      <w:lvlJc w:val="left"/>
      <w:lvlText w:val="%2"/>
      <w:numFmt w:val="decimal"/>
      <w:start w:val="1"/>
    </w:lvl>
  </w:abstractNum>
  <w:abstractNum w:abstractNumId="462">
    <w:nsid w:val="22643EA9"/>
    <w:multiLevelType w:val="hybridMultilevel"/>
    <w:lvl w:ilvl="0">
      <w:lvlJc w:val="left"/>
      <w:lvlText w:val="%1."/>
      <w:numFmt w:val="decimal"/>
      <w:start w:val="8"/>
    </w:lvl>
  </w:abstractNum>
  <w:abstractNum w:abstractNumId="463">
    <w:nsid w:val="1887578D"/>
    <w:multiLevelType w:val="hybridMultilevel"/>
    <w:lvl w:ilvl="0">
      <w:lvlJc w:val="left"/>
      <w:lvlText w:val="%1."/>
      <w:numFmt w:val="decimal"/>
      <w:start w:val="13"/>
    </w:lvl>
  </w:abstractNum>
  <w:abstractNum w:abstractNumId="464">
    <w:nsid w:val="58C05B8A"/>
    <w:multiLevelType w:val="hybridMultilevel"/>
    <w:lvl w:ilvl="0">
      <w:lvlJc w:val="left"/>
      <w:lvlText w:val="%1."/>
      <w:numFmt w:val="decimal"/>
      <w:start w:val="20"/>
    </w:lvl>
  </w:abstractNum>
  <w:abstractNum w:abstractNumId="465">
    <w:nsid w:val="38D82E71"/>
    <w:multiLevelType w:val="hybridMultilevel"/>
    <w:lvl w:ilvl="0">
      <w:lvlJc w:val="left"/>
      <w:lvlText w:val="(%1)"/>
      <w:numFmt w:val="lowerRoman"/>
      <w:start w:val="1"/>
    </w:lvl>
  </w:abstractNum>
  <w:abstractNum w:abstractNumId="466">
    <w:nsid w:val="1E41098A"/>
    <w:multiLevelType w:val="hybridMultilevel"/>
    <w:lvl w:ilvl="0">
      <w:lvlJc w:val="left"/>
      <w:lvlText w:val="(%1)"/>
      <w:numFmt w:val="lowerLetter"/>
      <w:start w:val="1"/>
    </w:lvl>
    <w:lvl w:ilvl="1">
      <w:lvlJc w:val="left"/>
      <w:lvlText w:val="(%2)"/>
      <w:numFmt w:val="lowerRoman"/>
      <w:start w:val="1"/>
    </w:lvl>
  </w:abstractNum>
  <w:abstractNum w:abstractNumId="467">
    <w:nsid w:val="5398582C"/>
    <w:multiLevelType w:val="hybridMultilevel"/>
    <w:lvl w:ilvl="0">
      <w:lvlJc w:val="left"/>
      <w:lvlText w:val="(%1)"/>
      <w:numFmt w:val="lowerRoman"/>
      <w:start w:val="2"/>
    </w:lvl>
  </w:abstractNum>
  <w:abstractNum w:abstractNumId="468">
    <w:nsid w:val="1C0D4475"/>
    <w:multiLevelType w:val="hybridMultilevel"/>
    <w:lvl w:ilvl="0">
      <w:lvlJc w:val="left"/>
      <w:lvlText w:val="(%1)"/>
      <w:numFmt w:val="lowerLetter"/>
      <w:start w:val="2"/>
    </w:lvl>
  </w:abstractNum>
  <w:abstractNum w:abstractNumId="469">
    <w:nsid w:val="2CB6A6A4"/>
    <w:multiLevelType w:val="hybridMultilevel"/>
    <w:lvl w:ilvl="0">
      <w:lvlJc w:val="left"/>
      <w:lvlText w:val="(%1)"/>
      <w:numFmt w:val="lowerLetter"/>
      <w:start w:val="6"/>
    </w:lvl>
  </w:abstractNum>
  <w:abstractNum w:abstractNumId="470">
    <w:nsid w:val="41D646BC"/>
    <w:multiLevelType w:val="hybridMultilevel"/>
    <w:lvl w:ilvl="0">
      <w:lvlJc w:val="left"/>
      <w:lvlText w:val="(%1)"/>
      <w:numFmt w:val="lowerLetter"/>
      <w:start w:val="1"/>
    </w:lvl>
  </w:abstractNum>
  <w:abstractNum w:abstractNumId="471">
    <w:nsid w:val="3694A76A"/>
    <w:multiLevelType w:val="hybridMultilevel"/>
    <w:lvl w:ilvl="0">
      <w:lvlJc w:val="left"/>
      <w:lvlText w:val="(%1)"/>
      <w:numFmt w:val="lowerLetter"/>
      <w:start w:val="9"/>
    </w:lvl>
    <w:lvl w:ilvl="1">
      <w:lvlJc w:val="left"/>
      <w:lvlText w:val="(%2)"/>
      <w:numFmt w:val="lowerLetter"/>
      <w:start w:val="3"/>
    </w:lvl>
  </w:abstractNum>
  <w:abstractNum w:abstractNumId="472">
    <w:nsid w:val="2BF876E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473">
    <w:nsid w:val="675ADBA"/>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74">
    <w:nsid w:val="C12AC7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75">
    <w:nsid w:val="6798F039"/>
    <w:multiLevelType w:val="hybridMultilevel"/>
    <w:lvl w:ilvl="0">
      <w:lvlJc w:val="left"/>
      <w:lvlText w:val="%1"/>
      <w:numFmt w:val="lowerRoman"/>
      <w:start w:val="1"/>
    </w:lvl>
    <w:lvl w:ilvl="1">
      <w:lvlJc w:val="left"/>
      <w:lvlText w:val="(%2)"/>
      <w:numFmt w:val="lowerLetter"/>
      <w:start w:val="3"/>
    </w:lvl>
  </w:abstractNum>
  <w:abstractNum w:abstractNumId="476">
    <w:nsid w:val="70837C02"/>
    <w:multiLevelType w:val="hybridMultilevel"/>
    <w:lvl w:ilvl="0">
      <w:lvlJc w:val="left"/>
      <w:lvlText w:val="(%1)"/>
      <w:numFmt w:val="lowerRoman"/>
      <w:start w:val="4"/>
    </w:lvl>
    <w:lvl w:ilvl="1">
      <w:lvlJc w:val="left"/>
      <w:lvlText w:val="%2"/>
      <w:numFmt w:val="lowerLetter"/>
      <w:start w:val="1"/>
    </w:lvl>
  </w:abstractNum>
  <w:abstractNum w:abstractNumId="477">
    <w:nsid w:val="7E4A5715"/>
    <w:multiLevelType w:val="hybridMultilevel"/>
    <w:lvl w:ilvl="0">
      <w:lvlJc w:val="left"/>
      <w:lvlText w:val="%1"/>
      <w:numFmt w:val="lowerLetter"/>
      <w:start w:val="1"/>
    </w:lvl>
    <w:lvl w:ilvl="1">
      <w:lvlJc w:val="left"/>
      <w:lvlText w:val="(%2)"/>
      <w:numFmt w:val="lowerLetter"/>
      <w:start w:val="5"/>
    </w:lvl>
  </w:abstractNum>
  <w:abstractNum w:abstractNumId="478">
    <w:nsid w:val="42B8AC67"/>
    <w:multiLevelType w:val="hybridMultilevel"/>
    <w:lvl w:ilvl="0">
      <w:lvlJc w:val="left"/>
      <w:lvlText w:val="(%1)"/>
      <w:numFmt w:val="lowerLetter"/>
      <w:start w:val="6"/>
    </w:lvl>
    <w:lvl w:ilvl="1">
      <w:lvlJc w:val="left"/>
      <w:lvlText w:val="%2"/>
      <w:numFmt w:val="lowerLetter"/>
      <w:start w:val="1"/>
    </w:lvl>
  </w:abstractNum>
  <w:abstractNum w:abstractNumId="479">
    <w:nsid w:val="246348EA"/>
    <w:multiLevelType w:val="hybridMultilevel"/>
    <w:lvl w:ilvl="0">
      <w:lvlJc w:val="left"/>
      <w:lvlText w:val="%1"/>
      <w:numFmt w:val="decimal"/>
      <w:start w:val="1"/>
    </w:lvl>
    <w:lvl w:ilvl="1">
      <w:lvlJc w:val="left"/>
      <w:lvlText w:val="(%2)"/>
      <w:numFmt w:val="lowerLetter"/>
      <w:start w:val="7"/>
    </w:lvl>
  </w:abstractNum>
  <w:abstractNum w:abstractNumId="480">
    <w:nsid w:val="170EB52B"/>
    <w:multiLevelType w:val="hybridMultilevel"/>
    <w:lvl w:ilvl="0">
      <w:lvlJc w:val="left"/>
      <w:lvlText w:val="%1."/>
      <w:numFmt w:val="decimal"/>
      <w:start w:val="3"/>
    </w:lvl>
    <w:lvl w:ilvl="1">
      <w:lvlJc w:val="left"/>
      <w:lvlText w:val="%2"/>
      <w:numFmt w:val="lowerLetter"/>
      <w:start w:val="1"/>
    </w:lvl>
  </w:abstractNum>
  <w:abstractNum w:abstractNumId="481">
    <w:nsid w:val="2DFBCB8C"/>
    <w:multiLevelType w:val="hybridMultilevel"/>
    <w:lvl w:ilvl="0">
      <w:lvlJc w:val="left"/>
      <w:lvlText w:val="%1"/>
      <w:numFmt w:val="lowerLetter"/>
      <w:start w:val="1"/>
    </w:lvl>
    <w:lvl w:ilvl="1">
      <w:lvlJc w:val="left"/>
      <w:lvlText w:val="(%2)"/>
      <w:numFmt w:val="lowerLetter"/>
      <w:start w:val="1"/>
    </w:lvl>
  </w:abstractNum>
  <w:abstractNum w:abstractNumId="482">
    <w:nsid w:val="3830D6B6"/>
    <w:multiLevelType w:val="hybridMultilevel"/>
    <w:lvl w:ilvl="0">
      <w:lvlJc w:val="left"/>
      <w:lvlText w:val="(%1)"/>
      <w:numFmt w:val="lowerLetter"/>
      <w:start w:val="9"/>
    </w:lvl>
    <w:lvl w:ilvl="1">
      <w:lvlJc w:val="left"/>
      <w:lvlText w:val="%2"/>
      <w:numFmt w:val="lowerLetter"/>
      <w:start w:val="1"/>
    </w:lvl>
  </w:abstractNum>
  <w:abstractNum w:abstractNumId="483">
    <w:nsid w:val="6D48CF87"/>
    <w:multiLevelType w:val="hybridMultilevel"/>
    <w:lvl w:ilvl="0">
      <w:lvlJc w:val="left"/>
      <w:lvlText w:val="(%1)"/>
      <w:numFmt w:val="lowerLetter"/>
      <w:start w:val="6"/>
    </w:lvl>
  </w:abstractNum>
  <w:abstractNum w:abstractNumId="484">
    <w:nsid w:val="576FC41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485">
    <w:nsid w:val="64A1C464"/>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11"/>
    </w:lvl>
  </w:abstractNum>
  <w:abstractNum w:abstractNumId="486">
    <w:nsid w:val="31723BF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87">
    <w:nsid w:val="11F69861"/>
    <w:multiLevelType w:val="hybridMultilevel"/>
    <w:lvl w:ilvl="0">
      <w:lvlJc w:val="left"/>
      <w:lvlText w:val="%1"/>
      <w:numFmt w:val="decimal"/>
      <w:start w:val="1"/>
    </w:lvl>
    <w:lvl w:ilvl="1">
      <w:lvlJc w:val="left"/>
      <w:lvlText w:val="(%2)"/>
      <w:numFmt w:val="lowerLetter"/>
      <w:start w:val="2"/>
    </w:lvl>
  </w:abstractNum>
  <w:abstractNum w:abstractNumId="488">
    <w:nsid w:val="369956AB"/>
    <w:multiLevelType w:val="hybridMultilevel"/>
    <w:lvl w:ilvl="0">
      <w:lvlJc w:val="left"/>
      <w:lvlText w:val="%1."/>
      <w:numFmt w:val="decimal"/>
      <w:start w:val="5"/>
    </w:lvl>
    <w:lvl w:ilvl="1">
      <w:lvlJc w:val="left"/>
      <w:lvlText w:val="%2"/>
      <w:numFmt w:val="lowerLetter"/>
      <w:start w:val="1"/>
    </w:lvl>
  </w:abstractNum>
  <w:abstractNum w:abstractNumId="489">
    <w:nsid w:val="D3BE41C"/>
    <w:multiLevelType w:val="hybridMultilevel"/>
    <w:lvl w:ilvl="0">
      <w:lvlJc w:val="left"/>
      <w:lvlText w:val="%1."/>
      <w:numFmt w:val="decimal"/>
      <w:start w:val="6"/>
    </w:lvl>
    <w:lvl w:ilvl="1">
      <w:lvlJc w:val="left"/>
      <w:lvlText w:val="(%2)"/>
      <w:numFmt w:val="lowerLetter"/>
      <w:start w:val="1"/>
    </w:lvl>
  </w:abstractNum>
  <w:abstractNum w:abstractNumId="490">
    <w:nsid w:val="4CDA15E7"/>
    <w:multiLevelType w:val="hybridMultilevel"/>
    <w:lvl w:ilvl="0">
      <w:lvlJc w:val="left"/>
      <w:lvlText w:val="(%1)"/>
      <w:numFmt w:val="lowerLetter"/>
      <w:start w:val="2"/>
    </w:lvl>
  </w:abstractNum>
  <w:abstractNum w:abstractNumId="491">
    <w:nsid w:val="7BDD6690"/>
    <w:multiLevelType w:val="hybridMultilevel"/>
    <w:lvl w:ilvl="0">
      <w:lvlJc w:val="left"/>
      <w:lvlText w:val="(%1)"/>
      <w:numFmt w:val="lowerLetter"/>
      <w:start w:val="61"/>
    </w:lvl>
    <w:lvl w:ilvl="1">
      <w:lvlJc w:val="left"/>
      <w:lvlText w:val="(%2)"/>
      <w:numFmt w:val="lowerLetter"/>
      <w:start w:val="4"/>
    </w:lvl>
  </w:abstractNum>
  <w:abstractNum w:abstractNumId="492">
    <w:nsid w:val="DFB5C5B"/>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493">
    <w:nsid w:val="6F3E5490"/>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494">
    <w:nsid w:val="1464BE1E"/>
    <w:multiLevelType w:val="hybridMultilevel"/>
    <w:lvl w:ilvl="0">
      <w:lvlJc w:val="left"/>
      <w:lvlText w:val="%1."/>
      <w:numFmt w:val="lowerRoman"/>
      <w:start w:val="2"/>
    </w:lvl>
  </w:abstractNum>
  <w:abstractNum w:abstractNumId="495">
    <w:nsid w:val="66BBB7E5"/>
    <w:multiLevelType w:val="hybridMultilevel"/>
    <w:lvl w:ilvl="0">
      <w:lvlJc w:val="left"/>
      <w:lvlText w:val="(%1)"/>
      <w:numFmt w:val="lowerLetter"/>
      <w:start w:val="2"/>
    </w:lvl>
  </w:abstractNum>
  <w:abstractNum w:abstractNumId="496">
    <w:nsid w:val="28168302"/>
    <w:multiLevelType w:val="hybridMultilevel"/>
    <w:lvl w:ilvl="0">
      <w:lvlJc w:val="left"/>
      <w:lvlText w:val="(%1)"/>
      <w:numFmt w:val="lowerLetter"/>
      <w:start w:val="11"/>
    </w:lvl>
  </w:abstractNum>
  <w:abstractNum w:abstractNumId="497">
    <w:nsid w:val="32A5C7A8"/>
    <w:multiLevelType w:val="hybridMultilevel"/>
    <w:lvl w:ilvl="0">
      <w:lvlJc w:val="left"/>
      <w:lvlText w:val="•"/>
      <w:numFmt w:val="bullet"/>
      <w:start w:val="1"/>
    </w:lvl>
  </w:abstractNum>
  <w:abstractNum w:abstractNumId="498">
    <w:nsid w:val="3A541011"/>
    <w:multiLevelType w:val="hybridMultilevel"/>
    <w:lvl w:ilvl="0">
      <w:lvlJc w:val="left"/>
      <w:lvlText w:val="1"/>
      <w:numFmt w:val="bullet"/>
      <w:start w:val="1"/>
    </w:lvl>
  </w:abstractNum>
  <w:abstractNum w:abstractNumId="499">
    <w:nsid w:val="4423C777"/>
    <w:multiLevelType w:val="hybridMultilevel"/>
    <w:lvl w:ilvl="0">
      <w:lvlJc w:val="left"/>
      <w:lvlText w:val="%1."/>
      <w:numFmt w:val="decimal"/>
      <w:start w:val="1"/>
    </w:lvl>
  </w:abstractNum>
  <w:abstractNum w:abstractNumId="500">
    <w:nsid w:val="5F5C6E4D"/>
    <w:multiLevelType w:val="hybridMultilevel"/>
    <w:lvl w:ilvl="0">
      <w:lvlJc w:val="left"/>
      <w:lvlText w:val="(%1)"/>
      <w:numFmt w:val="lowerLetter"/>
      <w:start w:val="1"/>
    </w:lvl>
  </w:abstractNum>
  <w:abstractNum w:abstractNumId="501">
    <w:nsid w:val="7C2A56CD"/>
    <w:multiLevelType w:val="hybridMultilevel"/>
    <w:lvl w:ilvl="0">
      <w:lvlJc w:val="left"/>
      <w:lvlText w:val="%1."/>
      <w:numFmt w:val="decimal"/>
      <w:start w:val="2"/>
    </w:lvl>
  </w:abstractNum>
  <w:abstractNum w:abstractNumId="502">
    <w:nsid w:val="7AB86EE1"/>
    <w:multiLevelType w:val="hybridMultilevel"/>
    <w:lvl w:ilvl="0">
      <w:lvlJc w:val="left"/>
      <w:lvlText w:val="%1."/>
      <w:numFmt w:val="decimal"/>
      <w:start w:val="3"/>
    </w:lvl>
  </w:abstractNum>
  <w:abstractNum w:abstractNumId="503">
    <w:nsid w:val="B54E53B"/>
    <w:multiLevelType w:val="hybridMultilevel"/>
    <w:lvl w:ilvl="0">
      <w:lvlJc w:val="left"/>
      <w:lvlText w:val="(%1)"/>
      <w:numFmt w:val="lowerLetter"/>
      <w:start w:val="1"/>
    </w:lvl>
  </w:abstractNum>
  <w:abstractNum w:abstractNumId="504">
    <w:nsid w:val="2A00487"/>
    <w:multiLevelType w:val="hybridMultilevel"/>
    <w:lvl w:ilvl="0">
      <w:lvlJc w:val="left"/>
      <w:lvlText w:val="(%1)"/>
      <w:numFmt w:val="lowerLetter"/>
      <w:start w:val="2"/>
    </w:lvl>
  </w:abstractNum>
  <w:abstractNum w:abstractNumId="505">
    <w:nsid w:val="6CB1B60"/>
    <w:multiLevelType w:val="hybridMultilevel"/>
    <w:lvl w:ilvl="0">
      <w:lvlJc w:val="left"/>
      <w:lvlText w:val="(%1)"/>
      <w:numFmt w:val="lowerLetter"/>
      <w:start w:val="3"/>
    </w:lvl>
  </w:abstractNum>
  <w:abstractNum w:abstractNumId="506">
    <w:nsid w:val="72EDD574"/>
    <w:multiLevelType w:val="hybridMultilevel"/>
    <w:lvl w:ilvl="0">
      <w:lvlJc w:val="left"/>
      <w:lvlText w:val="(%1)"/>
      <w:numFmt w:val="lowerLetter"/>
      <w:start w:val="4"/>
    </w:lvl>
  </w:abstractNum>
  <w:abstractNum w:abstractNumId="507">
    <w:nsid w:val="7323808A"/>
    <w:multiLevelType w:val="hybridMultilevel"/>
    <w:lvl w:ilvl="0">
      <w:lvlJc w:val="left"/>
      <w:lvlText w:val="%1."/>
      <w:numFmt w:val="decimal"/>
      <w:start w:val="4"/>
    </w:lvl>
  </w:abstractNum>
  <w:abstractNum w:abstractNumId="508">
    <w:nsid w:val="5157276"/>
    <w:multiLevelType w:val="hybridMultilevel"/>
    <w:lvl w:ilvl="0">
      <w:lvlJc w:val="left"/>
      <w:lvlText w:val="(%1)"/>
      <w:numFmt w:val="lowerLetter"/>
      <w:start w:val="1"/>
    </w:lvl>
  </w:abstractNum>
  <w:abstractNum w:abstractNumId="509">
    <w:nsid w:val="35A681DB"/>
    <w:multiLevelType w:val="hybridMultilevel"/>
    <w:lvl w:ilvl="0">
      <w:lvlJc w:val="left"/>
      <w:lvlText w:val="%1."/>
      <w:numFmt w:val="decimal"/>
      <w:start w:val="5"/>
    </w:lvl>
  </w:abstractNum>
  <w:abstractNum w:abstractNumId="510">
    <w:nsid w:val="1786C974"/>
    <w:multiLevelType w:val="hybridMultilevel"/>
    <w:lvl w:ilvl="0">
      <w:lvlJc w:val="left"/>
      <w:lvlText w:val="(%1)"/>
      <w:numFmt w:val="lowerRoman"/>
      <w:start w:val="1"/>
    </w:lvl>
  </w:abstractNum>
  <w:abstractNum w:abstractNumId="511">
    <w:nsid w:val="1C2427A1"/>
    <w:multiLevelType w:val="hybridMultilevel"/>
    <w:lvl w:ilvl="0">
      <w:lvlJc w:val="left"/>
      <w:lvlText w:val="%1."/>
      <w:numFmt w:val="decimal"/>
      <w:start w:val="2"/>
    </w:lvl>
  </w:abstractNum>
  <w:abstractNum w:abstractNumId="512">
    <w:nsid w:val="63A24D68"/>
    <w:multiLevelType w:val="hybridMultilevel"/>
    <w:lvl w:ilvl="0">
      <w:lvlJc w:val="left"/>
      <w:lvlText w:val="(%1)"/>
      <w:numFmt w:val="lowerRoman"/>
      <w:start w:val="1"/>
    </w:lvl>
  </w:abstractNum>
  <w:abstractNum w:abstractNumId="513">
    <w:nsid w:val="4FB7A02A"/>
    <w:multiLevelType w:val="hybridMultilevel"/>
    <w:lvl w:ilvl="0">
      <w:lvlJc w:val="left"/>
      <w:lvlText w:val="(%1)"/>
      <w:numFmt w:val="lowerLetter"/>
      <w:start w:val="2"/>
    </w:lvl>
  </w:abstractNum>
  <w:abstractNum w:abstractNumId="514">
    <w:nsid w:val="96CF728"/>
    <w:multiLevelType w:val="hybridMultilevel"/>
    <w:lvl w:ilvl="0">
      <w:lvlJc w:val="left"/>
      <w:lvlText w:val="%1."/>
      <w:numFmt w:val="decimal"/>
      <w:start w:val="3"/>
    </w:lvl>
  </w:abstractNum>
  <w:abstractNum w:abstractNumId="515">
    <w:nsid w:val="3B121183"/>
    <w:multiLevelType w:val="hybridMultilevel"/>
    <w:lvl w:ilvl="0">
      <w:lvlJc w:val="left"/>
      <w:lvlText w:val="(%1)"/>
      <w:numFmt w:val="lowerLetter"/>
      <w:start w:val="1"/>
    </w:lvl>
  </w:abstractNum>
  <w:abstractNum w:abstractNumId="516">
    <w:nsid w:val="3459648F"/>
    <w:multiLevelType w:val="hybridMultilevel"/>
    <w:lvl w:ilvl="0">
      <w:lvlJc w:val="left"/>
      <w:lvlText w:val="(%1)"/>
      <w:numFmt w:val="lowerLetter"/>
      <w:start w:val="1"/>
    </w:lvl>
  </w:abstractNum>
  <w:abstractNum w:abstractNumId="517">
    <w:nsid w:val="3ADF331D"/>
    <w:multiLevelType w:val="hybridMultilevel"/>
    <w:lvl w:ilvl="0">
      <w:lvlJc w:val="left"/>
      <w:lvlText w:val="(%1)"/>
      <w:numFmt w:val="lowerRoman"/>
      <w:start w:val="1"/>
    </w:lvl>
  </w:abstractNum>
  <w:abstractNum w:abstractNumId="518">
    <w:nsid w:val="4D08A9E4"/>
    <w:multiLevelType w:val="hybridMultilevel"/>
    <w:lvl w:ilvl="0">
      <w:lvlJc w:val="left"/>
      <w:lvlText w:val="(%1)"/>
      <w:numFmt w:val="lowerRoman"/>
      <w:start w:val="8"/>
    </w:lvl>
  </w:abstractNum>
  <w:abstractNum w:abstractNumId="519">
    <w:nsid w:val="6AF2BB3A"/>
    <w:multiLevelType w:val="hybridMultilevel"/>
    <w:lvl w:ilvl="0">
      <w:lvlJc w:val="left"/>
      <w:lvlText w:val="%1."/>
      <w:numFmt w:val="decimal"/>
      <w:start w:val="4"/>
    </w:lvl>
  </w:abstractNum>
  <w:abstractNum w:abstractNumId="520">
    <w:nsid w:val="481B1739"/>
    <w:multiLevelType w:val="hybridMultilevel"/>
    <w:lvl w:ilvl="0">
      <w:lvlJc w:val="left"/>
      <w:lvlText w:val="%1."/>
      <w:numFmt w:val="decimal"/>
      <w:start w:val="5"/>
    </w:lvl>
  </w:abstractNum>
  <w:abstractNum w:abstractNumId="521">
    <w:nsid w:val="19E2BFCC"/>
    <w:multiLevelType w:val="hybridMultilevel"/>
    <w:lvl w:ilvl="0">
      <w:lvlJc w:val="left"/>
      <w:lvlText w:val="(%1)"/>
      <w:numFmt w:val="lowerLetter"/>
      <w:start w:val="1"/>
    </w:lvl>
  </w:abstractNum>
  <w:abstractNum w:abstractNumId="522">
    <w:nsid w:val="66D021CA"/>
    <w:multiLevelType w:val="hybridMultilevel"/>
    <w:lvl w:ilvl="0">
      <w:lvlJc w:val="left"/>
      <w:lvlText w:val="(%1)"/>
      <w:numFmt w:val="lowerLetter"/>
      <w:start w:val="9"/>
    </w:lvl>
  </w:abstractNum>
  <w:abstractNum w:abstractNumId="523">
    <w:nsid w:val="56167394"/>
    <w:multiLevelType w:val="hybridMultilevel"/>
    <w:lvl w:ilvl="0">
      <w:lvlJc w:val="left"/>
      <w:lvlText w:val="(%1)"/>
      <w:numFmt w:val="lowerLetter"/>
      <w:start w:val="2"/>
    </w:lvl>
  </w:abstractNum>
  <w:abstractNum w:abstractNumId="524">
    <w:nsid w:val="921145C"/>
    <w:multiLevelType w:val="hybridMultilevel"/>
    <w:lvl w:ilvl="0">
      <w:lvlJc w:val="left"/>
      <w:lvlText w:val="(%1)"/>
      <w:numFmt w:val="lowerRoman"/>
      <w:start w:val="1"/>
    </w:lvl>
  </w:abstractNum>
  <w:abstractNum w:abstractNumId="525">
    <w:nsid w:val="7B34DFE8"/>
    <w:multiLevelType w:val="hybridMultilevel"/>
    <w:lvl w:ilvl="0">
      <w:lvlJc w:val="left"/>
      <w:lvlText w:val="(%1)"/>
      <w:numFmt w:val="lowerLetter"/>
      <w:start w:val="1"/>
    </w:lvl>
  </w:abstractNum>
  <w:abstractNum w:abstractNumId="526">
    <w:nsid w:val="3CD22B79"/>
    <w:multiLevelType w:val="hybridMultilevel"/>
    <w:lvl w:ilvl="0">
      <w:lvlJc w:val="left"/>
      <w:lvlText w:val="(%1)"/>
      <w:numFmt w:val="lowerLetter"/>
      <w:start w:val="35"/>
    </w:lvl>
  </w:abstractNum>
  <w:abstractNum w:abstractNumId="527">
    <w:nsid w:val="3137975E"/>
    <w:multiLevelType w:val="hybridMultilevel"/>
    <w:lvl w:ilvl="0">
      <w:lvlJc w:val="left"/>
      <w:lvlText w:val="(%1)"/>
      <w:numFmt w:val="upperLetter"/>
      <w:start w:val="1"/>
    </w:lvl>
  </w:abstractNum>
  <w:abstractNum w:abstractNumId="528">
    <w:nsid w:val="2DDAA791"/>
    <w:multiLevelType w:val="hybridMultilevel"/>
    <w:lvl w:ilvl="0">
      <w:lvlJc w:val="left"/>
      <w:lvlText w:val="%1."/>
      <w:numFmt w:val="decimal"/>
      <w:start w:val="6"/>
    </w:lvl>
  </w:abstractNum>
  <w:abstractNum w:abstractNumId="529">
    <w:nsid w:val="77263B8A"/>
    <w:multiLevelType w:val="hybridMultilevel"/>
    <w:lvl w:ilvl="0">
      <w:lvlJc w:val="left"/>
      <w:lvlText w:val="(%1)"/>
      <w:numFmt w:val="lowerLetter"/>
      <w:start w:val="1"/>
    </w:lvl>
  </w:abstractNum>
  <w:abstractNum w:abstractNumId="530">
    <w:nsid w:val="755B5ED6"/>
    <w:multiLevelType w:val="hybridMultilevel"/>
    <w:lvl w:ilvl="0">
      <w:lvlJc w:val="left"/>
      <w:lvlText w:val="(%1)"/>
      <w:numFmt w:val="lowerLetter"/>
      <w:start w:val="9"/>
    </w:lvl>
  </w:abstractNum>
  <w:abstractNum w:abstractNumId="531">
    <w:nsid w:val="D3715DE"/>
    <w:multiLevelType w:val="hybridMultilevel"/>
    <w:lvl w:ilvl="0">
      <w:lvlJc w:val="left"/>
      <w:lvlText w:val="(%1)"/>
      <w:numFmt w:val="lowerLetter"/>
      <w:start w:val="1"/>
    </w:lvl>
  </w:abstractNum>
  <w:abstractNum w:abstractNumId="532">
    <w:nsid w:val="73509257"/>
    <w:multiLevelType w:val="hybridMultilevel"/>
    <w:lvl w:ilvl="0">
      <w:lvlJc w:val="left"/>
      <w:lvlText w:val="(%1)"/>
      <w:numFmt w:val="lowerLetter"/>
      <w:start w:val="5"/>
    </w:lvl>
  </w:abstractNum>
  <w:abstractNum w:abstractNumId="533">
    <w:nsid w:val="7013CDB7"/>
    <w:multiLevelType w:val="hybridMultilevel"/>
    <w:lvl w:ilvl="0">
      <w:lvlJc w:val="left"/>
      <w:lvlText w:val="(%1)"/>
      <w:numFmt w:val="lowerRoman"/>
      <w:start w:val="1"/>
    </w:lvl>
  </w:abstractNum>
  <w:abstractNum w:abstractNumId="534">
    <w:nsid w:val="188BFB19"/>
    <w:multiLevelType w:val="hybridMultilevel"/>
    <w:lvl w:ilvl="0">
      <w:lvlJc w:val="left"/>
      <w:lvlText w:val="(%1)"/>
      <w:numFmt w:val="lowerLetter"/>
      <w:start w:val="1"/>
    </w:lvl>
  </w:abstractNum>
  <w:abstractNum w:abstractNumId="535">
    <w:nsid w:val="75F096DF"/>
    <w:multiLevelType w:val="hybridMultilevel"/>
    <w:lvl w:ilvl="0">
      <w:lvlJc w:val="left"/>
      <w:lvlText w:val="(%1)"/>
      <w:numFmt w:val="lowerLetter"/>
      <w:start w:val="2"/>
    </w:lvl>
  </w:abstractNum>
  <w:abstractNum w:abstractNumId="536">
    <w:nsid w:val="76DEE918"/>
    <w:multiLevelType w:val="hybridMultilevel"/>
    <w:lvl w:ilvl="0">
      <w:lvlJc w:val="left"/>
      <w:lvlText w:val="(%1)"/>
      <w:numFmt w:val="lowerLetter"/>
      <w:start w:val="1"/>
    </w:lvl>
  </w:abstractNum>
  <w:abstractNum w:abstractNumId="537">
    <w:nsid w:val="B79D08D"/>
    <w:multiLevelType w:val="hybridMultilevel"/>
    <w:lvl w:ilvl="0">
      <w:lvlJc w:val="left"/>
      <w:lvlText w:val="(%1)"/>
      <w:numFmt w:val="lowerRoman"/>
      <w:start w:val="1"/>
    </w:lvl>
  </w:abstractNum>
  <w:abstractNum w:abstractNumId="538">
    <w:nsid w:val="69141769"/>
    <w:multiLevelType w:val="hybridMultilevel"/>
    <w:lvl w:ilvl="0">
      <w:lvlJc w:val="left"/>
      <w:lvlText w:val="(%1)"/>
      <w:numFmt w:val="lowerLetter"/>
      <w:start w:val="1"/>
    </w:lvl>
  </w:abstractNum>
  <w:abstractNum w:abstractNumId="539">
    <w:nsid w:val="7BF45B8E"/>
    <w:multiLevelType w:val="hybridMultilevel"/>
    <w:lvl w:ilvl="0">
      <w:lvlJc w:val="left"/>
      <w:lvlText w:val="(%1)"/>
      <w:numFmt w:val="lowerLetter"/>
      <w:start w:val="9"/>
    </w:lvl>
  </w:abstractNum>
  <w:abstractNum w:abstractNumId="540">
    <w:nsid w:val="41205269"/>
    <w:multiLevelType w:val="hybridMultilevel"/>
    <w:lvl w:ilvl="0">
      <w:lvlJc w:val="left"/>
      <w:lvlText w:val="(%1)"/>
      <w:numFmt w:val="lowerLetter"/>
      <w:start w:val="1"/>
    </w:lvl>
  </w:abstractNum>
  <w:abstractNum w:abstractNumId="541">
    <w:nsid w:val="9AE0DD"/>
    <w:multiLevelType w:val="hybridMultilevel"/>
    <w:lvl w:ilvl="0">
      <w:lvlJc w:val="left"/>
      <w:lvlText w:val="(%1)"/>
      <w:numFmt w:val="lowerLetter"/>
      <w:start w:val="2"/>
    </w:lvl>
  </w:abstractNum>
  <w:abstractNum w:abstractNumId="542">
    <w:nsid w:val="1818832F"/>
    <w:multiLevelType w:val="hybridMultilevel"/>
    <w:lvl w:ilvl="0">
      <w:lvlJc w:val="left"/>
      <w:lvlText w:val="(%1)"/>
      <w:numFmt w:val="lowerRoman"/>
      <w:start w:val="1"/>
    </w:lvl>
  </w:abstractNum>
  <w:abstractNum w:abstractNumId="543">
    <w:nsid w:val="24C29FD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jpe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2026-07-02T16:05:31Z</dcterms:created>
  <dcterms:modified xsi:type="dcterms:W3CDTF">2026-07-02T16:05:31Z</dcterms:modified>
</cp:coreProperties>
</file>