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5293d8k.htm"/>
      <w:bookmarkStart w:id="1" w:name="ksd155293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July 12,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GALERA THERAPEUTICS,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830" w:type="dxa"/>
        <w:jc w:val="left"/>
        <w:tblInd w:w="0" w:type="dxa"/>
        <w:tblLayout w:type="fixed"/>
        <w:tblCellMar>
          <w:top w:w="0" w:type="dxa"/>
          <w:left w:w="0" w:type="dxa"/>
          <w:bottom w:w="0" w:type="dxa"/>
          <w:right w:w="0" w:type="dxa"/>
        </w:tblCellMar>
      </w:tblPr>
      <w:tblGrid>
        <w:gridCol w:w="2285"/>
        <w:gridCol w:w="60"/>
        <w:gridCol w:w="1055"/>
        <w:gridCol w:w="60"/>
        <w:gridCol w:w="1370"/>
      </w:tblGrid>
      <w:tr>
        <w:trPr/>
        <w:tc>
          <w:tcPr>
            <w:tcW w:w="2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001-39114</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46-1454898</w:t>
            </w:r>
          </w:p>
        </w:tc>
      </w:tr>
      <w:tr>
        <w:trPr/>
        <w:tc>
          <w:tcPr>
            <w:tcW w:w="22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160" w:after="0"/>
        <w:jc w:val="center"/>
        <w:rPr>
          <w:rFonts w:ascii="Times New Roman" w:hAnsi="Times New Roman"/>
          <w:b/>
          <w:sz w:val="20"/>
        </w:rPr>
      </w:pPr>
      <w:r>
        <w:rPr>
          <w:rFonts w:ascii="Times New Roman" w:hAnsi="Times New Roman"/>
          <w:b/>
          <w:sz w:val="20"/>
        </w:rPr>
        <w:t>101 Lindenwood Drive, Suite 225</w:t>
      </w:r>
    </w:p>
    <w:p>
      <w:pPr>
        <w:pStyle w:val="TextBody"/>
        <w:bidi w:val="0"/>
        <w:spacing w:before="0" w:after="0"/>
        <w:jc w:val="center"/>
        <w:rPr>
          <w:rFonts w:ascii="Times New Roman" w:hAnsi="Times New Roman"/>
          <w:b/>
          <w:sz w:val="20"/>
        </w:rPr>
      </w:pPr>
      <w:r>
        <w:rPr>
          <w:rFonts w:ascii="Times New Roman" w:hAnsi="Times New Roman"/>
          <w:b/>
          <w:sz w:val="20"/>
        </w:rPr>
        <w:t>Malvern, PA 19355</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(Zip Code)</w:t>
      </w:r>
    </w:p>
    <w:p>
      <w:pPr>
        <w:pStyle w:val="TextBody"/>
        <w:bidi w:val="0"/>
        <w:spacing w:before="160" w:after="0"/>
        <w:jc w:val="center"/>
        <w:rPr>
          <w:rFonts w:ascii="Times New Roman" w:hAnsi="Times New Roman"/>
          <w:b/>
          <w:sz w:val="20"/>
        </w:rPr>
      </w:pPr>
      <w:r>
        <w:rPr>
          <w:rFonts w:ascii="Times New Roman" w:hAnsi="Times New Roman"/>
          <w:b/>
          <w:sz w:val="20"/>
        </w:rPr>
        <w:t>(610) 725-1500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include area code)</w:t>
      </w:r>
    </w:p>
    <w:p>
      <w:pPr>
        <w:pStyle w:val="TextBody"/>
        <w:bidi w:val="0"/>
        <w:spacing w:before="16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6750" w:type="dxa"/>
        <w:jc w:val="left"/>
        <w:tblInd w:w="0" w:type="dxa"/>
        <w:tblLayout w:type="fixed"/>
        <w:tblCellMar>
          <w:top w:w="0" w:type="dxa"/>
          <w:left w:w="0" w:type="dxa"/>
          <w:bottom w:w="0" w:type="dxa"/>
          <w:right w:w="0" w:type="dxa"/>
        </w:tblCellMar>
      </w:tblPr>
      <w:tblGrid>
        <w:gridCol w:w="4145"/>
        <w:gridCol w:w="60"/>
        <w:gridCol w:w="740"/>
        <w:gridCol w:w="60"/>
        <w:gridCol w:w="1745"/>
      </w:tblGrid>
      <w:tr>
        <w:trPr/>
        <w:tc>
          <w:tcPr>
            <w:tcW w:w="4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r>
      <w:tr>
        <w:trPr/>
        <w:tc>
          <w:tcPr>
            <w:tcW w:w="41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174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145" w:type="dxa"/>
            <w:tcBorders/>
            <w:vAlign w:val="center"/>
          </w:tcPr>
          <w:p>
            <w:pPr>
              <w:pStyle w:val="TableContents"/>
              <w:bidi w:val="0"/>
              <w:spacing w:before="0" w:after="283"/>
              <w:jc w:val="center"/>
              <w:rPr/>
            </w:pPr>
            <w:r>
              <w:rPr/>
              <w:t>Common Stock, $0.001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GRTX</w:t>
            </w:r>
          </w:p>
        </w:tc>
        <w:tc>
          <w:tcPr>
            <w:tcW w:w="60"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283"/>
              <w:jc w:val="center"/>
              <w:rPr/>
            </w:pPr>
            <w:r>
              <w:rPr/>
              <w:t xml:space="preserve">OTCQB Market </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5515" w:type="dxa"/>
        <w:jc w:val="left"/>
        <w:tblInd w:w="0" w:type="dxa"/>
        <w:tblLayout w:type="fixed"/>
        <w:tblCellMar>
          <w:top w:w="0" w:type="dxa"/>
          <w:left w:w="0" w:type="dxa"/>
          <w:bottom w:w="0" w:type="dxa"/>
          <w:right w:w="0" w:type="dxa"/>
        </w:tblCellMar>
      </w:tblPr>
      <w:tblGrid>
        <w:gridCol w:w="1025"/>
        <w:gridCol w:w="4490"/>
      </w:tblGrid>
      <w:tr>
        <w:trPr/>
        <w:tc>
          <w:tcPr>
            <w:tcW w:w="1025" w:type="dxa"/>
            <w:tcBorders/>
            <w:vAlign w:val="center"/>
          </w:tcPr>
          <w:p>
            <w:pPr>
              <w:pStyle w:val="TableContents"/>
              <w:bidi w:val="0"/>
              <w:spacing w:before="0" w:after="283"/>
              <w:jc w:val="left"/>
              <w:rPr>
                <w:b/>
              </w:rPr>
            </w:pPr>
            <w:r>
              <w:rPr>
                <w:b/>
              </w:rPr>
              <w:t>Item 3.03.</w:t>
            </w:r>
          </w:p>
        </w:tc>
        <w:tc>
          <w:tcPr>
            <w:tcW w:w="44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Material Modification to Rights of Security Holders.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Item 5.03 of this Current Report on Form 8-K is incorporated by reference into this Item 3.03. </w:t>
      </w:r>
    </w:p>
    <w:p>
      <w:pPr>
        <w:pStyle w:val="TextBody"/>
        <w:bidi w:val="0"/>
        <w:spacing w:before="0" w:after="0"/>
        <w:jc w:val="left"/>
        <w:rPr/>
      </w:pPr>
      <w:r>
        <w:rPr/>
        <w:t> </w:t>
      </w:r>
    </w:p>
    <w:tbl>
      <w:tblPr>
        <w:tblW w:w="5470" w:type="dxa"/>
        <w:jc w:val="left"/>
        <w:tblInd w:w="0" w:type="dxa"/>
        <w:tblLayout w:type="fixed"/>
        <w:tblCellMar>
          <w:top w:w="0" w:type="dxa"/>
          <w:left w:w="0" w:type="dxa"/>
          <w:bottom w:w="0" w:type="dxa"/>
          <w:right w:w="0" w:type="dxa"/>
        </w:tblCellMar>
      </w:tblPr>
      <w:tblGrid>
        <w:gridCol w:w="1025"/>
        <w:gridCol w:w="4445"/>
      </w:tblGrid>
      <w:tr>
        <w:trPr/>
        <w:tc>
          <w:tcPr>
            <w:tcW w:w="1025" w:type="dxa"/>
            <w:tcBorders/>
            <w:vAlign w:val="center"/>
          </w:tcPr>
          <w:p>
            <w:pPr>
              <w:pStyle w:val="TableContents"/>
              <w:bidi w:val="0"/>
              <w:spacing w:before="0" w:after="283"/>
              <w:jc w:val="left"/>
              <w:rPr>
                <w:b/>
              </w:rPr>
            </w:pPr>
            <w:r>
              <w:rPr>
                <w:b/>
              </w:rPr>
              <w:t>Item 5.03.</w:t>
            </w:r>
          </w:p>
        </w:tc>
        <w:tc>
          <w:tcPr>
            <w:tcW w:w="44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Amendments to Articles of Incorporation or Bylaws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Reverse Stock Split </w:t>
      </w:r>
    </w:p>
    <w:p>
      <w:pPr>
        <w:pStyle w:val="TextBody"/>
        <w:bidi w:val="0"/>
        <w:spacing w:before="120" w:after="0"/>
        <w:jc w:val="left"/>
        <w:rPr>
          <w:rFonts w:ascii="Times New Roman" w:hAnsi="Times New Roman"/>
          <w:sz w:val="20"/>
        </w:rPr>
      </w:pPr>
      <w:r>
        <w:rPr>
          <w:rFonts w:ascii="Times New Roman" w:hAnsi="Times New Roman"/>
          <w:sz w:val="20"/>
        </w:rPr>
        <w:t>On July 12, 2026, Galera Therapeutics, Inc., a Delaware corporation (the “</w:t>
      </w:r>
      <w:r>
        <w:rPr>
          <w:rFonts w:ascii="Times New Roman" w:hAnsi="Times New Roman"/>
          <w:b/>
          <w:i/>
          <w:sz w:val="20"/>
        </w:rPr>
        <w:t>Company</w:t>
      </w:r>
      <w:r>
        <w:rPr>
          <w:rFonts w:ascii="Times New Roman" w:hAnsi="Times New Roman"/>
          <w:sz w:val="20"/>
        </w:rPr>
        <w:t>”), effected a one-for-two hundred (1:200) reverse stock split (“</w:t>
      </w:r>
      <w:r>
        <w:rPr>
          <w:rFonts w:ascii="Times New Roman" w:hAnsi="Times New Roman"/>
          <w:b/>
          <w:i/>
          <w:sz w:val="20"/>
        </w:rPr>
        <w:t>Reverse Stock Split</w:t>
      </w:r>
      <w:r>
        <w:rPr>
          <w:rFonts w:ascii="Times New Roman" w:hAnsi="Times New Roman"/>
          <w:sz w:val="20"/>
        </w:rPr>
        <w:t>”) of the Company’s common stock, par value $0.001 (“</w:t>
      </w:r>
      <w:r>
        <w:rPr>
          <w:rFonts w:ascii="Times New Roman" w:hAnsi="Times New Roman"/>
          <w:b/>
          <w:i/>
          <w:sz w:val="20"/>
        </w:rPr>
        <w:t>Common Stock</w:t>
      </w:r>
      <w:r>
        <w:rPr>
          <w:rFonts w:ascii="Times New Roman" w:hAnsi="Times New Roman"/>
          <w:sz w:val="20"/>
        </w:rPr>
        <w:t>”) by filing an amendment to the Company’s Restated Certificate of Incorporation (the “</w:t>
      </w:r>
      <w:r>
        <w:rPr>
          <w:rFonts w:ascii="Times New Roman" w:hAnsi="Times New Roman"/>
          <w:b/>
          <w:i/>
          <w:sz w:val="20"/>
        </w:rPr>
        <w:t>Amendment</w:t>
      </w:r>
      <w:r>
        <w:rPr>
          <w:rFonts w:ascii="Times New Roman" w:hAnsi="Times New Roman"/>
          <w:sz w:val="20"/>
        </w:rPr>
        <w:t xml:space="preserve">”). The Amendment became effective at 11:59 p.m. Eastern Time on July 12, 2026. The Common Stock began trading on the OTCQB Market on a split-adjusted basis when the market opened on July 13, 2026 under the ticker symbol “GRTXD”. </w:t>
      </w:r>
    </w:p>
    <w:p>
      <w:pPr>
        <w:pStyle w:val="TextBody"/>
        <w:bidi w:val="0"/>
        <w:spacing w:before="240" w:after="0"/>
        <w:jc w:val="left"/>
        <w:rPr>
          <w:rFonts w:ascii="Times New Roman" w:hAnsi="Times New Roman"/>
          <w:sz w:val="20"/>
        </w:rPr>
      </w:pPr>
      <w:r>
        <w:rPr>
          <w:rFonts w:ascii="Times New Roman" w:hAnsi="Times New Roman"/>
          <w:sz w:val="20"/>
        </w:rPr>
        <w:t xml:space="preserve">The Reverse Stock Split resulted in a reduction in the number of shares of Common Stock (i) available for issuance under the Company’s 2019 Equity Incentive Plan and 2023 Employment Inducement Award Plan, and (ii) issuable upon the exercise of stock options outstanding immediately prior to the effectiveness of the Reverse Stock Split. To reflect the Reverse Stock Split, there is a corresponding increase in the exercise price per share applicable to outstanding stock options. </w:t>
      </w:r>
    </w:p>
    <w:p>
      <w:pPr>
        <w:pStyle w:val="TextBody"/>
        <w:bidi w:val="0"/>
        <w:spacing w:before="240" w:after="0"/>
        <w:jc w:val="left"/>
        <w:rPr>
          <w:rFonts w:ascii="Times New Roman" w:hAnsi="Times New Roman"/>
          <w:sz w:val="20"/>
        </w:rPr>
      </w:pPr>
      <w:r>
        <w:rPr>
          <w:rFonts w:ascii="Times New Roman" w:hAnsi="Times New Roman"/>
          <w:sz w:val="20"/>
        </w:rPr>
        <w:t xml:space="preserve">The Reverse Stock Split also resulted in a proportionate reduction in the number of shares of Common Stock issuable upon the exercise of the Company’s outstanding warrants, with a corresponding adjustment to the exercise price per share applicable to each such warrant. </w:t>
      </w:r>
    </w:p>
    <w:p>
      <w:pPr>
        <w:pStyle w:val="TextBody"/>
        <w:bidi w:val="0"/>
        <w:spacing w:before="240" w:after="0"/>
        <w:jc w:val="left"/>
        <w:rPr>
          <w:rFonts w:ascii="Times New Roman" w:hAnsi="Times New Roman"/>
          <w:sz w:val="20"/>
        </w:rPr>
      </w:pPr>
      <w:r>
        <w:rPr>
          <w:rFonts w:ascii="Times New Roman" w:hAnsi="Times New Roman"/>
          <w:sz w:val="20"/>
        </w:rPr>
        <w:t xml:space="preserve">No fractional shares will be issued in connection with the Reverse Stock Split. Stockholders who would otherwise be entitled to a fractional share of Common Stock are instead entitled to a check representing the cash value equal to the fraction to which the stockholder would otherwise be entitled, multiplied by the closing price of Common Stock, as reported on the OTCQB Market on the last trading day prior to the effective date of the Reverse Stock Split, multiplied by two hundred.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is qualified in its entirety by the Amendment, which is attached as Exhibit 3.1 to this Current Report on Form 8-K and is incorporated herein by reference.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60"/>
        <w:gridCol w:w="120"/>
        <w:gridCol w:w="952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2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No.</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3.1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155293dex31.htm">
              <w:r>
                <w:rPr>
                  <w:rStyle w:val="InternetLink"/>
                </w:rPr>
                <w:t xml:space="preserve">Certificate of Amendment to the Restated Certificate of Incorporation of the Company dated July 12, 2026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Cover Page Interactive Data File (formatted as inline XBRL).</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098" w:type="dxa"/>
        <w:jc w:val="left"/>
        <w:tblInd w:w="0" w:type="dxa"/>
        <w:tblLayout w:type="fixed"/>
        <w:tblCellMar>
          <w:top w:w="0" w:type="dxa"/>
          <w:left w:w="0" w:type="dxa"/>
          <w:bottom w:w="0" w:type="dxa"/>
          <w:right w:w="0" w:type="dxa"/>
        </w:tblCellMar>
      </w:tblPr>
      <w:tblGrid>
        <w:gridCol w:w="1895"/>
        <w:gridCol w:w="60"/>
        <w:gridCol w:w="23"/>
        <w:gridCol w:w="60"/>
        <w:gridCol w:w="365"/>
        <w:gridCol w:w="60"/>
        <w:gridCol w:w="3635"/>
      </w:tblGrid>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60" w:type="dxa"/>
            <w:gridSpan w:val="3"/>
            <w:tcBorders/>
            <w:vAlign w:val="center"/>
          </w:tcPr>
          <w:p>
            <w:pPr>
              <w:pStyle w:val="TableContents"/>
              <w:bidi w:val="0"/>
              <w:spacing w:before="0" w:after="283"/>
              <w:jc w:val="left"/>
              <w:rPr/>
            </w:pPr>
            <w:r>
              <w:rPr/>
              <w:t>GALERA THERAPEUTICS, INC.</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pPr>
            <w:r>
              <w:rPr/>
              <w:t>Date: July 13,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 Mel Sorensen, M.D.</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J. Mel Sorensen, M.D.</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President and Chief Executive Officer</w:t>
            </w:r>
          </w:p>
        </w:tc>
      </w:tr>
    </w:tbl>
    <w:p>
      <w:pPr>
        <w:pStyle w:val="TextBody"/>
        <w:bidi w:val="0"/>
        <w:spacing w:before="0" w:after="0"/>
        <w:jc w:val="right"/>
        <w:rPr>
          <w:rFonts w:ascii="Times New Roman" w:hAnsi="Times New Roman"/>
          <w:b/>
          <w:sz w:val="20"/>
        </w:rPr>
      </w:pPr>
      <w:bookmarkStart w:id="2" w:name="d155293dex31.htm"/>
      <w:bookmarkStart w:id="3" w:name="ksd155293dex31"/>
      <w:bookmarkEnd w:id="2"/>
      <w:bookmarkEnd w:id="3"/>
      <w:r>
        <w:rPr>
          <w:rFonts w:ascii="Times New Roman" w:hAnsi="Times New Roman"/>
          <w:b/>
          <w:sz w:val="20"/>
        </w:rPr>
        <w:t xml:space="preserve">Exhibit 3.1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CERTIFICATE OF AMENDMENT </w:t>
      </w:r>
    </w:p>
    <w:p>
      <w:pPr>
        <w:pStyle w:val="TextBody"/>
        <w:bidi w:val="0"/>
        <w:spacing w:before="0" w:after="0"/>
        <w:jc w:val="center"/>
        <w:rPr>
          <w:rFonts w:ascii="Times New Roman" w:hAnsi="Times New Roman"/>
          <w:sz w:val="20"/>
        </w:rPr>
      </w:pPr>
      <w:r>
        <w:rPr>
          <w:rFonts w:ascii="Times New Roman" w:hAnsi="Times New Roman"/>
          <w:sz w:val="20"/>
        </w:rPr>
        <w:t xml:space="preserve">TO THE </w:t>
      </w:r>
    </w:p>
    <w:p>
      <w:pPr>
        <w:pStyle w:val="TextBody"/>
        <w:bidi w:val="0"/>
        <w:spacing w:before="0" w:after="0"/>
        <w:jc w:val="center"/>
        <w:rPr>
          <w:rFonts w:ascii="Times New Roman" w:hAnsi="Times New Roman"/>
          <w:sz w:val="20"/>
        </w:rPr>
      </w:pPr>
      <w:r>
        <w:rPr>
          <w:rFonts w:ascii="Times New Roman" w:hAnsi="Times New Roman"/>
          <w:sz w:val="20"/>
        </w:rPr>
        <w:t xml:space="preserve">RESTATED CERTIFICATE OF INCORPORATION </w:t>
      </w:r>
    </w:p>
    <w:p>
      <w:pPr>
        <w:pStyle w:val="TextBody"/>
        <w:bidi w:val="0"/>
        <w:spacing w:before="0" w:after="0"/>
        <w:jc w:val="center"/>
        <w:rPr>
          <w:rFonts w:ascii="Times New Roman" w:hAnsi="Times New Roman"/>
          <w:sz w:val="20"/>
        </w:rPr>
      </w:pPr>
      <w:r>
        <w:rPr>
          <w:rFonts w:ascii="Times New Roman" w:hAnsi="Times New Roman"/>
          <w:sz w:val="20"/>
        </w:rPr>
        <w:t xml:space="preserve">OF </w:t>
      </w:r>
    </w:p>
    <w:p>
      <w:pPr>
        <w:pStyle w:val="TextBody"/>
        <w:bidi w:val="0"/>
        <w:spacing w:before="0" w:after="0"/>
        <w:jc w:val="center"/>
        <w:rPr>
          <w:rFonts w:ascii="Times New Roman" w:hAnsi="Times New Roman"/>
          <w:sz w:val="20"/>
        </w:rPr>
      </w:pPr>
      <w:r>
        <w:rPr>
          <w:rFonts w:ascii="Times New Roman" w:hAnsi="Times New Roman"/>
          <w:sz w:val="20"/>
        </w:rPr>
        <w:t xml:space="preserve">GALERA THERAPEUTICS, INC. </w:t>
      </w:r>
    </w:p>
    <w:p>
      <w:pPr>
        <w:pStyle w:val="TextBody"/>
        <w:bidi w:val="0"/>
        <w:spacing w:before="240" w:after="0"/>
        <w:jc w:val="center"/>
        <w:rPr>
          <w:rFonts w:ascii="Times New Roman" w:hAnsi="Times New Roman"/>
          <w:sz w:val="20"/>
        </w:rPr>
      </w:pPr>
      <w:r>
        <w:rPr>
          <w:rFonts w:ascii="Times New Roman" w:hAnsi="Times New Roman"/>
          <w:sz w:val="20"/>
        </w:rPr>
        <w:t xml:space="preserve">(Pursuant to Section 242 of the </w:t>
      </w:r>
    </w:p>
    <w:p>
      <w:pPr>
        <w:pStyle w:val="TextBody"/>
        <w:bidi w:val="0"/>
        <w:spacing w:before="0" w:after="0"/>
        <w:jc w:val="center"/>
        <w:rPr>
          <w:rFonts w:ascii="Times New Roman" w:hAnsi="Times New Roman"/>
          <w:sz w:val="20"/>
        </w:rPr>
      </w:pPr>
      <w:r>
        <w:rPr>
          <w:rFonts w:ascii="Times New Roman" w:hAnsi="Times New Roman"/>
          <w:sz w:val="20"/>
        </w:rPr>
        <w:t xml:space="preserve">General Corporation Law of the State of Delaware) </w:t>
      </w:r>
    </w:p>
    <w:p>
      <w:pPr>
        <w:pStyle w:val="TextBody"/>
        <w:bidi w:val="0"/>
        <w:spacing w:before="240" w:after="0"/>
        <w:jc w:val="left"/>
        <w:rPr>
          <w:rFonts w:ascii="Times New Roman" w:hAnsi="Times New Roman"/>
          <w:sz w:val="20"/>
        </w:rPr>
      </w:pPr>
      <w:r>
        <w:rPr>
          <w:rFonts w:ascii="Times New Roman" w:hAnsi="Times New Roman"/>
          <w:sz w:val="20"/>
        </w:rPr>
        <w:t>Galera Therapeutics, Inc. (the “</w:t>
      </w:r>
      <w:r>
        <w:rPr>
          <w:rFonts w:ascii="Times New Roman" w:hAnsi="Times New Roman"/>
          <w:b/>
          <w:i/>
          <w:sz w:val="20"/>
        </w:rPr>
        <w:t>Corporation</w:t>
      </w:r>
      <w:r>
        <w:rPr>
          <w:rFonts w:ascii="Times New Roman" w:hAnsi="Times New Roman"/>
          <w:sz w:val="20"/>
        </w:rPr>
        <w:t>”), a corporation organized and existing under and by virtue of the provisions of the General Corporation Law of the State of Delaware (the “</w:t>
      </w:r>
      <w:r>
        <w:rPr>
          <w:rFonts w:ascii="Times New Roman" w:hAnsi="Times New Roman"/>
          <w:b/>
          <w:i/>
          <w:sz w:val="20"/>
        </w:rPr>
        <w:t>Delaware General Corporation Law</w:t>
      </w:r>
      <w:r>
        <w:rPr>
          <w:rFonts w:ascii="Times New Roman" w:hAnsi="Times New Roman"/>
          <w:sz w:val="20"/>
        </w:rPr>
        <w:t xml:space="preserve">”), hereby certifies as follows: </w:t>
      </w:r>
    </w:p>
    <w:p>
      <w:pPr>
        <w:pStyle w:val="TextBody"/>
        <w:bidi w:val="0"/>
        <w:spacing w:before="240" w:after="0"/>
        <w:jc w:val="left"/>
        <w:rPr>
          <w:rFonts w:ascii="Times New Roman" w:hAnsi="Times New Roman"/>
          <w:sz w:val="20"/>
        </w:rPr>
      </w:pPr>
      <w:r>
        <w:rPr>
          <w:rFonts w:ascii="Times New Roman" w:hAnsi="Times New Roman"/>
          <w:sz w:val="20"/>
        </w:rPr>
        <w:t>1. This Certificate of Amendment amends the provisions of the Corporation’s Restated Certificate of Incorporation filed with the Secretary of State of the State of Delaware on November 12, 2019 (the “</w:t>
      </w:r>
      <w:r>
        <w:rPr>
          <w:rFonts w:ascii="Times New Roman" w:hAnsi="Times New Roman"/>
          <w:b/>
          <w:i/>
          <w:sz w:val="20"/>
        </w:rPr>
        <w:t>Certificate of Incorporation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2. Article FOURTH of the Certificate of Incorporation is hereby amended to include a new Subsection 5 of Section A as follows: </w:t>
      </w:r>
    </w:p>
    <w:p>
      <w:pPr>
        <w:pStyle w:val="TextBody"/>
        <w:bidi w:val="0"/>
        <w:spacing w:before="12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Reverse Stock Split</w:t>
      </w:r>
      <w:r>
        <w:rPr>
          <w:rFonts w:ascii="Times New Roman" w:hAnsi="Times New Roman"/>
          <w:sz w:val="20"/>
        </w:rPr>
        <w:t xml:space="preserve">. Upon the filing and effectiveness of this Certificate of Amendment to the Restated Certificate of Incorporation with the Secretary of State of the State of Delaware, every two hundred (200) shares of Common Stock either issued and outstanding or held by the Corporation in treasury stock immediately prior to the Effective Time (as defined below) shall, automatically and without any action on the part of the respective holders thereof, be combined and converted into one (1) share of Common Stock without increasing or decreasing the par value of any share (the “Reverse Stock Split”). No fractional shares shall be issued in connection with the Reverse Stock Split. Each holder who would otherwise be entitled to a fraction of a share of Common Stock upon the Reverse Stock Split (after aggregating all fractions of a share to which such stockholder would otherwise be entitled) shall, in lieu thereof, be entitled to receive a cash payment in an amount equal to the fraction to which the stockholder would otherwise be entitled multiplied by the closing price of the Corporation’s Common Stock as reported on the OTCQB Market on the last trading day prior to the Effective Time (with such closing price proportionally adjusted to give effect to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3. This amendment was duly adopted in accordance with the provisions of Sections 141 and 242 of the Delaware General Corporation Law. </w:t>
      </w:r>
    </w:p>
    <w:p>
      <w:pPr>
        <w:pStyle w:val="TextBody"/>
        <w:bidi w:val="0"/>
        <w:spacing w:before="120" w:after="0"/>
        <w:jc w:val="left"/>
        <w:rPr>
          <w:rFonts w:ascii="Times New Roman" w:hAnsi="Times New Roman"/>
          <w:sz w:val="20"/>
        </w:rPr>
      </w:pPr>
      <w:r>
        <w:rPr>
          <w:rFonts w:ascii="Times New Roman" w:hAnsi="Times New Roman"/>
          <w:sz w:val="20"/>
        </w:rPr>
        <w:t xml:space="preserve">4. All other provisions of the Certificate of Incorporation shall remain in full force and effect. </w:t>
      </w:r>
    </w:p>
    <w:p>
      <w:pPr>
        <w:pStyle w:val="TextBody"/>
        <w:bidi w:val="0"/>
        <w:spacing w:before="120" w:after="0"/>
        <w:jc w:val="left"/>
        <w:rPr>
          <w:rFonts w:ascii="Times New Roman" w:hAnsi="Times New Roman"/>
          <w:sz w:val="20"/>
        </w:rPr>
      </w:pPr>
      <w:r>
        <w:rPr>
          <w:rFonts w:ascii="Times New Roman" w:hAnsi="Times New Roman"/>
          <w:sz w:val="20"/>
        </w:rPr>
        <w:t>5. The foregoing amendment shall be effective as of 11:59 p.m., Eastern Time, on July 12, 2026 (the “</w:t>
      </w:r>
      <w:r>
        <w:rPr>
          <w:rFonts w:ascii="Times New Roman" w:hAnsi="Times New Roman"/>
          <w:b/>
          <w:i/>
          <w:sz w:val="20"/>
        </w:rPr>
        <w:t>Effective Time</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 * * *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Corporation has caused this Certificate of Amendment to be executed on this 9th day of July,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0"/>
        <w:gridCol w:w="60"/>
        <w:gridCol w:w="3332"/>
      </w:tblGrid>
      <w:tr>
        <w:trPr/>
        <w:tc>
          <w:tcPr>
            <w:tcW w:w="6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GALERA THERAPEUTICS, INC.</w:t>
            </w:r>
          </w:p>
        </w:tc>
      </w:tr>
      <w:tr>
        <w:trPr>
          <w:trHeight w:val="240" w:hRule="atLeast"/>
        </w:trPr>
        <w:tc>
          <w:tcPr>
            <w:tcW w:w="690" w:type="dxa"/>
            <w:tcBorders/>
            <w:vAlign w:val="center"/>
          </w:tcPr>
          <w:p>
            <w:pPr>
              <w:pStyle w:val="TableContents"/>
              <w:bidi w:val="0"/>
              <w:spacing w:before="0" w:after="283"/>
              <w:jc w:val="left"/>
              <w:rPr>
                <w:sz w:val="4"/>
                <w:szCs w:val="4"/>
              </w:rPr>
            </w:pPr>
            <w:r>
              <w:rPr>
                <w:sz w:val="4"/>
                <w:szCs w:val="4"/>
              </w:rPr>
            </w:r>
          </w:p>
        </w:tc>
        <w:tc>
          <w:tcPr>
            <w:tcW w:w="3392" w:type="dxa"/>
            <w:gridSpan w:val="2"/>
            <w:tcBorders/>
            <w:vAlign w:val="center"/>
          </w:tcPr>
          <w:p>
            <w:pPr>
              <w:pStyle w:val="TableContents"/>
              <w:bidi w:val="0"/>
              <w:spacing w:before="0" w:after="283"/>
              <w:jc w:val="left"/>
              <w:rPr>
                <w:sz w:val="4"/>
                <w:szCs w:val="4"/>
              </w:rPr>
            </w:pPr>
            <w:r>
              <w:rPr>
                <w:sz w:val="4"/>
                <w:szCs w:val="4"/>
              </w:rPr>
            </w:r>
          </w:p>
        </w:tc>
      </w:tr>
      <w:tr>
        <w:trPr/>
        <w:tc>
          <w:tcPr>
            <w:tcW w:w="69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 Mel Sorensen</w:t>
            </w:r>
          </w:p>
        </w:tc>
      </w:tr>
      <w:tr>
        <w:trPr/>
        <w:tc>
          <w:tcPr>
            <w:tcW w:w="69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2" w:type="dxa"/>
            <w:tcBorders/>
          </w:tcPr>
          <w:p>
            <w:pPr>
              <w:pStyle w:val="TableContents"/>
              <w:bidi w:val="0"/>
              <w:spacing w:before="0" w:after="283"/>
              <w:jc w:val="left"/>
              <w:rPr/>
            </w:pPr>
            <w:r>
              <w:rPr/>
              <w:t>J. Mel Sorensen</w:t>
            </w:r>
          </w:p>
        </w:tc>
      </w:tr>
      <w:tr>
        <w:trPr/>
        <w:tc>
          <w:tcPr>
            <w:tcW w:w="69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2" w:type="dxa"/>
            <w:tcBorders/>
          </w:tcPr>
          <w:p>
            <w:pPr>
              <w:pStyle w:val="TableContents"/>
              <w:bidi w:val="0"/>
              <w:spacing w:before="0" w:after="283"/>
              <w:jc w:val="left"/>
              <w:rPr/>
            </w:pPr>
            <w:r>
              <w:rPr/>
              <w:t>President and Chief Executive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1185</Words>
  <Characters>6326</Characters>
  <CharactersWithSpaces>7500</CharactersWithSpaces>
  <Paragraphs>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EX-3.1</dc:title>
</cp:coreProperties>
</file>