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154305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GALERA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38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001-39114</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46-1454898</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30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04"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101 Lindenwood Drive, Suite 225</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Malvern, PA 19355</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(610) 725-1500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include area code)</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2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13" w:lineRule="exact"/>
        <w:rPr>
          <w:rFonts w:ascii="MS PGothic" w:cs="MS PGothic" w:eastAsia="MS PGothic" w:hAnsi="MS PGothic"/>
          <w:sz w:val="13"/>
          <w:szCs w:val="13"/>
          <w:color w:val="auto"/>
        </w:rPr>
      </w:pPr>
    </w:p>
    <w:p>
      <w:pPr>
        <w:ind w:left="296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32"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GRTX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OTCQB Market</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Merger Agreement</w:t>
      </w:r>
    </w:p>
    <w:p>
      <w:pPr>
        <w:spacing w:after="0" w:line="80" w:lineRule="exact"/>
        <w:rPr>
          <w:sz w:val="20"/>
          <w:szCs w:val="20"/>
          <w:color w:val="auto"/>
        </w:rPr>
      </w:pPr>
    </w:p>
    <w:p>
      <w:pPr>
        <w:ind w:left="640" w:right="899"/>
        <w:spacing w:after="0" w:line="251" w:lineRule="auto"/>
        <w:rPr>
          <w:sz w:val="20"/>
          <w:szCs w:val="20"/>
          <w:color w:val="auto"/>
        </w:rPr>
      </w:pPr>
      <w:r>
        <w:rPr>
          <w:rFonts w:ascii="Times New Roman" w:cs="Times New Roman" w:eastAsia="Times New Roman" w:hAnsi="Times New Roman"/>
          <w:sz w:val="13"/>
          <w:szCs w:val="13"/>
          <w:color w:val="auto"/>
        </w:rPr>
        <w:t>On April 14, 2026, Galera Therapeutics, Inc., a Delaware corporation (“Galera”), entered into an Agreement and Plan of Merger (the “Merger Agreement”) by and among Galera, Obsidian Therapeutics, Inc., a Delaware corporation (“Obsidian”), Gazelle Parent, Inc., a Delaware corporation (“Parent”), Onyx MergerSub, Inc., a Delaware corporation and a direct, wholly owned subsidiary of Parent (“Obsidian Merger Sub”), and Gazelle Merger Subsidiary, Inc., a Delaware corporation and a direct, wholly owned subsidiary of Parent (“Galera Merger Sub”).</w:t>
      </w:r>
    </w:p>
    <w:p>
      <w:pPr>
        <w:spacing w:after="0" w:line="133"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Pursuant to the Merger Agreement, and upon the terms and subject to the satisfaction of the conditions described therein, Galera will be merged with and into Galera Merger Sub, with Galera surviving as a wholly owned subsidiary of Parent (the “Galera Merger”), and Obsidian will be merged with and into Obsidian Merger Sub, with Obsidian surviving as a wholly owned subsidiary of Parent (the “Obsidian Merger” and, together with the Galera Merger, the “Mergers” and, together with all of the other transactions contemplated by the Merger Agreement, the “Contemplated Transactions”). The Mergers are intended to qualify as a tax-free reorganization for U.S. federal income tax purposes.</w:t>
      </w:r>
    </w:p>
    <w:p>
      <w:pPr>
        <w:spacing w:after="0" w:line="134"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Subject to the terms and conditions of the Merger Agreement, (a) at the effective time of the Obsidian Merger (the “Obsidian Effective Time”), each then-outstanding share of common stock of Obsidian (each such share, an “Obsidian Share”) (excluding Obsidian Shares held by stockholders who have exercised and perfected appraisal rights for such shares) will be converted into the right to receive a number of shares of Parent Common Stock (as defined below), calculated in accordance with the exchange ratio as set forth in the Merger Agreement and (b) immediately following the Obsidian Effective Time, at the effective time of the Galera Merger (the “Galera Effective Time”) and following the conversion into Galera Common Stock (as defined below) of Galera’s Series B Non-Voting Convertible Preferred Stock, par value $0.001 per share and Series C Preferred Stock issued in connection with the Concurrent PIPE Financing (as defined below), each then-outstanding share of common stock of Galera, par value $0.001 per share (“Galera Common Stock”) (excluding any shares of Galera Common Stock held by stockholders who have exercised and perfected appraisal rights for such shares) will be converted into the right to receive a number of shares of Parent common stock, par value $0.001 per share (“Parent Common Stock”), calculated in accordance with the exchange ratio as set forth in the Merger Agreement. Each then-outstanding option to purchase shares of Galera Common Stock with an exercise price per share less than the closing trading price of a share of Galera Common Stock, on the last full trading day on which the Galera Common Stock is traded prior to the date on which the Galera Effective Time occurs will be converted into shares of Parent Common Stock, subject to adjustment as set forth in the Merger Agreement.</w:t>
      </w:r>
    </w:p>
    <w:p>
      <w:pPr>
        <w:spacing w:after="0" w:line="139"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At the Closing (as defined below), on a pro forma basis and based upon the number of shares of Parent Common Stock expected to be issued in connection with the Mergers and the Concurrent PIPE Financing, pre-merger equityholders of Obsidian are expected to own approximately 53.2% of the combined company, pre-merger equityholders of Galera (other than Investors (as defined below) in the Concurrent PIPE Financing) will own approximately 1.8% of the combined company and the Investors (as defined below) in the Concurrent PIPE Financing are expected to hold approximately 45.0% (assuming proceeds from the Concurrent PIPE Financing of $350.0 million), in each case, calculated on a fully diluted basis, using the treasury stock method, and subject to certain assumptions, including (i) a valuation for Galera of $13.8 million (assuming Galera has net cash (“Galera Net Cash”)) of $1.8 million as of the closing of the Mergers (the “Closing” and such date, the “Closing Date”), (ii) a valuation for Obsidian of $413.5 million, and (iii) the relative capitalization of Galera and Obsidian). The percentage of the combined company that each party’s equity holders will own following the Closing is subject to certain adjustments as described in the Merger Agreement, including the amount of the Final Galera Net Cash at Closing (as defined in the Merger Agreement).</w:t>
      </w:r>
    </w:p>
    <w:p>
      <w:pPr>
        <w:spacing w:after="0" w:line="136"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Merger Agreement contains representations and warranties of the parties regarding their respective businesses. The Merger Agreement also contains certain covenants made by each of Galera and Obsidian, including non-solicitation restrictions binding each party (and subject to certain exceptions as further described in the Merger Agreement) and its representatives and restrictions on the operation of each party’s business between the date of the Merger Agreement and the Closing.</w:t>
      </w:r>
    </w:p>
    <w:p>
      <w:pPr>
        <w:sectPr>
          <w:pgSz w:w="11900" w:h="16838" w:orient="portrait"/>
          <w:cols w:equalWidth="0" w:num="1">
            <w:col w:w="9019"/>
          </w:cols>
          <w:pgMar w:left="1440" w:top="229" w:right="1440" w:bottom="1440" w:gutter="0" w:footer="0" w:header="0"/>
        </w:sectPr>
      </w:pPr>
    </w:p>
    <w:bookmarkStart w:id="2" w:name="page3"/>
    <w:bookmarkEnd w:id="2"/>
    <w:p>
      <w:pPr>
        <w:ind w:left="640" w:right="71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connection with the Mergers, Parent will prepare and file a registration statement on Form S-4, which will contain a prospectus to register the shares of Parent Common Stock issued pursuant to the Merger Agreement (other than those shares of Parent Common Stock issuable upon conversion of the Series C Preferred Stock (as defined below) issued to the Investors in the Concurrent PIPE Financing (treatment of which is more fully described under the heading “Concurrent PIPE Financing” below)) (the “Form S-4”). Promptly after the Form S-4 is declared effective, Galera shall solicit written consents from the Galera stockholders (the “Galera Stockholder Written Consent”) and Obsidian shall solicit written consents from the Obsidian stockholders (the “Obsidian Stockholder Written Consent”) to seek approval of the Contemplated Transactions.</w:t>
      </w:r>
    </w:p>
    <w:p>
      <w:pPr>
        <w:spacing w:after="0" w:line="135"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2"/>
          <w:szCs w:val="12"/>
          <w:color w:val="auto"/>
        </w:rPr>
        <w:t>The Closing is subject to certain closing conditions, including: (i) the approval by the requisite Galera stockholders of the adoption and approval of the Merger Agreement and the transactions contemplated thereby; (ii) approval by the requisite Obsidian stockholders of the adoption and approval of the Merger Agreement and the transactions contemplated thereby; (iii) the existing shares of Galera Common Stock having been continually listed on the Over the Counter Quote Bulletin Board—Venture Market and the approval of the listing of the shares of Parent Common Stock to be issued in the Mergers on The Nasdaq Capital Market; (iv) the Securities Purchase Agreement (as defined below) being in full force and effect with cash proceeds of approximately $350 million having been received by Galera (subject to adjustment in accordance with the Merger Agreement); and (v) the effectiveness of the Form S-4. The Closing is also subject to other specified customary closing conditions of each party, including the accuracy of each party’s representations and warranties, subject to applicable materiality qualifications, compliance by each party with its covenants under the Merger Agreement in all material respects, respectively, delivery of certain customary closing documents by each of Galera and Obsidian, and no Galera material adverse effect or Obsidian material adverse effect having occurred since the date of the Merger Agreement that is continuing, respectively.</w:t>
      </w:r>
    </w:p>
    <w:p>
      <w:pPr>
        <w:spacing w:after="0" w:line="127"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Either party may be required to pay a termination fee in the event of termination of the Merger Agreement in certain circumstances. A termination fee of $1.25 million may become payable by Obsidian to Galera if the Merger Agreement is terminated by (a) Galera (i) as a result of a material breach of the Merger Agreement by Obsidian that has not been cured, (ii) if the Obsidian Stockholder Written Consent is not delivered to Galera within 15 days of the S-4 becoming effective or (iii) the board of directors of Obsidian or a committee thereof makes an Obsidian Board Adverse Recommendation Change (as defined in the Merger Agreement) or (b) by Obsidian concurrently with Obsidian’s entry into any Permitted Alternative Agreement (as defined in the Merger Agreement), subject to certain requirements set forth in the Merger Agreement. A termination fee of $0.75 million may become payable by Galera to Obsidian if the Merger Agreement is terminated (i) by Obsidian upon a material breach of the Merger Agreement by Galera or (ii) by Galera concurrently with Galera’s entry into any Permitted Alternative Agreement, subject to certain requirements set forth in the Merger Agreement.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Support Agreements</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Concurrently with the execution of the Merger Agreement, the executive officers and directors and certain other stockholders of Galera holding approximately 51.1% of the outstanding Galera capital stock entered into support agreements (the “Galera Support Agreements”) in favor of Obsidian, providing among other things, that such officers, directors and stockholders will vote all of their eligible shares of Galera capital stock, among other things: (i) in favor of approving the Mergers, the Galera Stockholder Written Consent and the other actions contemplated by the Merger Agreement and (ii) against any proposal made in opposition to, or in competition with, the Merger Agreement or the Mergers.</w:t>
      </w:r>
    </w:p>
    <w:p>
      <w:pPr>
        <w:spacing w:after="0" w:line="134"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Concurrently with the execution of the Merger Agreement, certain officers and directors and certain other stockholders of Obsidian holding approximately 62.8% of the outstanding Obsidian capital stock entered into support agreements (the “Obsidian Support Agreements” and, together with the Galera Support Agreements, the “Support Agreements”) in favor of Obsidian, providing among other things, that such officers, directors and stockholders will vote all of their shares of Obsidian capital stock, among other things: (i) in favor of approving the Mergers, the Obsidian Stockholder Written Consent and the other actions contemplated by the Merger Agreement and (ii) against any proposal made in opposition to, or in competition with, the Merger Agreement or the Mergers.</w:t>
      </w:r>
    </w:p>
    <w:p>
      <w:pPr>
        <w:sectPr>
          <w:pgSz w:w="11900" w:h="16838" w:orient="portrait"/>
          <w:cols w:equalWidth="0" w:num="1">
            <w:col w:w="9019"/>
          </w:cols>
          <w:pgMar w:left="1440" w:top="231" w:right="1440" w:bottom="1440" w:gutter="0" w:footer="0" w:header="0"/>
        </w:sectPr>
      </w:pPr>
    </w:p>
    <w:bookmarkStart w:id="3" w:name="page4"/>
    <w:bookmarkEnd w:id="3"/>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Lock-Up Agreements</w:t>
      </w:r>
    </w:p>
    <w:p>
      <w:pPr>
        <w:spacing w:after="0" w:line="80" w:lineRule="exact"/>
        <w:rPr>
          <w:sz w:val="20"/>
          <w:szCs w:val="20"/>
          <w:color w:val="auto"/>
        </w:rPr>
      </w:pPr>
    </w:p>
    <w:p>
      <w:pPr>
        <w:ind w:left="640" w:right="899"/>
        <w:spacing w:after="0" w:line="279" w:lineRule="auto"/>
        <w:rPr>
          <w:sz w:val="20"/>
          <w:szCs w:val="20"/>
          <w:color w:val="auto"/>
        </w:rPr>
      </w:pPr>
      <w:r>
        <w:rPr>
          <w:rFonts w:ascii="Times New Roman" w:cs="Times New Roman" w:eastAsia="Times New Roman" w:hAnsi="Times New Roman"/>
          <w:sz w:val="12"/>
          <w:szCs w:val="12"/>
          <w:color w:val="auto"/>
        </w:rPr>
        <w:t>Concurrently with the execution of the Merger Agreement, certain executive officers, directors and stockholders of Obsidian entered into lock-up agreements (the “Obsidian Lock-Up Agreements”), pursuant to which, subject to specified exceptions, such persons accepted certain restrictions on transfers of the shares of Galera Common Stock beneficially held by such persons or such persons’ family members (other than shares received as a result of the conversion of shares received in the Concurrent PIPE Financing) for the 180-day period following the Galera Effective Time.</w:t>
      </w:r>
    </w:p>
    <w:p>
      <w:pPr>
        <w:spacing w:after="0" w:line="116" w:lineRule="exact"/>
        <w:rPr>
          <w:sz w:val="20"/>
          <w:szCs w:val="20"/>
          <w:color w:val="auto"/>
        </w:rPr>
      </w:pPr>
    </w:p>
    <w:p>
      <w:pPr>
        <w:ind w:left="640" w:right="699"/>
        <w:spacing w:after="0" w:line="269" w:lineRule="auto"/>
        <w:rPr>
          <w:sz w:val="20"/>
          <w:szCs w:val="20"/>
          <w:color w:val="auto"/>
        </w:rPr>
      </w:pPr>
      <w:r>
        <w:rPr>
          <w:rFonts w:ascii="Times New Roman" w:cs="Times New Roman" w:eastAsia="Times New Roman" w:hAnsi="Times New Roman"/>
          <w:sz w:val="12"/>
          <w:szCs w:val="12"/>
          <w:color w:val="auto"/>
        </w:rPr>
        <w:t>The foregoing descriptions of the Merger Agreement, the form of Galera Support Agreement, form of the Obsidian Support Agreement and the form of Obsidian Lock-Up Agreement (collectively, the “Agreements”), do not purport to be complete and are qualified in their entirety by reference to those Agreements, which are filed as Exhibits 2.1, 10.1, 10.2 and 10.3, respectively, to this Current Report on Form 8-K and incorporated herein by reference. In particular, the assertions embodied in the representations and warranties contained in the Merger Agreement are qualified by information in confidential disclosure schedules provided by each of Parent, Galera and Obsidian in connection with the signing of the Merger Agreement. These confidential disclosure schedules contain information that modifies, qualifies and creates exceptions to the representations and warranties and certain covenants set forth in the Merger Agreement. Moreover, certain representations and warranties in the Agreements were used for the purpose of allocating risk between the parties thereto rather than establishing matters as facts. Accordingly, the representations and warranties may not describe the actual state of affairs at the date they were made or at any other time, and investors should not rely on them as statements of fact.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Galera Contingent Value Rights Agreement</w:t>
      </w:r>
    </w:p>
    <w:p>
      <w:pPr>
        <w:spacing w:after="0" w:line="80" w:lineRule="exact"/>
        <w:rPr>
          <w:sz w:val="20"/>
          <w:szCs w:val="20"/>
          <w:color w:val="auto"/>
        </w:rPr>
      </w:pPr>
    </w:p>
    <w:p>
      <w:pPr>
        <w:ind w:left="640" w:right="739"/>
        <w:spacing w:after="0" w:line="271" w:lineRule="auto"/>
        <w:rPr>
          <w:sz w:val="20"/>
          <w:szCs w:val="20"/>
          <w:color w:val="auto"/>
        </w:rPr>
      </w:pPr>
      <w:r>
        <w:rPr>
          <w:rFonts w:ascii="Times New Roman" w:cs="Times New Roman" w:eastAsia="Times New Roman" w:hAnsi="Times New Roman"/>
          <w:sz w:val="12"/>
          <w:szCs w:val="12"/>
          <w:color w:val="auto"/>
        </w:rPr>
        <w:t>In connection with the Mergers and immediately prior to the Galera Effective Time, Parent and Obsidian entered into a Contingent Value Rights Agreement (the “CVR Agreement”) with Equiniti Trust Company, LLC (“Rights Agent”), pursuant to which Galera common stockholders of record as of immediately prior to the Galera Effective Time (“CVR Holders”) received one contingent value right (each, a “CVR”) for each outstanding share of Galera common stock held by such stockholder as of such date. Each CVR represents the right to receive certain net proceeds from Parent upon the receipt by Parent or any affiliate of Parent (“Payment Obligor”) of gross proceeds paid to Parent from the license, sale, assignment, transfer or other disposition of the small molecule tilarganine, Galera’s legacy asset, or supportive-care products containing the small molecules GC4419 (avasopasem) or GC4711 (rucosopasem) (the “CVR Payment Amounts”), less permitted deductions as detailed in the CVR Agreement.</w:t>
      </w:r>
    </w:p>
    <w:p>
      <w:pPr>
        <w:spacing w:after="0" w:line="122"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If the CVR Payment Amounts become payable, the Rights Agent will distribute such amounts to the CVR Holders in accordance with the terms of the CVR Agreement. There can be no assurance that the CVR Holders will receive any payments with respect to the CVR Agreement.</w:t>
      </w:r>
    </w:p>
    <w:p>
      <w:pPr>
        <w:spacing w:after="0" w:line="122"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The CVRs are solely contractual rights and shall not constitute equity or ownership interests in Parent, Galera, Obsidian or any of their respective affiliates, and Parent, Galera and Obsidian shall cooperate, including by making changes to the CVR Agreement, as necessary to ensure that the CVRs are not subject to registration under the Securities Act of 1933, as amended, the Exchange Act of 1934, as amended, or applicable state securities or “blue sky” laws. The CVRs are not transferable except in accordance with the terms of the CVR Agreement.</w:t>
      </w:r>
    </w:p>
    <w:p>
      <w:pPr>
        <w:spacing w:after="0" w:line="133"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The foregoing description of the CVR Agreement contained herein does not purport to be complete and is qualified in its entirety by reference to the full text of the CVR Agreement, which is attached hereto as Exhibit 10.6 and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Concurrent PIPE Financing</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Concurrently with entering into the Merger Agreement, Parent and Galera entered into a securities purchase agreement (the “Securities Purchase Agreement”) with certain qualified institutional buyers and/or accredited investors (the “Investors”). Pursuant to the Securities Purchase Agreement, and subject to the terms and conditions therein, Galera agreed to sell, and the Investors agreed to purchase, immediately prior to the Obsidian Effective Time, shares of Galera’s Series C Non-Voting Convertible Preferred Stock, par value $0.001 per share (“Series C Preferred</w:t>
      </w:r>
    </w:p>
    <w:p>
      <w:pPr>
        <w:sectPr>
          <w:pgSz w:w="11900" w:h="16838" w:orient="portrait"/>
          <w:cols w:equalWidth="0" w:num="1">
            <w:col w:w="9019"/>
          </w:cols>
          <w:pgMar w:left="1440" w:top="229" w:right="1440" w:bottom="1440" w:gutter="0" w:footer="0" w:header="0"/>
        </w:sectPr>
      </w:pPr>
    </w:p>
    <w:bookmarkStart w:id="4" w:name="page5"/>
    <w:bookmarkEnd w:id="4"/>
    <w:p>
      <w:pPr>
        <w:ind w:left="640" w:right="65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Stock”), for an aggregate purchase price of $350.0 million (the “Concurrent PIPE Financing”). In the event Obsidian consummates a Permitted Obsidian Bridge Financing (as defined in the Merger Agreement) prior to the Obsidian Effective Time and an Investor funds a portion of such Permitted Obsidian Bridge Financing, such Investor’s aggregate purchase amount under the Securities Purchase Agreement shall be reduced dollar for dollar by an amount equal to such Investor’s Permitted Obsidian Bridge Financing funding amount. Shares of Series C Preferred Stock issued pursuant to the Concurrent PIPE Financing will be converted into shares of Galera Common Stock immediately after they are issued and then, in accordance with the terms of the Merger Agreement, will be converted into shares of Parent Common Stock at the Galera Effective Time. The closing of the Concurrent PIPE Financing is anticipated to occur on or about the date of the Closing of the Mergers, subject to the satisfaction of customary closing conditions.</w:t>
      </w:r>
    </w:p>
    <w:p>
      <w:pPr>
        <w:spacing w:after="0" w:line="122"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Parent and Galera have also entered into a registration rights agreement (the “Registration Rights Agreement”) with the Investors in connection with the Concurrent PIPE Financing. Pursuant to the Registration Rights Agreement, the combined company will prepare and file a resale registration statement with the Securities and Exchange Commission (the “SEC”) within 30 calendar days following the Closing Date. The combined company will use its reasonable best efforts to cause such registration statement to become effective at the earliest possible date.</w:t>
      </w:r>
    </w:p>
    <w:p>
      <w:pPr>
        <w:spacing w:after="0" w:line="13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The combined company will also agree to, among other things, indemnify the Investors, their members, shareholders, directors, officers, partners, employees, managers, agents, representatives and advisors under the Registration Rights Agreement from certain liabilities and pay all fees and expenses (excluding underwriting discounts and selling commissions and all similar fees and commissions relating to an Investor’s disposition of its Registrable Securities (as defined in the Registration Rights Agreement)) incident to the combined company’s obligations under the Registration Rights Agreement.</w:t>
      </w:r>
    </w:p>
    <w:p>
      <w:pPr>
        <w:spacing w:after="0" w:line="134"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The foregoing descriptions of the Securities Purchase Agreement and Registration Rights Agreement do not purport to be complete and are qualified in their entirety by reference to the Securities Purchase Agreement, as well as the Registration Rights Agreement, forms of which are filed as Exhibits 10.4 and 10.5, respectively, to this Current Report on Form 8-K and are incorporated herein by reference.</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3.02</w:t>
      </w:r>
      <w:r>
        <w:rPr>
          <w:sz w:val="20"/>
          <w:szCs w:val="20"/>
          <w:color w:val="auto"/>
        </w:rPr>
        <w:tab/>
      </w:r>
      <w:r>
        <w:rPr>
          <w:rFonts w:ascii="Times New Roman" w:cs="Times New Roman" w:eastAsia="Times New Roman" w:hAnsi="Times New Roman"/>
          <w:sz w:val="13"/>
          <w:szCs w:val="13"/>
          <w:b w:val="1"/>
          <w:bCs w:val="1"/>
          <w:color w:val="auto"/>
        </w:rPr>
        <w:t>Unregistered Sales of Equity Securities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154"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The shares to be issued in the Concurrent PIPE Financing will be issued in private placements exempt from registration under Section 4(a)(2) of the Securities Act, because the offer and sale of such securities does not involve a “public offering” as defined in Section 4(a)(2) of the Securities Act, and other applicable requirements were met. Neither this Current Report on Form 8-K nor any of the exhibits attached hereto is an offer to sell or the solicitation of an offer to buy any securities of Parent, Galera or Obsidian.</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5.01</w:t>
      </w:r>
      <w:r>
        <w:rPr>
          <w:sz w:val="20"/>
          <w:szCs w:val="20"/>
          <w:color w:val="auto"/>
        </w:rPr>
        <w:tab/>
      </w:r>
      <w:r>
        <w:rPr>
          <w:rFonts w:ascii="Times New Roman" w:cs="Times New Roman" w:eastAsia="Times New Roman" w:hAnsi="Times New Roman"/>
          <w:sz w:val="13"/>
          <w:szCs w:val="13"/>
          <w:b w:val="1"/>
          <w:bCs w:val="1"/>
          <w:color w:val="auto"/>
        </w:rPr>
        <w:t>Changes in Control of Registrant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256"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On April 14, 2026, Galera and Obsidian issued a press release announcing the execution of the Merger Agreement and the Securities Purchase Agreement. A copy of the press release is attached as Exhibit 99.1 to this Current Report on Form 8-K. In addition, Galera and Obsidian made available a presentation to be used with investors to discuss the proposed Mergers. A copy of the corporate presentation is attached hereto as Exhibit 99.2 to this Current Report on Form 8-K.</w:t>
      </w:r>
    </w:p>
    <w:p>
      <w:pPr>
        <w:spacing w:after="0" w:line="13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The information in Item 7.01 of this Current Report on Form 8-K, including the information in the press release attached as Exhibit 99.1 and the corporate presentation attached as Exhibit 99.2 to this Current Report on Form 8-K,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Exhibit 99.1 and Exhibit 99.2 to this Current Report on Form 8-K, shall not be deemed to be incorporated by reference in the filings of the Company under the Securities Act.</w:t>
      </w:r>
    </w:p>
    <w:p>
      <w:pPr>
        <w:sectPr>
          <w:pgSz w:w="11900" w:h="16838" w:orient="portrait"/>
          <w:cols w:equalWidth="0" w:num="1">
            <w:col w:w="9019"/>
          </w:cols>
          <w:pgMar w:left="1440" w:top="231"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Use of Website to Distribute Material Non-Public Information</w:t>
      </w:r>
    </w:p>
    <w:p>
      <w:pPr>
        <w:spacing w:after="0" w:line="80"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 xml:space="preserve">Galera’s Investor Relations website is </w:t>
      </w:r>
      <w:r>
        <w:rPr>
          <w:rFonts w:ascii="Times New Roman" w:cs="Times New Roman" w:eastAsia="Times New Roman" w:hAnsi="Times New Roman"/>
          <w:sz w:val="13"/>
          <w:szCs w:val="13"/>
          <w:u w:val="single" w:color="auto"/>
          <w:color w:val="auto"/>
        </w:rPr>
        <w:t>www.galeratx.com/</w:t>
      </w:r>
      <w:r>
        <w:rPr>
          <w:rFonts w:ascii="Times New Roman" w:cs="Times New Roman" w:eastAsia="Times New Roman" w:hAnsi="Times New Roman"/>
          <w:sz w:val="13"/>
          <w:szCs w:val="13"/>
          <w:color w:val="auto"/>
        </w:rPr>
        <w:t>. Galera uses its Investor Relations website as a means of disclosing material non-public information and for the purpose of complying with its disclosure obligations under Regulation FD. Therefore, Galera encourages investors, the media and others interested in Galera to review the information it posts on its Investor Relations website.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In connection with the proposed transactions between Obsidian and Galera, Galera and the newly-formed company will file relevant materials with the SEC. The newly-formed company will file a registration statement on Form S-4 that will include a proxy statement or information statement and prospectus relating to the proposed transaction, which will constitute a proxy statement or information statement of Galera and a prospectus of the newly-formed company (the “Prospectus”). Galera and the newly-formed company may also file other documents with the SEC regarding the proposed transaction. This document is not a substitute for the Prospectus or any other document which Galera or the newly-formed company may file with the SEC or send to stockholders of Galera or Obsidian in connection with the proposed transaction. The Prospectus will be mailed to stockholders of Galera.</w:t>
      </w:r>
    </w:p>
    <w:p>
      <w:pPr>
        <w:spacing w:after="0" w:line="2" w:lineRule="exact"/>
        <w:rPr>
          <w:sz w:val="20"/>
          <w:szCs w:val="20"/>
          <w:color w:val="auto"/>
        </w:rPr>
      </w:pPr>
    </w:p>
    <w:p>
      <w:pPr>
        <w:ind w:left="640" w:right="719"/>
        <w:spacing w:after="0" w:line="244" w:lineRule="auto"/>
        <w:rPr>
          <w:sz w:val="20"/>
          <w:szCs w:val="20"/>
          <w:color w:val="auto"/>
        </w:rPr>
      </w:pPr>
      <w:r>
        <w:rPr>
          <w:rFonts w:ascii="Times New Roman" w:cs="Times New Roman" w:eastAsia="Times New Roman" w:hAnsi="Times New Roman"/>
          <w:sz w:val="13"/>
          <w:szCs w:val="13"/>
          <w:color w:val="auto"/>
        </w:rPr>
        <w:t xml:space="preserve">INVESTORS AND SECURITYHOLDERS OF GALERA ARE URGED TO READ THE REGISTRATION STATEMENT AND THE PROSPECTUS AND ALL OTHER DOCUMENTS FILED OR THAT WILL BE FILED WITH THE SEC CAREFULLY AND IN THEIR ENTIRETY BECAUSE THEY WILL CONTAIN IMPORTANT INFORMATION ABOUT GALERA, OBSIDIAN AND THE PROPOSED TRANSACTION. Investors and security holders will be able to obtain free copies of the registration statement and the Prospectus (when available) and other documents filed with the SEC by Galera or the newly-formed company through the website maintained by the SEC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Copies of the documents filed with the SEC by Galera will be available free of charge on Galera’s website at </w:t>
      </w:r>
      <w:r>
        <w:rPr>
          <w:rFonts w:ascii="Times New Roman" w:cs="Times New Roman" w:eastAsia="Times New Roman" w:hAnsi="Times New Roman"/>
          <w:sz w:val="13"/>
          <w:szCs w:val="13"/>
          <w:u w:val="single" w:color="auto"/>
          <w:color w:val="auto"/>
        </w:rPr>
        <w:t>www. galeratx.com</w:t>
      </w:r>
      <w:r>
        <w:rPr>
          <w:rFonts w:ascii="Times New Roman" w:cs="Times New Roman" w:eastAsia="Times New Roman" w:hAnsi="Times New Roman"/>
          <w:sz w:val="13"/>
          <w:szCs w:val="13"/>
          <w:color w:val="auto"/>
        </w:rPr>
        <w:t>.</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This communication is for informational purposes only and not intended to and does not constitute an offer to subscribe for, buy or sell, or the solicitation of an offer to subscribe for, buy or sell, or an invitation to subscribe for, buy or sell, any securities of Galera, Obsidian or the newly-formed company,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79" w:firstLine="309"/>
        <w:spacing w:after="0" w:line="272" w:lineRule="auto"/>
        <w:rPr>
          <w:sz w:val="20"/>
          <w:szCs w:val="20"/>
          <w:color w:val="auto"/>
        </w:rPr>
      </w:pPr>
      <w:r>
        <w:rPr>
          <w:rFonts w:ascii="Times New Roman" w:cs="Times New Roman" w:eastAsia="Times New Roman" w:hAnsi="Times New Roman"/>
          <w:sz w:val="12"/>
          <w:szCs w:val="12"/>
          <w:color w:val="auto"/>
        </w:rPr>
        <w:t>This communication is not a solicitation of a proxy from any security holder of Galera or Obsidian. However, Galera and Obsidian and each of their respective directors and executive officers may be considered participants in the solicitation of proxies in connection with the proposed transaction. Information about the directors and executive officers of Galera may be found in its Annual Report on Form 10-K for the year ended December 31, 2025, which was filed with the SEC on March 19, 2026 and its proxy statement for its 2026 annual meeting of stockholders, which was filed with the SEC on April 10, 2026. Other information regarding the participants in the proxy solicitations and a description of their direct and indirect interests, by security holdings or otherwise, will be contained in the propsectus and other relevant materials to be filed with the SEC when they become available.</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Statements Regarding Forward-Looking Statements</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This Current Report on Form 8-K contains “forward-looking statements” within the meaning of the federal securities laws, including Section 27A of the Securities Act, and Section 21E of the Securities Exchange Act of 1934, as amended. In this context, forward-looking statements often address expected future business and financial performance and often contain words such as “expect,” “anticipate,” “intend,” “plan,” “believe,” “seek,” “will,” “would,” “target,” and similar expressions. Forward-looking statements by their nature address matters that involve risks and uncertainties, many of which are beyond Galera’s control and are not guarantees of future results, including statements about the potential transaction, the Concurrent PIPE Financing, future financial and operating results, and combined company strategy and operations. These forward-looking statements reflect management’s good faith judgment based on facts and factors currently known to management. Galera cautions investors not to place undue reliance on any such forward-looking statements.</w:t>
      </w:r>
    </w:p>
    <w:p>
      <w:pPr>
        <w:spacing w:after="0" w:line="139"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2"/>
          <w:szCs w:val="12"/>
          <w:color w:val="auto"/>
        </w:rPr>
        <w:t>These and other forward-looking statements are not guarantees of future results and are subject to risks, uncertainties and assumptions that could cause actual results to differ materially from those expressed in any forward-looking statements. Important factors that could cause actual results to differ materially include, but are not limited to: (i) the satisfaction or waiver of closing conditions to the potential transaction in the anticipated timeframe or at all; (ii) the risk that the potential transaction disrupts current plans and operations or diverts management’s attention from ongoing business operations and makes it more difficult to maintain business and operational relationships; (iii) the risk that the anticipated benefits and synergies of the potential transaction will not be realized or will take longer to realize than expected; (iv) the magnitude of transaction costs associated with the potential transaction and the Concurrent PIPE Financing; and (v) those additional risks and uncertainties set forth more fully under the caption “Risk Factors” in Galera’s most recently filed Annual Report on Form 10-K filed with the SEC, and elsewhere in Galera’s filings and reports with the SEC. Forward-looking statements necessarily involve assumptions that, if they never materialize or prove correct, could cause actual results to differ materially from those expressed or implied by such forward-looking statements. Forward-looking statements contained in this Current Report on Form 8-K are made as of the date hereof, and none of Parent, Galera or Obsidian undertake any duty to publicly update or revise any forward-looking statements, whether as a result of new information, future events or otherwise, except as may be required under applicable law.</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68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86"/>
        </w:trPr>
        <w:tc>
          <w:tcPr>
            <w:tcW w:w="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6860" w:type="dxa"/>
            <w:vAlign w:val="bottom"/>
          </w:tcPr>
          <w:p>
            <w:pPr>
              <w:ind w:left="34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4"/>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686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7"/>
              </w:rPr>
              <w:t>Agreement and Plan of Merger, dated as of April 14, 2026, by and among Obsidian Therapeutics, Inc., Galera Therapeutics, Inc.,</w:t>
            </w:r>
          </w:p>
        </w:tc>
      </w:tr>
      <w:tr>
        <w:trPr>
          <w:trHeight w:val="165"/>
        </w:trPr>
        <w:tc>
          <w:tcPr>
            <w:tcW w:w="660" w:type="dxa"/>
            <w:vAlign w:val="bottom"/>
          </w:tcPr>
          <w:p>
            <w:pPr>
              <w:spacing w:after="0"/>
              <w:rPr>
                <w:sz w:val="14"/>
                <w:szCs w:val="14"/>
                <w:color w:val="auto"/>
              </w:rPr>
            </w:pPr>
          </w:p>
        </w:tc>
        <w:tc>
          <w:tcPr>
            <w:tcW w:w="6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Gazelle Parent, Inc., Onyx MergerSub, Inc. and Gazelle Merger Subsidiary, Inc.</w:t>
            </w: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6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Form of Galera Stockholder Support Agreement</w:t>
            </w: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6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Form of Obsidian Stockholder Support Agreement</w:t>
            </w: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6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Form of Obsidian Lock-Up Agreement</w:t>
            </w:r>
          </w:p>
        </w:tc>
      </w:tr>
      <w:tr>
        <w:trPr>
          <w:trHeight w:val="215"/>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86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6"/>
              </w:rPr>
              <w:t>Form of Securities Purchase Agreement, dated as of April 14, 2026, by and among Gazelle Parent, Inc., Galera Therapeutics, Inc.,</w:t>
            </w:r>
          </w:p>
        </w:tc>
      </w:tr>
      <w:tr>
        <w:trPr>
          <w:trHeight w:val="165"/>
        </w:trPr>
        <w:tc>
          <w:tcPr>
            <w:tcW w:w="660" w:type="dxa"/>
            <w:vAlign w:val="bottom"/>
          </w:tcPr>
          <w:p>
            <w:pPr>
              <w:spacing w:after="0"/>
              <w:rPr>
                <w:sz w:val="14"/>
                <w:szCs w:val="14"/>
                <w:color w:val="auto"/>
              </w:rPr>
            </w:pPr>
          </w:p>
        </w:tc>
        <w:tc>
          <w:tcPr>
            <w:tcW w:w="6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Obsidian Therapeutics, Inc. and each of the Investors listed on Exhibit A thereto</w:t>
            </w:r>
          </w:p>
        </w:tc>
      </w:tr>
    </w:tbl>
    <w:p>
      <w:pPr>
        <w:sectPr>
          <w:pgSz w:w="11900" w:h="16838" w:orient="portrait"/>
          <w:cols w:equalWidth="0" w:num="1">
            <w:col w:w="9019"/>
          </w:cols>
          <w:pgMar w:left="1440" w:top="229" w:right="1440"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32"/>
        </w:trPr>
        <w:tc>
          <w:tcPr>
            <w:tcW w:w="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xml:space="preserve">                   </w:t>
            </w:r>
          </w:p>
        </w:tc>
        <w:tc>
          <w:tcPr>
            <w:tcW w:w="6920" w:type="dxa"/>
            <w:vAlign w:val="bottom"/>
          </w:tcPr>
          <w:p>
            <w:pPr>
              <w:spacing w:after="0"/>
              <w:rPr>
                <w:sz w:val="11"/>
                <w:szCs w:val="11"/>
                <w:color w:val="auto"/>
              </w:rPr>
            </w:pPr>
          </w:p>
        </w:tc>
      </w:tr>
      <w:tr>
        <w:trPr>
          <w:trHeight w:val="204"/>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692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Form of Registration Rights Agreement, dated as of April 14, 2026, by and among Parent, Galera Therapeutics, Inc. and each of the</w:t>
            </w:r>
          </w:p>
        </w:tc>
      </w:tr>
      <w:tr>
        <w:trPr>
          <w:trHeight w:val="165"/>
        </w:trPr>
        <w:tc>
          <w:tcPr>
            <w:tcW w:w="760" w:type="dxa"/>
            <w:vAlign w:val="bottom"/>
          </w:tcPr>
          <w:p>
            <w:pPr>
              <w:spacing w:after="0"/>
              <w:rPr>
                <w:sz w:val="14"/>
                <w:szCs w:val="14"/>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Investors signatory thereto</w:t>
            </w:r>
          </w:p>
        </w:tc>
      </w:tr>
      <w:tr>
        <w:trPr>
          <w:trHeight w:val="227"/>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6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Form of CVR Agreement</w:t>
            </w:r>
          </w:p>
        </w:tc>
      </w:tr>
      <w:tr>
        <w:trPr>
          <w:trHeight w:val="227"/>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6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Press Release issued on April 14, 2026</w:t>
            </w:r>
          </w:p>
        </w:tc>
      </w:tr>
      <w:tr>
        <w:trPr>
          <w:trHeight w:val="227"/>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6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Obsidian Therapeutics, Inc. Corporate Presentation, dated as of April 14, 2026</w:t>
            </w:r>
          </w:p>
        </w:tc>
      </w:tr>
      <w:tr>
        <w:trPr>
          <w:trHeight w:val="227"/>
        </w:trPr>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pacing w:after="0" w:line="158" w:lineRule="exact"/>
        <w:rPr>
          <w:sz w:val="20"/>
          <w:szCs w:val="20"/>
          <w:color w:val="auto"/>
        </w:rPr>
      </w:pPr>
    </w:p>
    <w:p>
      <w:pPr>
        <w:jc w:val="both"/>
        <w:ind w:left="780" w:right="1219" w:hanging="143"/>
        <w:spacing w:after="0" w:line="309" w:lineRule="auto"/>
        <w:tabs>
          <w:tab w:leader="none" w:pos="7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schedules and attachments have been omitted pursuant to Item 601(a)(5) of Regulation S-K. The Company agrees to provide, on a supplemental basis, a copy of any omitted schedules and attachments to the Securities and Exchange Commission or its staff upon request.</w:t>
      </w:r>
    </w:p>
    <w:p>
      <w:pPr>
        <w:sectPr>
          <w:pgSz w:w="11900" w:h="16838" w:orient="portrait"/>
          <w:cols w:equalWidth="0" w:num="1">
            <w:col w:w="9019"/>
          </w:cols>
          <w:pgMar w:left="1440" w:top="227"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Galera Therapeutics,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April 14,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 Mel Sorensen,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 Mel Sorensen, M.D.</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ectPr>
          <w:pgSz w:w="11900" w:h="16838" w:orient="portrait"/>
          <w:cols w:equalWidth="0" w:num="1">
            <w:col w:w="9019"/>
          </w:cols>
          <w:pgMar w:left="1440" w:top="229" w:right="1440" w:bottom="1440" w:gutter="0" w:footer="0" w:header="0"/>
        </w:sectPr>
      </w:pPr>
    </w:p>
    <w:bookmarkStart w:id="8" w:name="page9"/>
    <w:bookmarkEnd w:id="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by and among: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OBSIDIAN THERAPEUTICS,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GALERA THERAPEUTICS,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GAZELLE PARENT,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ONYX MERGERSUB,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GAZELLE MERGER SUBSIDIARY, INC.;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Dated as of April 14, 2026</w:t>
      </w:r>
    </w:p>
    <w:p>
      <w:pPr>
        <w:sectPr>
          <w:pgSz w:w="11900" w:h="16838" w:orient="portrait"/>
          <w:cols w:equalWidth="0" w:num="1">
            <w:col w:w="9019"/>
          </w:cols>
          <w:pgMar w:left="1440" w:top="229"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TABLE OF CONTENTS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50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Page</w:t>
            </w:r>
          </w:p>
        </w:tc>
      </w:tr>
      <w:tr>
        <w:trPr>
          <w:trHeight w:val="208"/>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 DEFINITIONS AND INTERPRETATIVE PROVISIONS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Definitions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Definitional and Interpretative Provisions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2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II THE MERGER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The Obsidian Merger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2.2</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The Galera Merger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2.3</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2.4</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Organizational Documents; Directors and Officers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2.5</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Conversion of Shares of Obsidian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2.6</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Conversion of Shares of Galera</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2.7</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Contingent Value Right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2.8</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 of Transfer Books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2.9</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Surrender of Obsidian Common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2.10</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Surrender of Galera Common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2.11</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Calculation of Net Cash</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2.12</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Further Action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2.13</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Withholding</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2.14</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Appraisal Rights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2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III REPRESENTATIONS AND WARRANTIES OF OBSIDIAN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Due Organization; Subsidiaries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Organizational Documents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3.3</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3.4</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Vote Required</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3.5</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3.6</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Capitalization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3.7</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Financial Statements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3.8</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Changes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3.9</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3.10</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Title to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3.11</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Real Property; Leasehold</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3.12</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Intellectual Property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3.13</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Agreements, Contracts and Commitments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3.14</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Permits; Restrictions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3.15</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Legal Proceedings; Orders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3.16</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3.17</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Employee and Labor Matters; Benefit Plans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3.18</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Environmental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3.19</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bl>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29" w:right="1440" w:bottom="1440" w:gutter="0" w:footer="0" w:header="0"/>
        </w:sectPr>
      </w:pPr>
    </w:p>
    <w:bookmarkStart w:id="10" w:name="page11"/>
    <w:bookmarkEnd w:id="10"/>
    <w:tbl>
      <w:tblPr>
        <w:tblLayout w:type="fixed"/>
        <w:tblInd w:w="640" w:type="dxa"/>
        <w:tblCellMar>
          <w:top w:w="0" w:type="dxa"/>
          <w:left w:w="0" w:type="dxa"/>
          <w:bottom w:w="0" w:type="dxa"/>
          <w:right w:w="0" w:type="dxa"/>
        </w:tblCellMar>
      </w:tblP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3.20</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3.21</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Financial Advisors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3.22</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Privacy and Data Security</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3.23</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27"/>
        </w:trPr>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IV REPRESENTATIONS AND WARRANTIES OF GALERA</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Due Organization; Subsidiaries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Organizational Documents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4.3</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4.4</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Vote Required</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4.5</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4.6</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Capitalization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4.7</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 Filings; Financial Statements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4.8</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Changes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4.9</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4.10</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Title to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4.11</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Real Property; Leasehold</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4.12</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Intellectual Property</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4.13</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Agreements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4.14</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Certain Agreements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4.15</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Permits; Restrictions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4.16</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Legal Proceedings; Orders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4.17</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4.18</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Employee and Labor Matters; Benefit Plans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4.19</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Environmental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4.20</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4.21</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4.22</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Financial Advisors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4.23</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Valid Issuance; No Bad Actor</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4.24</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Privacy and Data Security</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4.25</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Concurrent PIPE Financing</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4.26</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27"/>
        </w:trPr>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 REPRESENTATIONS AND WARRANTIES OF PARENT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Due Organization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5.3</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Vote of Parent Stockholders; Required Approval</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5.4</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Litigation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5.5</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Certain Agreements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5.6</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 Ownership</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5.7</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Brokers’ Fees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5.8</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165"/>
        </w:trPr>
        <w:tc>
          <w:tcPr>
            <w:tcW w:w="6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VI COVENANTS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Conduct of Obsidian’s 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6.2</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Conduct of Galera’s 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6.3</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Conduct of Parent’s 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6.4</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Access and Investigation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6.5</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Solicitation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6.6</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6.7</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Galera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6.8</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6.9</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Galera ESPP</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6.10</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Concurrent PIPE Financing</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27"/>
        </w:trPr>
        <w:tc>
          <w:tcPr>
            <w:tcW w:w="6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VII ADDITIONAL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Registration Statement; Information Statement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7.2</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Obsidian Stockholder Approval</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7.3</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Galera Stockholder Approval</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7.4</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Efforts; Regulatory Approvals; Transaction Litigation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7.5</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7.6</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Indemnification of Officers and Directors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7.7</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7.8</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Listing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7.9</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Legends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7.10</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Officers and Directors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7.11</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 of Certain Agreements and Rights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7.12</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16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7.13</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Allocation Certificate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7.14</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Galera Organizational Documents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7.15</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Obligations of Merger Subs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7.16</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Takeover Statutes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7.17</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Equity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7.18</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Galera 401(k)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227"/>
        </w:trPr>
        <w:tc>
          <w:tcPr>
            <w:tcW w:w="6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VIII CONDITIONS TO CONSUMMATION OF THE MERGER</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8.1</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Conditions Precedent to Obligations of Each Party</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8.2</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Conditions Precedent to Obligations of Obsidian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8.3</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Conditions Precedent to Obligations of Galera, Parent, Obsidian Merger Sub and Galera Merger Sub</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8.4</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Frustration of Closing Conditions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227"/>
        </w:trPr>
        <w:tc>
          <w:tcPr>
            <w:tcW w:w="6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IX CLOSING DELIVERIES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9.1</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 Deliveries of Obsidian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9.2</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 Deliveries of Galera</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307" w:right="1440" w:bottom="1440" w:gutter="0" w:footer="0" w:header="0"/>
        </w:sectPr>
      </w:pPr>
    </w:p>
    <w:bookmarkStart w:id="12" w:name="page13"/>
    <w:bookmarkEnd w:id="12"/>
    <w:tbl>
      <w:tblPr>
        <w:tblLayout w:type="fixed"/>
        <w:tblInd w:w="640" w:type="dxa"/>
        <w:tblCellMar>
          <w:top w:w="0" w:type="dxa"/>
          <w:left w:w="0" w:type="dxa"/>
          <w:bottom w:w="0" w:type="dxa"/>
          <w:right w:w="0" w:type="dxa"/>
        </w:tblCellMar>
      </w:tblPr>
      <w:tr>
        <w:trPr>
          <w:trHeight w:val="165"/>
        </w:trPr>
        <w:tc>
          <w:tcPr>
            <w:tcW w:w="6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X TERMINATION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215"/>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 of Termination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65"/>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10.3</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Expenses; Termination Fees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227"/>
        </w:trPr>
        <w:tc>
          <w:tcPr>
            <w:tcW w:w="6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XI GENERAL PROVISIONS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215"/>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11.1</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Non-Survival of Representations and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11.2</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Amendment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11.3</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Waiver</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11.4</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Entire Agreement; Counterparts; Exchanges by Electronic Transmission or Facsimile</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11.5</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Applicable Law; Jurisdiction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11.6</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Assignability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11.7</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11.8</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Cooperation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11.9</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Severability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5"/>
              </w:rPr>
              <w:t>11.10</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Remedies; Specific Performance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65"/>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5"/>
              </w:rPr>
              <w:t>11.11</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Third-Party Beneficiaries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bl>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b w:val="1"/>
          <w:bCs w:val="1"/>
          <w:color w:val="auto"/>
        </w:rPr>
        <w:t>EXHIBITS</w:t>
      </w:r>
    </w:p>
    <w:p>
      <w:pPr>
        <w:spacing w:after="0" w:line="89"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A</w:t>
      </w:r>
      <w:r>
        <w:rPr>
          <w:sz w:val="20"/>
          <w:szCs w:val="20"/>
          <w:color w:val="auto"/>
        </w:rPr>
        <w:tab/>
      </w:r>
      <w:r>
        <w:rPr>
          <w:rFonts w:ascii="Times New Roman" w:cs="Times New Roman" w:eastAsia="Times New Roman" w:hAnsi="Times New Roman"/>
          <w:sz w:val="12"/>
          <w:szCs w:val="12"/>
          <w:color w:val="auto"/>
        </w:rPr>
        <w:t>Form of Galera Stockholder Support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B</w:t>
      </w:r>
      <w:r>
        <w:rPr>
          <w:sz w:val="20"/>
          <w:szCs w:val="20"/>
          <w:color w:val="auto"/>
        </w:rPr>
        <w:tab/>
      </w:r>
      <w:r>
        <w:rPr>
          <w:rFonts w:ascii="Times New Roman" w:cs="Times New Roman" w:eastAsia="Times New Roman" w:hAnsi="Times New Roman"/>
          <w:sz w:val="12"/>
          <w:szCs w:val="12"/>
          <w:color w:val="auto"/>
        </w:rPr>
        <w:t>Form of Obsidian Stockholder Support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C</w:t>
      </w:r>
      <w:r>
        <w:rPr>
          <w:sz w:val="20"/>
          <w:szCs w:val="20"/>
          <w:color w:val="auto"/>
        </w:rPr>
        <w:tab/>
      </w:r>
      <w:r>
        <w:rPr>
          <w:rFonts w:ascii="Times New Roman" w:cs="Times New Roman" w:eastAsia="Times New Roman" w:hAnsi="Times New Roman"/>
          <w:sz w:val="12"/>
          <w:szCs w:val="12"/>
          <w:color w:val="auto"/>
        </w:rPr>
        <w:t>Form of Obsidian Lock-Up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D</w:t>
      </w:r>
      <w:r>
        <w:rPr>
          <w:sz w:val="20"/>
          <w:szCs w:val="20"/>
          <w:color w:val="auto"/>
        </w:rPr>
        <w:tab/>
      </w:r>
      <w:r>
        <w:rPr>
          <w:rFonts w:ascii="Times New Roman" w:cs="Times New Roman" w:eastAsia="Times New Roman" w:hAnsi="Times New Roman"/>
          <w:sz w:val="12"/>
          <w:szCs w:val="12"/>
          <w:color w:val="auto"/>
        </w:rPr>
        <w:t>Form of Obsidian Stockholder Written Consent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E</w:t>
      </w:r>
      <w:r>
        <w:rPr>
          <w:sz w:val="20"/>
          <w:szCs w:val="20"/>
          <w:color w:val="auto"/>
        </w:rPr>
        <w:tab/>
      </w:r>
      <w:r>
        <w:rPr>
          <w:rFonts w:ascii="Times New Roman" w:cs="Times New Roman" w:eastAsia="Times New Roman" w:hAnsi="Times New Roman"/>
          <w:sz w:val="12"/>
          <w:szCs w:val="12"/>
          <w:color w:val="auto"/>
        </w:rPr>
        <w:t>Form of Galera Stockholder Written Consent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F</w:t>
      </w:r>
      <w:r>
        <w:rPr>
          <w:sz w:val="20"/>
          <w:szCs w:val="20"/>
          <w:color w:val="auto"/>
        </w:rPr>
        <w:tab/>
      </w:r>
      <w:r>
        <w:rPr>
          <w:rFonts w:ascii="Times New Roman" w:cs="Times New Roman" w:eastAsia="Times New Roman" w:hAnsi="Times New Roman"/>
          <w:sz w:val="12"/>
          <w:szCs w:val="12"/>
          <w:color w:val="auto"/>
        </w:rPr>
        <w:t>Form of Securities Purchase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G</w:t>
      </w:r>
      <w:r>
        <w:rPr>
          <w:sz w:val="20"/>
          <w:szCs w:val="20"/>
          <w:color w:val="auto"/>
        </w:rPr>
        <w:tab/>
      </w:r>
      <w:r>
        <w:rPr>
          <w:rFonts w:ascii="Times New Roman" w:cs="Times New Roman" w:eastAsia="Times New Roman" w:hAnsi="Times New Roman"/>
          <w:sz w:val="12"/>
          <w:szCs w:val="12"/>
          <w:color w:val="auto"/>
        </w:rPr>
        <w:t>CVR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iv</w:t>
      </w:r>
    </w:p>
    <w:p>
      <w:pPr>
        <w:sectPr>
          <w:pgSz w:w="11900" w:h="16838" w:orient="portrait"/>
          <w:cols w:equalWidth="0" w:num="1">
            <w:col w:w="9019"/>
          </w:cols>
          <w:pgMar w:left="1440" w:top="307"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w:t>
      </w:r>
      <w:r>
        <w:rPr>
          <w:rFonts w:ascii="Times New Roman" w:cs="Times New Roman" w:eastAsia="Times New Roman" w:hAnsi="Times New Roman"/>
          <w:sz w:val="10"/>
          <w:szCs w:val="10"/>
          <w:color w:val="auto"/>
        </w:rPr>
        <w:t>HIS</w:t>
      </w:r>
      <w:r>
        <w:rPr>
          <w:rFonts w:ascii="Times New Roman" w:cs="Times New Roman" w:eastAsia="Times New Roman" w:hAnsi="Times New Roman"/>
          <w:sz w:val="13"/>
          <w:szCs w:val="13"/>
          <w:color w:val="auto"/>
        </w:rPr>
        <w:t xml:space="preserve"> A</w:t>
      </w:r>
      <w:r>
        <w:rPr>
          <w:rFonts w:ascii="Times New Roman" w:cs="Times New Roman" w:eastAsia="Times New Roman" w:hAnsi="Times New Roman"/>
          <w:sz w:val="10"/>
          <w:szCs w:val="10"/>
          <w:color w:val="auto"/>
        </w:rPr>
        <w:t>GREEMENT AND</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10"/>
          <w:szCs w:val="10"/>
          <w:color w:val="auto"/>
        </w:rPr>
        <w:t>LAN OF</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made and entered into as of April 14, 2026, by and among O</w:t>
      </w:r>
      <w:r>
        <w:rPr>
          <w:rFonts w:ascii="Times New Roman" w:cs="Times New Roman" w:eastAsia="Times New Roman" w:hAnsi="Times New Roman"/>
          <w:sz w:val="10"/>
          <w:szCs w:val="10"/>
          <w:color w:val="auto"/>
        </w:rPr>
        <w:t>BSIDIAN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w:t>
      </w:r>
      <w:r>
        <w:rPr>
          <w:rFonts w:ascii="Times New Roman" w:cs="Times New Roman" w:eastAsia="Times New Roman" w:hAnsi="Times New Roman"/>
          <w:sz w:val="10"/>
          <w:szCs w:val="10"/>
          <w:color w:val="auto"/>
        </w:rPr>
        <w:t>HERAPEUTICS</w:t>
      </w:r>
      <w:r>
        <w:rPr>
          <w:rFonts w:ascii="Times New Roman" w:cs="Times New Roman" w:eastAsia="Times New Roman" w:hAnsi="Times New Roman"/>
          <w:sz w:val="13"/>
          <w:szCs w:val="13"/>
          <w:color w:val="auto"/>
        </w:rPr>
        <w:t>, 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xml:space="preserve">., a Delaware corporation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w:t>
      </w:r>
      <w:r>
        <w:rPr>
          <w:rFonts w:ascii="Times New Roman" w:cs="Times New Roman" w:eastAsia="Times New Roman" w:hAnsi="Times New Roman"/>
          <w:sz w:val="13"/>
          <w:szCs w:val="13"/>
          <w:color w:val="auto"/>
        </w:rPr>
        <w:t>”), G</w:t>
      </w:r>
      <w:r>
        <w:rPr>
          <w:rFonts w:ascii="Times New Roman" w:cs="Times New Roman" w:eastAsia="Times New Roman" w:hAnsi="Times New Roman"/>
          <w:sz w:val="10"/>
          <w:szCs w:val="10"/>
          <w:color w:val="auto"/>
        </w:rPr>
        <w:t>ALERA</w:t>
      </w:r>
      <w:r>
        <w:rPr>
          <w:rFonts w:ascii="Times New Roman" w:cs="Times New Roman" w:eastAsia="Times New Roman" w:hAnsi="Times New Roman"/>
          <w:sz w:val="13"/>
          <w:szCs w:val="13"/>
          <w:color w:val="auto"/>
        </w:rPr>
        <w:t xml:space="preserve"> T</w:t>
      </w:r>
      <w:r>
        <w:rPr>
          <w:rFonts w:ascii="Times New Roman" w:cs="Times New Roman" w:eastAsia="Times New Roman" w:hAnsi="Times New Roman"/>
          <w:sz w:val="10"/>
          <w:szCs w:val="10"/>
          <w:color w:val="auto"/>
        </w:rPr>
        <w:t>HERAPEUTICS</w:t>
      </w:r>
      <w:r>
        <w:rPr>
          <w:rFonts w:ascii="Times New Roman" w:cs="Times New Roman" w:eastAsia="Times New Roman" w:hAnsi="Times New Roman"/>
          <w:sz w:val="13"/>
          <w:szCs w:val="13"/>
          <w:color w:val="auto"/>
        </w:rPr>
        <w:t>, 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xml:space="preserve">., a Delaware corporation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w:t>
      </w:r>
      <w:r>
        <w:rPr>
          <w:rFonts w:ascii="Times New Roman" w:cs="Times New Roman" w:eastAsia="Times New Roman" w:hAnsi="Times New Roman"/>
          <w:sz w:val="13"/>
          <w:szCs w:val="13"/>
          <w:color w:val="auto"/>
        </w:rPr>
        <w:t>”), G</w:t>
      </w:r>
      <w:r>
        <w:rPr>
          <w:rFonts w:ascii="Times New Roman" w:cs="Times New Roman" w:eastAsia="Times New Roman" w:hAnsi="Times New Roman"/>
          <w:sz w:val="10"/>
          <w:szCs w:val="10"/>
          <w:color w:val="auto"/>
        </w:rPr>
        <w:t>AZELLE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10"/>
          <w:szCs w:val="10"/>
          <w:color w:val="auto"/>
        </w:rPr>
        <w:t>ARENT</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O</w:t>
      </w:r>
      <w:r>
        <w:rPr>
          <w:rFonts w:ascii="Times New Roman" w:cs="Times New Roman" w:eastAsia="Times New Roman" w:hAnsi="Times New Roman"/>
          <w:sz w:val="10"/>
          <w:szCs w:val="10"/>
          <w:color w:val="auto"/>
        </w:rPr>
        <w:t>NYX</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3"/>
          <w:szCs w:val="13"/>
          <w:color w:val="auto"/>
        </w:rPr>
        <w:t>S</w:t>
      </w:r>
      <w:r>
        <w:rPr>
          <w:rFonts w:ascii="Times New Roman" w:cs="Times New Roman" w:eastAsia="Times New Roman" w:hAnsi="Times New Roman"/>
          <w:sz w:val="10"/>
          <w:szCs w:val="10"/>
          <w:color w:val="auto"/>
        </w:rPr>
        <w:t>UB</w:t>
      </w:r>
      <w:r>
        <w:rPr>
          <w:rFonts w:ascii="Times New Roman" w:cs="Times New Roman" w:eastAsia="Times New Roman" w:hAnsi="Times New Roman"/>
          <w:sz w:val="13"/>
          <w:szCs w:val="13"/>
          <w:color w:val="auto"/>
        </w:rPr>
        <w:t>, 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a Delaware corporation and a direct, wholly owned subsidiary of Parent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Merger Sub</w:t>
      </w:r>
      <w:r>
        <w:rPr>
          <w:rFonts w:ascii="Times New Roman" w:cs="Times New Roman" w:eastAsia="Times New Roman" w:hAnsi="Times New Roman"/>
          <w:sz w:val="13"/>
          <w:szCs w:val="13"/>
          <w:color w:val="auto"/>
        </w:rPr>
        <w:t>”), and G</w:t>
      </w:r>
      <w:r>
        <w:rPr>
          <w:rFonts w:ascii="Times New Roman" w:cs="Times New Roman" w:eastAsia="Times New Roman" w:hAnsi="Times New Roman"/>
          <w:sz w:val="10"/>
          <w:szCs w:val="10"/>
          <w:color w:val="auto"/>
        </w:rPr>
        <w:t>AZELLE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w:t>
      </w:r>
      <w:r>
        <w:rPr>
          <w:rFonts w:ascii="Times New Roman" w:cs="Times New Roman" w:eastAsia="Times New Roman" w:hAnsi="Times New Roman"/>
          <w:sz w:val="10"/>
          <w:szCs w:val="10"/>
          <w:color w:val="auto"/>
        </w:rPr>
        <w:t>UBSIDIARY</w:t>
      </w:r>
      <w:r>
        <w:rPr>
          <w:rFonts w:ascii="Times New Roman" w:cs="Times New Roman" w:eastAsia="Times New Roman" w:hAnsi="Times New Roman"/>
          <w:sz w:val="13"/>
          <w:szCs w:val="13"/>
          <w:color w:val="auto"/>
        </w:rPr>
        <w:t>, 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a Delaware corporation and a direct, wholly owned subsidiary of Parent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Merger Sub</w:t>
      </w:r>
      <w:r>
        <w:rPr>
          <w:rFonts w:ascii="Times New Roman" w:cs="Times New Roman" w:eastAsia="Times New Roman" w:hAnsi="Times New Roman"/>
          <w:sz w:val="13"/>
          <w:szCs w:val="13"/>
          <w:color w:val="auto"/>
        </w:rPr>
        <w:t>”). Certain capitalized terms used in this Agreement are defined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 WHEREAS, Obsidian and Galera intend to effect a strategic combination of their businesses in accordance with this Agreement and Delaware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Law;</w:t>
      </w:r>
    </w:p>
    <w:p>
      <w:pPr>
        <w:spacing w:after="0" w:line="141" w:lineRule="exact"/>
        <w:rPr>
          <w:sz w:val="20"/>
          <w:szCs w:val="20"/>
          <w:color w:val="auto"/>
        </w:rPr>
      </w:pPr>
    </w:p>
    <w:p>
      <w:pPr>
        <w:ind w:left="640" w:right="1119" w:firstLine="309"/>
        <w:spacing w:after="0" w:line="267" w:lineRule="auto"/>
        <w:rPr>
          <w:sz w:val="20"/>
          <w:szCs w:val="20"/>
          <w:color w:val="auto"/>
        </w:rPr>
      </w:pPr>
      <w:r>
        <w:rPr>
          <w:rFonts w:ascii="Times New Roman" w:cs="Times New Roman" w:eastAsia="Times New Roman" w:hAnsi="Times New Roman"/>
          <w:sz w:val="13"/>
          <w:szCs w:val="13"/>
          <w:color w:val="auto"/>
        </w:rPr>
        <w:t>B. WHEREAS, on April 10, 2026, Galera formed Parent and each of Obsidian and Galera have determined that from and after the Galera Effective Time on the Closing Date, Parent shall act as the parent company for their combined businesses;</w:t>
      </w:r>
    </w:p>
    <w:p>
      <w:pPr>
        <w:spacing w:after="0" w:line="122" w:lineRule="exact"/>
        <w:rPr>
          <w:sz w:val="20"/>
          <w:szCs w:val="20"/>
          <w:color w:val="auto"/>
        </w:rPr>
      </w:pPr>
    </w:p>
    <w:p>
      <w:pPr>
        <w:jc w:val="both"/>
        <w:ind w:left="640" w:right="979" w:firstLine="309"/>
        <w:spacing w:after="0" w:line="255" w:lineRule="auto"/>
        <w:rPr>
          <w:sz w:val="20"/>
          <w:szCs w:val="20"/>
          <w:color w:val="auto"/>
        </w:rPr>
      </w:pPr>
      <w:r>
        <w:rPr>
          <w:rFonts w:ascii="Times New Roman" w:cs="Times New Roman" w:eastAsia="Times New Roman" w:hAnsi="Times New Roman"/>
          <w:sz w:val="13"/>
          <w:szCs w:val="13"/>
          <w:color w:val="auto"/>
        </w:rPr>
        <w:t>C. WHEREAS, Obsidian and Parent intend, upon the terms and subject to the conditions set forth in this Agreement and in accordance with Delaware Law, to effect a merger of Obsidian Merger Sub with and into Obsidian (the “</w:t>
      </w:r>
      <w:r>
        <w:rPr>
          <w:rFonts w:ascii="Times New Roman" w:cs="Times New Roman" w:eastAsia="Times New Roman" w:hAnsi="Times New Roman"/>
          <w:sz w:val="13"/>
          <w:szCs w:val="13"/>
          <w:b w:val="1"/>
          <w:bCs w:val="1"/>
          <w:color w:val="auto"/>
        </w:rPr>
        <w:t>Obsidian Merger</w:t>
      </w:r>
      <w:r>
        <w:rPr>
          <w:rFonts w:ascii="Times New Roman" w:cs="Times New Roman" w:eastAsia="Times New Roman" w:hAnsi="Times New Roman"/>
          <w:sz w:val="13"/>
          <w:szCs w:val="13"/>
          <w:color w:val="auto"/>
        </w:rPr>
        <w:t>”). Upon consummation of the Obsidian Merger, Obsidian Merger Sub will cease to exist, and Obsidian will become a direct wholly owned Subsidiary of Parent;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 WHEREAS, Galera and Parent intend, upon the terms and subject to the conditions set forth in this Agreement and in accordance with</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Delaware Law, to effect a merger of Galera Merger Sub with and into Galera (the “</w:t>
      </w:r>
      <w:r>
        <w:rPr>
          <w:rFonts w:ascii="Times New Roman" w:cs="Times New Roman" w:eastAsia="Times New Roman" w:hAnsi="Times New Roman"/>
          <w:sz w:val="13"/>
          <w:szCs w:val="13"/>
          <w:b w:val="1"/>
          <w:bCs w:val="1"/>
          <w:color w:val="auto"/>
        </w:rPr>
        <w:t>Galera Merger</w:t>
      </w:r>
      <w:r>
        <w:rPr>
          <w:rFonts w:ascii="Times New Roman" w:cs="Times New Roman" w:eastAsia="Times New Roman" w:hAnsi="Times New Roman"/>
          <w:sz w:val="13"/>
          <w:szCs w:val="13"/>
          <w:color w:val="auto"/>
        </w:rPr>
        <w:t>” and together with the Obsidian Merger,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Mergers</w:t>
      </w:r>
      <w:r>
        <w:rPr>
          <w:rFonts w:ascii="Times New Roman" w:cs="Times New Roman" w:eastAsia="Times New Roman" w:hAnsi="Times New Roman"/>
          <w:sz w:val="12"/>
          <w:szCs w:val="12"/>
          <w:color w:val="auto"/>
        </w:rPr>
        <w:t>”) as soon as reasonably practicable following the Obsidian Effective Time. Upon consummation of the Galera Merger, Galera Merger Sub</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will cease to exist, and Galera will become a direct wholly owned Subsidiary of Parent;</w:t>
      </w:r>
    </w:p>
    <w:p>
      <w:pPr>
        <w:spacing w:after="0" w:line="139"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E. WHEREAS, the board of directors of Obsidian (the “</w:t>
      </w:r>
      <w:r>
        <w:rPr>
          <w:rFonts w:ascii="Times New Roman" w:cs="Times New Roman" w:eastAsia="Times New Roman" w:hAnsi="Times New Roman"/>
          <w:sz w:val="13"/>
          <w:szCs w:val="13"/>
          <w:b w:val="1"/>
          <w:bCs w:val="1"/>
          <w:color w:val="auto"/>
        </w:rPr>
        <w:t>Obsidian Board</w:t>
      </w:r>
      <w:r>
        <w:rPr>
          <w:rFonts w:ascii="Times New Roman" w:cs="Times New Roman" w:eastAsia="Times New Roman" w:hAnsi="Times New Roman"/>
          <w:sz w:val="13"/>
          <w:szCs w:val="13"/>
          <w:color w:val="auto"/>
        </w:rPr>
        <w:t>”) has (i) determined that the Contemplated Transactions are fair to, advisable and in the best interests of Obsidian and its stockholders, (ii) approved and declared advisable this Agreement and the Contemplated Transactions and the other actions contemplated by this Agreement, and (iii) determined to recommend, upon the terms and subject to the conditions set forth in this Agreement, that the stockholders of Obsidian vote to approve Obsidian Merger;</w:t>
      </w:r>
    </w:p>
    <w:p>
      <w:pPr>
        <w:spacing w:after="0" w:line="130"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F. WHEREAS, the board of directors of Galera (the “</w:t>
      </w:r>
      <w:r>
        <w:rPr>
          <w:rFonts w:ascii="Times New Roman" w:cs="Times New Roman" w:eastAsia="Times New Roman" w:hAnsi="Times New Roman"/>
          <w:sz w:val="13"/>
          <w:szCs w:val="13"/>
          <w:b w:val="1"/>
          <w:bCs w:val="1"/>
          <w:color w:val="auto"/>
        </w:rPr>
        <w:t>Galera Board</w:t>
      </w:r>
      <w:r>
        <w:rPr>
          <w:rFonts w:ascii="Times New Roman" w:cs="Times New Roman" w:eastAsia="Times New Roman" w:hAnsi="Times New Roman"/>
          <w:sz w:val="13"/>
          <w:szCs w:val="13"/>
          <w:color w:val="auto"/>
        </w:rPr>
        <w:t>”) has (i) determined that the Contemplated Transactions are fair to, advisable and in the best interests of Galera and its stockholders, (ii) approved and declared advisable this Agreement and the Contemplated Transactions and the other actions contemplated by this Agreement, and (iii) determined to recommend, upon the terms and subject to the conditions set forth in this Agreement, that the stockholders of Galera vote to approve the Galera Merger (the “</w:t>
      </w:r>
      <w:r>
        <w:rPr>
          <w:rFonts w:ascii="Times New Roman" w:cs="Times New Roman" w:eastAsia="Times New Roman" w:hAnsi="Times New Roman"/>
          <w:sz w:val="13"/>
          <w:szCs w:val="13"/>
          <w:b w:val="1"/>
          <w:bCs w:val="1"/>
          <w:color w:val="auto"/>
        </w:rPr>
        <w:t>Galera Stockholder Matters</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4" w:name="page15"/>
    <w:bookmarkEnd w:id="14"/>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 WHEREAS, the board of directors of Parent (the “</w:t>
      </w:r>
      <w:r>
        <w:rPr>
          <w:rFonts w:ascii="Times New Roman" w:cs="Times New Roman" w:eastAsia="Times New Roman" w:hAnsi="Times New Roman"/>
          <w:sz w:val="12"/>
          <w:szCs w:val="12"/>
          <w:b w:val="1"/>
          <w:bCs w:val="1"/>
          <w:color w:val="auto"/>
        </w:rPr>
        <w:t>Parent Board</w:t>
      </w:r>
      <w:r>
        <w:rPr>
          <w:rFonts w:ascii="Times New Roman" w:cs="Times New Roman" w:eastAsia="Times New Roman" w:hAnsi="Times New Roman"/>
          <w:sz w:val="12"/>
          <w:szCs w:val="12"/>
          <w:color w:val="auto"/>
        </w:rPr>
        <w:t>”) has (i) determined that the Contemplated Transactions are fair to, advisable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and in the best interests of Parent and its stockholders, (ii) approved and declared advisable this Agreement and the Contemplated Transactions,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including the issuance of shares of Parent Common Stock to the stockholders of Obsidian and Galera pursuant to the terms of this Agreement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Stock Issuance</w:t>
      </w:r>
      <w:r>
        <w:rPr>
          <w:rFonts w:ascii="Times New Roman" w:cs="Times New Roman" w:eastAsia="Times New Roman" w:hAnsi="Times New Roman"/>
          <w:sz w:val="12"/>
          <w:szCs w:val="12"/>
          <w:color w:val="auto"/>
        </w:rPr>
        <w:t>”), and (iii) determined to recommend, upon the terms and subject to the conditions set forth in this Agreement, that the stockholders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 vote to (a) approve the Stock Issuance and (b) adopt this Agreement and thereby approve the Contemplated Transactions;</w:t>
      </w:r>
    </w:p>
    <w:p>
      <w:pPr>
        <w:spacing w:after="0" w:line="139" w:lineRule="exact"/>
        <w:rPr>
          <w:sz w:val="20"/>
          <w:szCs w:val="20"/>
          <w:color w:val="auto"/>
        </w:rPr>
      </w:pPr>
    </w:p>
    <w:p>
      <w:pPr>
        <w:ind w:left="640" w:right="719" w:firstLine="309"/>
        <w:spacing w:after="0" w:line="276" w:lineRule="auto"/>
        <w:rPr>
          <w:sz w:val="20"/>
          <w:szCs w:val="20"/>
          <w:color w:val="auto"/>
        </w:rPr>
      </w:pPr>
      <w:r>
        <w:rPr>
          <w:rFonts w:ascii="Times New Roman" w:cs="Times New Roman" w:eastAsia="Times New Roman" w:hAnsi="Times New Roman"/>
          <w:sz w:val="12"/>
          <w:szCs w:val="12"/>
          <w:color w:val="auto"/>
        </w:rPr>
        <w:t>H. WHEREAS, the board of directors of Obsidian Merger Sub (the “</w:t>
      </w:r>
      <w:r>
        <w:rPr>
          <w:rFonts w:ascii="Times New Roman" w:cs="Times New Roman" w:eastAsia="Times New Roman" w:hAnsi="Times New Roman"/>
          <w:sz w:val="12"/>
          <w:szCs w:val="12"/>
          <w:b w:val="1"/>
          <w:bCs w:val="1"/>
          <w:color w:val="auto"/>
        </w:rPr>
        <w:t>Obsidian Merger Sub Board</w:t>
      </w:r>
      <w:r>
        <w:rPr>
          <w:rFonts w:ascii="Times New Roman" w:cs="Times New Roman" w:eastAsia="Times New Roman" w:hAnsi="Times New Roman"/>
          <w:sz w:val="12"/>
          <w:szCs w:val="12"/>
          <w:color w:val="auto"/>
        </w:rPr>
        <w:t>”) and the board of directors of Galera Merger Sub (the “</w:t>
      </w:r>
      <w:r>
        <w:rPr>
          <w:rFonts w:ascii="Times New Roman" w:cs="Times New Roman" w:eastAsia="Times New Roman" w:hAnsi="Times New Roman"/>
          <w:sz w:val="12"/>
          <w:szCs w:val="12"/>
          <w:b w:val="1"/>
          <w:bCs w:val="1"/>
          <w:color w:val="auto"/>
        </w:rPr>
        <w:t>Galera Merger Sub Board</w:t>
      </w:r>
      <w:r>
        <w:rPr>
          <w:rFonts w:ascii="Times New Roman" w:cs="Times New Roman" w:eastAsia="Times New Roman" w:hAnsi="Times New Roman"/>
          <w:sz w:val="12"/>
          <w:szCs w:val="12"/>
          <w:color w:val="auto"/>
        </w:rPr>
        <w:t>”) has each (i) determined that the Contemplated Transactions are fair to, advisable and in the best interests of its sole stockholder and Obsidian Merger Sub and Galera Merger Sub, respectively, (ii) approved and declared advisable this Agreement and the Contemplated Transactions, and (iii) determined to recommend, upon the terms and subject to the conditions set forth in this Agreement, that the sole stockholder of Obsidian Merger Sub and Galera Merger Sub, respectively, adopt this Agreement and thereby approve the Contemplated Transactions;</w:t>
      </w:r>
    </w:p>
    <w:p>
      <w:pPr>
        <w:spacing w:after="0" w:line="118"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I. WHEREAS, the sole stockholder of each of Parent, Obsidian Merger Sub and Galera Merger Sub has determined that the Contemplated Transactions, and in the case of Parent, the Stock Issuance, are in the best interest of Parent, Obsidian Merger Sub, and Galera Merger Sub respectively, and each of their respective stockholders, has approved this Agreement and the Contemplated Transactions, and in the case of Parent, the Stock Issuance;</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J. WHEREAS, concurrently with the execution and delivery of this Agreement and as a condition and inducement to Obsidian’s willingness to</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enter into this Agreement, the stockholders, officers and directors of Galera set forth on </w:t>
      </w:r>
      <w:r>
        <w:rPr>
          <w:rFonts w:ascii="Times New Roman" w:cs="Times New Roman" w:eastAsia="Times New Roman" w:hAnsi="Times New Roman"/>
          <w:sz w:val="13"/>
          <w:szCs w:val="13"/>
          <w:u w:val="single" w:color="auto"/>
          <w:color w:val="auto"/>
        </w:rPr>
        <w:t>Section A</w:t>
      </w:r>
      <w:r>
        <w:rPr>
          <w:rFonts w:ascii="Times New Roman" w:cs="Times New Roman" w:eastAsia="Times New Roman" w:hAnsi="Times New Roman"/>
          <w:sz w:val="13"/>
          <w:szCs w:val="13"/>
          <w:color w:val="auto"/>
        </w:rPr>
        <w:t xml:space="preserve"> of the Galera Disclosure Schedule (solely in their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capacity as stockholders of Galera) are executing support agreements in favor of Obsidian in substantially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Galera Stockholder Support Agreements</w:t>
      </w:r>
      <w:r>
        <w:rPr>
          <w:rFonts w:ascii="Times New Roman" w:cs="Times New Roman" w:eastAsia="Times New Roman" w:hAnsi="Times New Roman"/>
          <w:sz w:val="12"/>
          <w:szCs w:val="12"/>
          <w:color w:val="auto"/>
        </w:rPr>
        <w:t>”), pursuant to which such Persons have, subject to the terms and conditions set forth therein, agreed to vote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all of their shares of Galera Common Stock in favor of (a) this Agreement and (b) the Annual Meeting Galera Stockholder Vote;</w:t>
      </w:r>
    </w:p>
    <w:p>
      <w:pPr>
        <w:spacing w:after="0" w:line="141"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K. WHEREAS, concurrently with the execution and delivery of this Agreement and as a condition and inducement to Galera’s willingness to enter into this Agreement, the officers, directors and stockholders (together with their Affiliates) of Obsidian set forth on </w:t>
      </w:r>
      <w:r>
        <w:rPr>
          <w:rFonts w:ascii="Times New Roman" w:cs="Times New Roman" w:eastAsia="Times New Roman" w:hAnsi="Times New Roman"/>
          <w:sz w:val="13"/>
          <w:szCs w:val="13"/>
          <w:u w:val="single" w:color="auto"/>
          <w:color w:val="auto"/>
        </w:rPr>
        <w:t>Section A</w:t>
      </w:r>
      <w:r>
        <w:rPr>
          <w:rFonts w:ascii="Times New Roman" w:cs="Times New Roman" w:eastAsia="Times New Roman" w:hAnsi="Times New Roman"/>
          <w:sz w:val="13"/>
          <w:szCs w:val="13"/>
          <w:color w:val="auto"/>
        </w:rPr>
        <w:t xml:space="preserve"> of the Obsidian Disclosure Schedule (solely in their capacity as stockholders of Obsidian) are executing support agreements in favor of Galera in substantially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Obsidian Stockholder Support Agreements</w:t>
      </w:r>
      <w:r>
        <w:rPr>
          <w:rFonts w:ascii="Times New Roman" w:cs="Times New Roman" w:eastAsia="Times New Roman" w:hAnsi="Times New Roman"/>
          <w:sz w:val="13"/>
          <w:szCs w:val="13"/>
          <w:color w:val="auto"/>
        </w:rPr>
        <w:t>”), pursuant to which such Persons have, subject to the terms and conditions set forth therein, agreed to vote all of their shares of Obsidian Capital Stock in favor of this Agreement;</w:t>
      </w:r>
    </w:p>
    <w:p>
      <w:pPr>
        <w:spacing w:after="0" w:line="134" w:lineRule="exact"/>
        <w:rPr>
          <w:sz w:val="20"/>
          <w:szCs w:val="20"/>
          <w:color w:val="auto"/>
        </w:rPr>
      </w:pPr>
    </w:p>
    <w:p>
      <w:pPr>
        <w:jc w:val="both"/>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L. WHEREAS, concurrently with the execution and delivery of this Agreement and as a condition and inducement to Galera’s willingness to enter into this Agreement, the officers and directors of Obsidian set forth on </w:t>
      </w:r>
      <w:r>
        <w:rPr>
          <w:rFonts w:ascii="Times New Roman" w:cs="Times New Roman" w:eastAsia="Times New Roman" w:hAnsi="Times New Roman"/>
          <w:sz w:val="13"/>
          <w:szCs w:val="13"/>
          <w:u w:val="single" w:color="auto"/>
          <w:color w:val="auto"/>
        </w:rPr>
        <w:t>Section C</w:t>
      </w:r>
      <w:r>
        <w:rPr>
          <w:rFonts w:ascii="Times New Roman" w:cs="Times New Roman" w:eastAsia="Times New Roman" w:hAnsi="Times New Roman"/>
          <w:sz w:val="13"/>
          <w:szCs w:val="13"/>
          <w:color w:val="auto"/>
        </w:rPr>
        <w:t xml:space="preserve"> of the Obsidian Disclosure Schedule are executing lock-up agreements in substantially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(collectively, the “</w:t>
      </w:r>
      <w:r>
        <w:rPr>
          <w:rFonts w:ascii="Times New Roman" w:cs="Times New Roman" w:eastAsia="Times New Roman" w:hAnsi="Times New Roman"/>
          <w:sz w:val="13"/>
          <w:szCs w:val="13"/>
          <w:b w:val="1"/>
          <w:bCs w:val="1"/>
          <w:color w:val="auto"/>
        </w:rPr>
        <w:t>Obsidian Lock-Up Agreements</w:t>
      </w:r>
      <w:r>
        <w:rPr>
          <w:rFonts w:ascii="Times New Roman" w:cs="Times New Roman" w:eastAsia="Times New Roman" w:hAnsi="Times New Roman"/>
          <w:sz w:val="13"/>
          <w:szCs w:val="13"/>
          <w:color w:val="auto"/>
        </w:rPr>
        <w: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5" w:name="page16"/>
    <w:bookmarkEnd w:id="15"/>
    <w:p>
      <w:pPr>
        <w:ind w:left="640" w:right="77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 WHEREAS, it is expected that promptly after the Registration Statement is declared effective under the Securities Act, the stockholders of Obsidian sufficient to adopt and approve this Agreement and the Mergers as required under Delaware Law and Obsidian’s Organizational Documents will execute and deliver an action by written consent in order to obtain the Required Obsidian Stockholder Approval in substantially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b w:val="1"/>
          <w:bCs w:val="1"/>
          <w:color w:val="auto"/>
        </w:rPr>
        <w:t>Obsidian Stockholder Written Consent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Obsidian Stockholder Written Consents</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N. WHEREAS, it is expected that, prior to the consummation of the Contemplated Transactions, the Galera stockholders shall be requested to approve an amendment to Galera’s Organizational Documents permitting its stockholders to act by written consent, and, if such approval is granted (the “</w:t>
      </w:r>
      <w:r>
        <w:rPr>
          <w:rFonts w:ascii="Times New Roman" w:cs="Times New Roman" w:eastAsia="Times New Roman" w:hAnsi="Times New Roman"/>
          <w:sz w:val="13"/>
          <w:szCs w:val="13"/>
          <w:b w:val="1"/>
          <w:bCs w:val="1"/>
          <w:color w:val="auto"/>
        </w:rPr>
        <w:t>Annual Meeting Galera Stockholder Vote</w:t>
      </w:r>
      <w:r>
        <w:rPr>
          <w:rFonts w:ascii="Times New Roman" w:cs="Times New Roman" w:eastAsia="Times New Roman" w:hAnsi="Times New Roman"/>
          <w:sz w:val="13"/>
          <w:szCs w:val="13"/>
          <w:color w:val="auto"/>
        </w:rPr>
        <w:t xml:space="preserve">”), promptly after the Registration Statement is declared effective under the Securities Act, the stockholders of Galera sufficient to adopt and approve this Agreement and the Mergers as required under Delaware Law and Galera’s Organizational Documents will, subject to receipt of stockholder approval, execute and deliver an action by written consent in order to obtain the Required Galera Stockholder Approval in substantially the form attached hereto as </w:t>
      </w:r>
      <w:r>
        <w:rPr>
          <w:rFonts w:ascii="Times New Roman" w:cs="Times New Roman" w:eastAsia="Times New Roman" w:hAnsi="Times New Roman"/>
          <w:sz w:val="13"/>
          <w:szCs w:val="13"/>
          <w:u w:val="single" w:color="auto"/>
          <w:color w:val="auto"/>
        </w:rPr>
        <w:t>Exhibit E</w:t>
      </w:r>
      <w:r>
        <w:rPr>
          <w:rFonts w:ascii="Times New Roman" w:cs="Times New Roman" w:eastAsia="Times New Roman" w:hAnsi="Times New Roman"/>
          <w:sz w:val="13"/>
          <w:szCs w:val="13"/>
          <w:color w:val="auto"/>
        </w:rPr>
        <w:t xml:space="preserve"> (each, a “</w:t>
      </w:r>
      <w:r>
        <w:rPr>
          <w:rFonts w:ascii="Times New Roman" w:cs="Times New Roman" w:eastAsia="Times New Roman" w:hAnsi="Times New Roman"/>
          <w:sz w:val="13"/>
          <w:szCs w:val="13"/>
          <w:b w:val="1"/>
          <w:bCs w:val="1"/>
          <w:color w:val="auto"/>
        </w:rPr>
        <w:t>Galera Stockholder Written Consent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Galera Stockholder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Written Consents</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O. WHEREAS, concurrently with the execution and delivery of this Agreement, certain investors have executed a Securities Purchase Agreement by and among Galera, Parent and the Persons named therein (representing an aggregate commitment no less than the Concurrent PIPE Financing Amount), pursuant to which such Persons will have agreed to purchase the number of shares of Galera Series C Preferred Stock set forth therein immediately prior to the Galera Effective Time in connection with the Concurrent PIPE Financing in substantially the form attached hereto as </w:t>
      </w:r>
      <w:r>
        <w:rPr>
          <w:rFonts w:ascii="Times New Roman" w:cs="Times New Roman" w:eastAsia="Times New Roman" w:hAnsi="Times New Roman"/>
          <w:sz w:val="13"/>
          <w:szCs w:val="13"/>
          <w:u w:val="single" w:color="auto"/>
          <w:color w:val="auto"/>
        </w:rPr>
        <w:t>Exhibit F</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Securities Purchase Agreement</w:t>
      </w:r>
      <w:r>
        <w:rPr>
          <w:rFonts w:ascii="Times New Roman" w:cs="Times New Roman" w:eastAsia="Times New Roman" w:hAnsi="Times New Roman"/>
          <w:sz w:val="13"/>
          <w:szCs w:val="13"/>
          <w:color w:val="auto"/>
        </w:rPr>
        <w:t>”); and</w:t>
      </w:r>
    </w:p>
    <w:p>
      <w:pPr>
        <w:spacing w:after="0" w:line="134" w:lineRule="exact"/>
        <w:rPr>
          <w:sz w:val="20"/>
          <w:szCs w:val="20"/>
          <w:color w:val="auto"/>
        </w:rPr>
      </w:pPr>
    </w:p>
    <w:p>
      <w:pPr>
        <w:ind w:left="640" w:right="799" w:firstLine="309"/>
        <w:spacing w:after="0" w:line="248" w:lineRule="auto"/>
        <w:rPr>
          <w:sz w:val="20"/>
          <w:szCs w:val="20"/>
          <w:color w:val="auto"/>
        </w:rPr>
      </w:pPr>
      <w:r>
        <w:rPr>
          <w:rFonts w:ascii="Times New Roman" w:cs="Times New Roman" w:eastAsia="Times New Roman" w:hAnsi="Times New Roman"/>
          <w:sz w:val="13"/>
          <w:szCs w:val="13"/>
          <w:color w:val="auto"/>
        </w:rPr>
        <w:t>P. WHEREAS, each of the parties hereto intends that, for United States federal income tax purposes, the Mergers will qualify as (i) a “reorganization” within the meaning of Section 368(a) of the Internal Revenue Code of 1986, as amended (the “</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and the Treasury Regulations, with respect to which each of Obsidian, Obsidian Merger Sub, Galera, Galera Merger Sub and Parent are a “party to a reorganization” under Section 368(b) of the Code, and this Agreement is intended to constitute a “plan of reorganization” for purposes of Sections 354, 361 and 368 of the Code and within the meaning of Section 368 of the Code and Treasury Regulations Section 1.368-2(g) or (ii) a tax-deferred exchange governed by Section 351(a) of the Code (the “</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Parties, intending to be legally bound, agree as follows: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DEFINITIONS AND INTERPRETATIVE PROVISIONS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purposes of this Agreement (including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6" w:name="page17"/>
    <w:bookmarkEnd w:id="16"/>
    <w:p>
      <w:pPr>
        <w:ind w:left="640" w:right="699"/>
        <w:spacing w:after="0" w:line="28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2026 Equity Incentive Plan</w:t>
      </w:r>
      <w:r>
        <w:rPr>
          <w:rFonts w:ascii="Times New Roman" w:cs="Times New Roman" w:eastAsia="Times New Roman" w:hAnsi="Times New Roman"/>
          <w:sz w:val="12"/>
          <w:szCs w:val="12"/>
          <w:color w:val="auto"/>
        </w:rPr>
        <w:t>” shall mean an equity incentive plan of Parent in form and substance as agreed to by Obsidian and Galera (such agreement not to be unreasonably withheld, conditioned or delayed by either Party), reserving for issuance a number of shares of Parent Common Stock to be mutually agreed upon by Obsidian and Galera (such agreement not to be unreasonably withheld, conditioned or delayed by either Party).</w:t>
      </w:r>
    </w:p>
    <w:p>
      <w:pPr>
        <w:spacing w:after="0" w:line="110" w:lineRule="exact"/>
        <w:rPr>
          <w:sz w:val="20"/>
          <w:szCs w:val="20"/>
          <w:color w:val="auto"/>
        </w:rPr>
      </w:pPr>
    </w:p>
    <w:p>
      <w:pPr>
        <w:jc w:val="both"/>
        <w:ind w:left="640" w:right="67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2026 ESPP</w:t>
      </w:r>
      <w:r>
        <w:rPr>
          <w:rFonts w:ascii="Times New Roman" w:cs="Times New Roman" w:eastAsia="Times New Roman" w:hAnsi="Times New Roman"/>
          <w:sz w:val="13"/>
          <w:szCs w:val="13"/>
          <w:color w:val="auto"/>
        </w:rPr>
        <w:t>” shall mean an “employee stock purchase plan” of Parent in form and substance as agreed to by Obsidian and Galera (such agreement not to be unreasonably withheld, conditioned or delayed by either Party), reserving for issuance a number of shares of Parent Common Stock to be mutually agreed upon to by Obsidian and Galera (such agreement not to be unreasonably withheld, conditioned or delayed by either Party).</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2026 Plans</w:t>
      </w:r>
      <w:r>
        <w:rPr>
          <w:rFonts w:ascii="Times New Roman" w:cs="Times New Roman" w:eastAsia="Times New Roman" w:hAnsi="Times New Roman"/>
          <w:sz w:val="13"/>
          <w:szCs w:val="13"/>
          <w:color w:val="auto"/>
        </w:rPr>
        <w:t>” shall mean both the 2026 ESPP and the 2026 Equity Incentive Plan.</w:t>
      </w:r>
    </w:p>
    <w:p>
      <w:pPr>
        <w:spacing w:after="0" w:line="154" w:lineRule="exact"/>
        <w:rPr>
          <w:sz w:val="20"/>
          <w:szCs w:val="20"/>
          <w:color w:val="auto"/>
        </w:rPr>
      </w:pPr>
    </w:p>
    <w:p>
      <w:pPr>
        <w:ind w:left="640" w:right="91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Acceptable Confidentiality Agreement</w:t>
      </w:r>
      <w:r>
        <w:rPr>
          <w:rFonts w:ascii="Times New Roman" w:cs="Times New Roman" w:eastAsia="Times New Roman" w:hAnsi="Times New Roman"/>
          <w:sz w:val="13"/>
          <w:szCs w:val="13"/>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w:t>
      </w:r>
    </w:p>
    <w:p>
      <w:pPr>
        <w:spacing w:after="0" w:line="126" w:lineRule="exact"/>
        <w:rPr>
          <w:sz w:val="20"/>
          <w:szCs w:val="20"/>
          <w:color w:val="auto"/>
        </w:rPr>
      </w:pPr>
    </w:p>
    <w:p>
      <w:pPr>
        <w:ind w:left="640" w:right="73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Inquiry</w:t>
      </w:r>
      <w:r>
        <w:rPr>
          <w:rFonts w:ascii="Times New Roman" w:cs="Times New Roman" w:eastAsia="Times New Roman" w:hAnsi="Times New Roman"/>
          <w:sz w:val="13"/>
          <w:szCs w:val="13"/>
          <w:color w:val="auto"/>
        </w:rPr>
        <w:t>” means, with respect to a Party, an inquiry, indication of interest or request for information (other than an inquiry, indication of interest or request for information made or submitted by Obsidian, on the one hand, or Galera, on the other hand, to the other Party) that would reasonably be expected to lead to an Acquisition Proposal, other than, as applicable, with respect to the Concurrent PIPE Financing, a Permitted Galera Bridge Financing or a Permitted Obsidian Bridge Financing.</w:t>
      </w:r>
    </w:p>
    <w:p>
      <w:pPr>
        <w:spacing w:after="0" w:line="130" w:lineRule="exact"/>
        <w:rPr>
          <w:sz w:val="20"/>
          <w:szCs w:val="20"/>
          <w:color w:val="auto"/>
        </w:rPr>
      </w:pPr>
    </w:p>
    <w:p>
      <w:pPr>
        <w:ind w:left="640" w:right="71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Proposal</w:t>
      </w:r>
      <w:r>
        <w:rPr>
          <w:rFonts w:ascii="Times New Roman" w:cs="Times New Roman" w:eastAsia="Times New Roman" w:hAnsi="Times New Roman"/>
          <w:sz w:val="13"/>
          <w:szCs w:val="13"/>
          <w:color w:val="auto"/>
        </w:rPr>
        <w:t>” means, with respect to any party hereto, any proposal or offer from any Person (other than the other party or any of its Representatives) providing for an Acquisition Transaction (in each case other than in connection with a Permitted Galera Bridge Financing, a Permitted Obsidian Bridge Financing, the Concurrent PIPE Financing, or the exercise or repurchase of existing equity interests).</w:t>
      </w:r>
    </w:p>
    <w:p>
      <w:pPr>
        <w:spacing w:after="0" w:line="126" w:lineRule="exact"/>
        <w:rPr>
          <w:sz w:val="20"/>
          <w:szCs w:val="20"/>
          <w:color w:val="auto"/>
        </w:rPr>
      </w:pPr>
    </w:p>
    <w:p>
      <w:pPr>
        <w:ind w:left="640" w:right="7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Transaction</w:t>
      </w:r>
      <w:r>
        <w:rPr>
          <w:rFonts w:ascii="Times New Roman" w:cs="Times New Roman" w:eastAsia="Times New Roman" w:hAnsi="Times New Roman"/>
          <w:sz w:val="13"/>
          <w:szCs w:val="13"/>
          <w:color w:val="auto"/>
        </w:rPr>
        <w:t>” means any transaction or series of related transactions involving (other than, as applicable, conversion of the Galera Series B Preferred Stock and the Concurrent PIPE Financing):</w:t>
      </w:r>
    </w:p>
    <w:p>
      <w:pPr>
        <w:spacing w:after="0" w:line="54" w:lineRule="exact"/>
        <w:rPr>
          <w:sz w:val="20"/>
          <w:szCs w:val="20"/>
          <w:color w:val="auto"/>
        </w:rPr>
      </w:pPr>
    </w:p>
    <w:p>
      <w:pPr>
        <w:ind w:left="1320" w:right="659" w:hanging="379"/>
        <w:spacing w:after="0" w:line="248"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spacing w:after="0" w:line="68" w:lineRule="exact"/>
        <w:rPr>
          <w:rFonts w:ascii="Times New Roman" w:cs="Times New Roman" w:eastAsia="Times New Roman" w:hAnsi="Times New Roman"/>
          <w:sz w:val="13"/>
          <w:szCs w:val="13"/>
          <w:color w:val="auto"/>
        </w:rPr>
      </w:pPr>
    </w:p>
    <w:p>
      <w:pPr>
        <w:ind w:left="1320" w:right="779" w:hanging="379"/>
        <w:spacing w:after="0" w:line="309" w:lineRule="auto"/>
        <w:tabs>
          <w:tab w:leader="none" w:pos="1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7" w:name="page18"/>
    <w:bookmarkEnd w:id="17"/>
    <w:p>
      <w:pPr>
        <w:ind w:left="640" w:right="71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with respect to any Person, any other Person directly or indirectly controlling, controlled by, or under common control with such other Person. For purposes of this definition, “</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when used with respect to any Person means the power to direct the management and policies of such Person, directly or indirectly, whether through the ownership of voting securities or partnership or other ownership interests, by contract or otherwise, and the terms “</w:t>
      </w:r>
      <w:r>
        <w:rPr>
          <w:rFonts w:ascii="Times New Roman" w:cs="Times New Roman" w:eastAsia="Times New Roman" w:hAnsi="Times New Roman"/>
          <w:sz w:val="13"/>
          <w:szCs w:val="13"/>
          <w:u w:val="single" w:color="auto"/>
          <w:color w:val="auto"/>
        </w:rPr>
        <w:t>controlling</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controlled</w:t>
      </w:r>
      <w:r>
        <w:rPr>
          <w:rFonts w:ascii="Times New Roman" w:cs="Times New Roman" w:eastAsia="Times New Roman" w:hAnsi="Times New Roman"/>
          <w:sz w:val="13"/>
          <w:szCs w:val="13"/>
          <w:color w:val="auto"/>
        </w:rPr>
        <w:t>” have correlative meanings.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other than a day on which banks in the State of New York are authorized or obligated to be closed.</w:t>
      </w:r>
    </w:p>
    <w:p>
      <w:pPr>
        <w:spacing w:after="0" w:line="154" w:lineRule="exact"/>
        <w:rPr>
          <w:sz w:val="20"/>
          <w:szCs w:val="20"/>
          <w:color w:val="auto"/>
        </w:rPr>
      </w:pPr>
    </w:p>
    <w:p>
      <w:pPr>
        <w:ind w:left="640" w:right="10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Cash and Cash Equivalents</w:t>
      </w:r>
      <w:r>
        <w:rPr>
          <w:rFonts w:ascii="Times New Roman" w:cs="Times New Roman" w:eastAsia="Times New Roman" w:hAnsi="Times New Roman"/>
          <w:sz w:val="13"/>
          <w:szCs w:val="13"/>
          <w:color w:val="auto"/>
        </w:rPr>
        <w:t>” means all (i) cash and cash equivalents and (ii) marketable securities, in each case determined in accordance with GAAP.</w:t>
      </w:r>
    </w:p>
    <w:p>
      <w:pPr>
        <w:spacing w:after="0" w:line="119" w:lineRule="exact"/>
        <w:rPr>
          <w:sz w:val="20"/>
          <w:szCs w:val="20"/>
          <w:color w:val="auto"/>
        </w:rPr>
      </w:pPr>
    </w:p>
    <w:p>
      <w:pPr>
        <w:ind w:left="640" w:right="9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COBRA</w:t>
      </w:r>
      <w:r>
        <w:rPr>
          <w:rFonts w:ascii="Times New Roman" w:cs="Times New Roman" w:eastAsia="Times New Roman" w:hAnsi="Times New Roman"/>
          <w:sz w:val="13"/>
          <w:szCs w:val="13"/>
          <w:color w:val="auto"/>
        </w:rPr>
        <w:t>” means the Consolidated Omnibus Budget Reconciliation Act of 1985, as set forth in Section 4980B of the Code and Part 6 of Title I of ERISA.</w:t>
      </w:r>
    </w:p>
    <w:p>
      <w:pPr>
        <w:spacing w:after="0" w:line="119" w:lineRule="exact"/>
        <w:rPr>
          <w:sz w:val="20"/>
          <w:szCs w:val="20"/>
          <w:color w:val="auto"/>
        </w:rPr>
      </w:pPr>
    </w:p>
    <w:p>
      <w:pPr>
        <w:ind w:left="640" w:right="8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Concurrent PIPE Financing</w:t>
      </w:r>
      <w:r>
        <w:rPr>
          <w:rFonts w:ascii="Times New Roman" w:cs="Times New Roman" w:eastAsia="Times New Roman" w:hAnsi="Times New Roman"/>
          <w:sz w:val="13"/>
          <w:szCs w:val="13"/>
          <w:color w:val="auto"/>
        </w:rPr>
        <w:t>” means the issuance and sale of shares of Galera Series C Preferred Stock in a private placement to be consummated immediately prior to the Galera Effective Time pursuant to the Securities Purchase Agreement.</w:t>
      </w:r>
    </w:p>
    <w:p>
      <w:pPr>
        <w:spacing w:after="0" w:line="119" w:lineRule="exact"/>
        <w:rPr>
          <w:sz w:val="20"/>
          <w:szCs w:val="20"/>
          <w:color w:val="auto"/>
        </w:rPr>
      </w:pPr>
    </w:p>
    <w:p>
      <w:pPr>
        <w:ind w:left="640" w:right="77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Concurrent PIPE Financing Amount</w:t>
      </w:r>
      <w:r>
        <w:rPr>
          <w:rFonts w:ascii="Times New Roman" w:cs="Times New Roman" w:eastAsia="Times New Roman" w:hAnsi="Times New Roman"/>
          <w:sz w:val="12"/>
          <w:szCs w:val="12"/>
          <w:color w:val="auto"/>
        </w:rPr>
        <w:t xml:space="preserve">” means $350,000,000;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any Permitted Obsidian Bridge Financing is consummated prior to the Closing, the Concurrent PIPE Financing Amount shall be reduced, on a dollar-for-dollar basis, by the aggregate principal amount of all Permitted Obsidian Bridge Financing Agreements as of immediately prior to the Galera Effective Time (the “</w:t>
      </w:r>
      <w:r>
        <w:rPr>
          <w:rFonts w:ascii="Times New Roman" w:cs="Times New Roman" w:eastAsia="Times New Roman" w:hAnsi="Times New Roman"/>
          <w:sz w:val="12"/>
          <w:szCs w:val="12"/>
          <w:b w:val="1"/>
          <w:bCs w:val="1"/>
          <w:color w:val="auto"/>
        </w:rPr>
        <w:t>Aggregate Obsidian Bridge Amount</w:t>
      </w:r>
      <w:r>
        <w:rPr>
          <w:rFonts w:ascii="Times New Roman" w:cs="Times New Roman" w:eastAsia="Times New Roman" w:hAnsi="Times New Roman"/>
          <w:sz w:val="12"/>
          <w:szCs w:val="12"/>
          <w:color w:val="auto"/>
        </w:rPr>
        <w:t>”).</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means the Nondisclosure Agreement, dated as of March 6, 2026, by and between Obsidian and Galera.</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w:t>
      </w:r>
      <w:r>
        <w:rPr>
          <w:rFonts w:ascii="Times New Roman" w:cs="Times New Roman" w:eastAsia="Times New Roman" w:hAnsi="Times New Roman"/>
          <w:sz w:val="13"/>
          <w:szCs w:val="13"/>
          <w:color w:val="auto"/>
        </w:rPr>
        <w:t>” means any approval, consent, ratification, permission, waiver or authorization (including any Governmental Authorization).</w:t>
      </w:r>
    </w:p>
    <w:p>
      <w:pPr>
        <w:spacing w:after="0" w:line="154" w:lineRule="exact"/>
        <w:rPr>
          <w:sz w:val="20"/>
          <w:szCs w:val="20"/>
          <w:color w:val="auto"/>
        </w:rPr>
      </w:pPr>
    </w:p>
    <w:p>
      <w:pPr>
        <w:jc w:val="both"/>
        <w:ind w:left="640" w:right="7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Contemplated Transactions</w:t>
      </w:r>
      <w:r>
        <w:rPr>
          <w:rFonts w:ascii="Times New Roman" w:cs="Times New Roman" w:eastAsia="Times New Roman" w:hAnsi="Times New Roman"/>
          <w:sz w:val="13"/>
          <w:szCs w:val="13"/>
          <w:color w:val="auto"/>
        </w:rPr>
        <w:t>” means the Mergers and the other transactions contemplated by this Agreement, including the CVR Agreement and the Concurrent PIPE Financing.</w:t>
      </w:r>
    </w:p>
    <w:p>
      <w:pPr>
        <w:spacing w:after="0" w:line="119" w:lineRule="exact"/>
        <w:rPr>
          <w:sz w:val="20"/>
          <w:szCs w:val="20"/>
          <w:color w:val="auto"/>
        </w:rPr>
      </w:pPr>
    </w:p>
    <w:p>
      <w:pPr>
        <w:jc w:val="both"/>
        <w:ind w:left="640" w:right="79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Delaware Law</w:t>
      </w:r>
      <w:r>
        <w:rPr>
          <w:rFonts w:ascii="Times New Roman" w:cs="Times New Roman" w:eastAsia="Times New Roman" w:hAnsi="Times New Roman"/>
          <w:sz w:val="13"/>
          <w:szCs w:val="13"/>
          <w:color w:val="auto"/>
        </w:rPr>
        <w:t>” means the General Corporation Law of the State of Delaware.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w:t>
      </w:r>
      <w:r>
        <w:rPr>
          <w:rFonts w:ascii="Times New Roman" w:cs="Times New Roman" w:eastAsia="Times New Roman" w:hAnsi="Times New Roman"/>
          <w:sz w:val="13"/>
          <w:szCs w:val="13"/>
          <w:color w:val="auto"/>
        </w:rPr>
        <w:t>” means any effect, change, event, circumstance, or development.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8" w:name="page19"/>
    <w:bookmarkEnd w:id="18"/>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Employee Plan</w:t>
      </w:r>
      <w:r>
        <w:rPr>
          <w:rFonts w:ascii="Times New Roman" w:cs="Times New Roman" w:eastAsia="Times New Roman" w:hAnsi="Times New Roman"/>
          <w:sz w:val="13"/>
          <w:szCs w:val="13"/>
          <w:color w:val="auto"/>
        </w:rPr>
        <w:t>” means (i) each “employee benefit plan” within the meaning of Section 3(3) of ERISA, whether or not subject to ERISA; (ii) any other plan, program, policy, agreement or arrangement providing for stock options, stock purchases, restricted stock, restricted stock units, phantom equity, other equity or equity-based incentives, bonuses, commissions, severance, retention, deferred compensation, change in control, transaction, supplemental income, vacation, retirement, pension, profit-sharing, post-retirement health and welfare, disability, fringe benefit, sick, vacation or paid time-off, life insurance, perquisites, medical, dental, vision, employee assistance, health savings accounts, flexible spending accounts, Section 125 “cafeteria”, or similar benefits; and (iii) all other plans, programs, policies, agreements or arrangements (whether written or unwritten) providing compensation or benefits to any current or former employee, officer, director, individual independent contractor and other non-employee service provider.</w:t>
      </w:r>
    </w:p>
    <w:p>
      <w:pPr>
        <w:spacing w:after="0" w:line="134" w:lineRule="exact"/>
        <w:rPr>
          <w:sz w:val="20"/>
          <w:szCs w:val="20"/>
          <w:color w:val="auto"/>
        </w:rPr>
      </w:pPr>
    </w:p>
    <w:p>
      <w:pPr>
        <w:ind w:left="640" w:right="67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Encumbrance</w:t>
      </w:r>
      <w:r>
        <w:rPr>
          <w:rFonts w:ascii="Times New Roman" w:cs="Times New Roman" w:eastAsia="Times New Roman" w:hAnsi="Times New Roman"/>
          <w:sz w:val="13"/>
          <w:szCs w:val="13"/>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31"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Enforceability Exceptions</w:t>
      </w:r>
      <w:r>
        <w:rPr>
          <w:rFonts w:ascii="Times New Roman" w:cs="Times New Roman" w:eastAsia="Times New Roman" w:hAnsi="Times New Roman"/>
          <w:sz w:val="13"/>
          <w:szCs w:val="13"/>
          <w:color w:val="auto"/>
        </w:rPr>
        <w:t>” means the (i) Laws of general application relating to bankruptcy, insolvency and the relief of debtors and (ii) rules of law governing specific performance, injunctive relief and other equitable remedies.</w:t>
      </w:r>
    </w:p>
    <w:p>
      <w:pPr>
        <w:spacing w:after="0" w:line="119" w:lineRule="exact"/>
        <w:rPr>
          <w:sz w:val="20"/>
          <w:szCs w:val="20"/>
          <w:color w:val="auto"/>
        </w:rPr>
      </w:pPr>
    </w:p>
    <w:p>
      <w:pPr>
        <w:ind w:left="640" w:right="71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Entity</w:t>
      </w:r>
      <w:r>
        <w:rPr>
          <w:rFonts w:ascii="Times New Roman" w:cs="Times New Roman" w:eastAsia="Times New Roman" w:hAnsi="Times New Roman"/>
          <w:sz w:val="13"/>
          <w:szCs w:val="13"/>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26" w:lineRule="exact"/>
        <w:rPr>
          <w:sz w:val="20"/>
          <w:szCs w:val="20"/>
          <w:color w:val="auto"/>
        </w:rPr>
      </w:pPr>
    </w:p>
    <w:p>
      <w:pPr>
        <w:jc w:val="both"/>
        <w:ind w:left="640" w:right="67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w:t>
      </w:r>
      <w:r>
        <w:rPr>
          <w:rFonts w:ascii="Times New Roman" w:cs="Times New Roman" w:eastAsia="Times New Roman" w:hAnsi="Times New Roman"/>
          <w:sz w:val="13"/>
          <w:szCs w:val="13"/>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means the Employee Retirement Income Security Act of 1974, as amended.</w:t>
      </w:r>
    </w:p>
    <w:p>
      <w:pPr>
        <w:spacing w:after="0" w:line="154" w:lineRule="exact"/>
        <w:rPr>
          <w:sz w:val="20"/>
          <w:szCs w:val="20"/>
          <w:color w:val="auto"/>
        </w:rPr>
      </w:pPr>
    </w:p>
    <w:p>
      <w:pPr>
        <w:ind w:left="640" w:right="75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 Affiliate</w:t>
      </w:r>
      <w:r>
        <w:rPr>
          <w:rFonts w:ascii="Times New Roman" w:cs="Times New Roman" w:eastAsia="Times New Roman" w:hAnsi="Times New Roman"/>
          <w:sz w:val="13"/>
          <w:szCs w:val="13"/>
          <w:color w:val="auto"/>
        </w:rPr>
        <w:t>” means, with respect to any Entity, any other Person that would be treated as a single employer with such Entity, part of the same “controlled group” as such Entity or under common control with such Entity under Sections 414(b),(c),(m) or (o) of the Code or 4001(b)(1) of ERISA, as applicable.</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Securities Exchange Act of 1934, as amended, and the rules and regulations promulgated thereunder.</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means United States generally accepted accounting principles.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19" w:name="page20"/>
    <w:bookmarkEnd w:id="19"/>
    <w:p>
      <w:pPr>
        <w:ind w:left="640" w:right="75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Galera Associate</w:t>
      </w:r>
      <w:r>
        <w:rPr>
          <w:rFonts w:ascii="Times New Roman" w:cs="Times New Roman" w:eastAsia="Times New Roman" w:hAnsi="Times New Roman"/>
          <w:sz w:val="13"/>
          <w:szCs w:val="13"/>
          <w:color w:val="auto"/>
        </w:rPr>
        <w:t>” means any current or former employee, officer, director, independent contractor or other non-employee service provider of Galera or any of its Subsidiaries.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Balance Sheet</w:t>
      </w:r>
      <w:r>
        <w:rPr>
          <w:rFonts w:ascii="Times New Roman" w:cs="Times New Roman" w:eastAsia="Times New Roman" w:hAnsi="Times New Roman"/>
          <w:sz w:val="13"/>
          <w:szCs w:val="13"/>
          <w:color w:val="auto"/>
        </w:rPr>
        <w:t>” means the audited balance sheet of Galera for the years ended December 31, 2024 and December 31, 2025</w:t>
      </w:r>
      <w:r>
        <w:rPr>
          <w:rFonts w:ascii="Times New Roman" w:cs="Times New Roman" w:eastAsia="Times New Roman" w:hAnsi="Times New Roman"/>
          <w:sz w:val="13"/>
          <w:szCs w:val="13"/>
          <w:b w:val="1"/>
          <w:bCs w:val="1"/>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Capitalization Representations</w:t>
      </w:r>
      <w:r>
        <w:rPr>
          <w:rFonts w:ascii="Times New Roman" w:cs="Times New Roman" w:eastAsia="Times New Roman" w:hAnsi="Times New Roman"/>
          <w:sz w:val="13"/>
          <w:szCs w:val="13"/>
          <w:color w:val="auto"/>
        </w:rPr>
        <w:t xml:space="preserve">” means the representations and warranties of Galera set forth in </w:t>
      </w:r>
      <w:r>
        <w:rPr>
          <w:rFonts w:ascii="Times New Roman" w:cs="Times New Roman" w:eastAsia="Times New Roman" w:hAnsi="Times New Roman"/>
          <w:sz w:val="13"/>
          <w:szCs w:val="13"/>
          <w:u w:val="single" w:color="auto"/>
          <w:color w:val="auto"/>
        </w:rPr>
        <w:t>Sections 4.6(a)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4.6(d)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5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Contract</w:t>
      </w:r>
      <w:r>
        <w:rPr>
          <w:rFonts w:ascii="Times New Roman" w:cs="Times New Roman" w:eastAsia="Times New Roman" w:hAnsi="Times New Roman"/>
          <w:sz w:val="13"/>
          <w:szCs w:val="13"/>
          <w:color w:val="auto"/>
        </w:rPr>
        <w:t>” means any Contract: (i) to which Galera is a party, (ii) by which Galera or any Galera IP Rights or any other asset of Galera is or may become bound or under which Galera has, or may become subject to, any obligation or (iii) under which Galera has or may acquire any right or interest.</w:t>
      </w:r>
    </w:p>
    <w:p>
      <w:pPr>
        <w:spacing w:after="0" w:line="126" w:lineRule="exact"/>
        <w:rPr>
          <w:sz w:val="20"/>
          <w:szCs w:val="20"/>
          <w:color w:val="auto"/>
        </w:rPr>
      </w:pPr>
    </w:p>
    <w:p>
      <w:pPr>
        <w:ind w:left="640" w:right="9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Covered Person</w:t>
      </w:r>
      <w:r>
        <w:rPr>
          <w:rFonts w:ascii="Times New Roman" w:cs="Times New Roman" w:eastAsia="Times New Roman" w:hAnsi="Times New Roman"/>
          <w:sz w:val="13"/>
          <w:szCs w:val="13"/>
          <w:color w:val="auto"/>
        </w:rPr>
        <w:t>” means, with respect to Galera as an “issuer” for purposes of Rule 506 promulgated under the Securities Act, any Person listed in the first paragraph of Rule 506(d)(1).</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Employee Plan</w:t>
      </w:r>
      <w:r>
        <w:rPr>
          <w:rFonts w:ascii="Times New Roman" w:cs="Times New Roman" w:eastAsia="Times New Roman" w:hAnsi="Times New Roman"/>
          <w:sz w:val="13"/>
          <w:szCs w:val="13"/>
          <w:color w:val="auto"/>
        </w:rPr>
        <w:t>” means any Employee Plan that Galera or any of its Subsidiaries (i) sponsors, maintains, administers, or contributes to, or</w:t>
      </w:r>
    </w:p>
    <w:p>
      <w:pPr>
        <w:spacing w:after="0" w:line="17" w:lineRule="exact"/>
        <w:rPr>
          <w:sz w:val="20"/>
          <w:szCs w:val="20"/>
          <w:color w:val="auto"/>
        </w:rPr>
      </w:pPr>
    </w:p>
    <w:p>
      <w:pPr>
        <w:ind w:left="640" w:right="719" w:hanging="3"/>
        <w:spacing w:after="0" w:line="245" w:lineRule="auto"/>
        <w:tabs>
          <w:tab w:leader="none" w:pos="826"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benefits under or through, or (iii) has any obligation to contribute to or provide benefits under or through, or (iv) may reasonably be expected to have any Liability with respect to (including on account of an ERISA Affiliate), or (v) utilizes to provide benefits to or otherwise cover any Galera Associate.</w:t>
      </w:r>
    </w:p>
    <w:p>
      <w:pPr>
        <w:spacing w:after="0" w:line="134" w:lineRule="exact"/>
        <w:rPr>
          <w:sz w:val="20"/>
          <w:szCs w:val="20"/>
          <w:color w:val="auto"/>
        </w:rPr>
      </w:pPr>
    </w:p>
    <w:p>
      <w:pPr>
        <w:ind w:left="640" w:right="9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Equity Plans</w:t>
      </w:r>
      <w:r>
        <w:rPr>
          <w:rFonts w:ascii="Times New Roman" w:cs="Times New Roman" w:eastAsia="Times New Roman" w:hAnsi="Times New Roman"/>
          <w:sz w:val="13"/>
          <w:szCs w:val="13"/>
          <w:color w:val="auto"/>
        </w:rPr>
        <w:t>” means the Galera 2012 Equity Incentive Plan, as amended from time to time and the Galera 2019 Incentive Award Plan, as amended from time to time.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ESPP</w:t>
      </w:r>
      <w:r>
        <w:rPr>
          <w:rFonts w:ascii="Times New Roman" w:cs="Times New Roman" w:eastAsia="Times New Roman" w:hAnsi="Times New Roman"/>
          <w:sz w:val="13"/>
          <w:szCs w:val="13"/>
          <w:color w:val="auto"/>
        </w:rPr>
        <w:t>” means the Galera 2019 Employee Stock Purchase Plan, as amended from time to time.</w:t>
      </w:r>
    </w:p>
    <w:p>
      <w:pPr>
        <w:spacing w:after="0" w:line="154"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Exchange Ratio</w:t>
      </w:r>
      <w:r>
        <w:rPr>
          <w:rFonts w:ascii="Times New Roman" w:cs="Times New Roman" w:eastAsia="Times New Roman" w:hAnsi="Times New Roman"/>
          <w:sz w:val="13"/>
          <w:szCs w:val="13"/>
          <w:color w:val="auto"/>
        </w:rPr>
        <w:t xml:space="preserve">” means the quotient (rounded to four decimal places) obtained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(i) the number of Galera Merger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number of Galera Outstanding Shares.</w:t>
      </w:r>
    </w:p>
    <w:p>
      <w:pPr>
        <w:spacing w:after="0" w:line="119" w:lineRule="exact"/>
        <w:rPr>
          <w:sz w:val="20"/>
          <w:szCs w:val="20"/>
          <w:color w:val="auto"/>
        </w:rPr>
      </w:pPr>
    </w:p>
    <w:p>
      <w:pPr>
        <w:ind w:left="640" w:right="9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Exchangeable Warrants</w:t>
      </w:r>
      <w:r>
        <w:rPr>
          <w:rFonts w:ascii="Times New Roman" w:cs="Times New Roman" w:eastAsia="Times New Roman" w:hAnsi="Times New Roman"/>
          <w:sz w:val="13"/>
          <w:szCs w:val="13"/>
          <w:color w:val="auto"/>
        </w:rPr>
        <w:t>” means those certain warrants to purchase stock, dated as of February 17, 2023, by and between Galera and the holders party thereto.</w:t>
      </w:r>
    </w:p>
    <w:p>
      <w:pPr>
        <w:spacing w:after="0" w:line="119"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Fundamental Representations</w:t>
      </w:r>
      <w:r>
        <w:rPr>
          <w:rFonts w:ascii="Times New Roman" w:cs="Times New Roman" w:eastAsia="Times New Roman" w:hAnsi="Times New Roman"/>
          <w:sz w:val="13"/>
          <w:szCs w:val="13"/>
          <w:color w:val="auto"/>
        </w:rPr>
        <w:t xml:space="preserve">” means the representations and warranties of Galera set forth in </w:t>
      </w:r>
      <w:r>
        <w:rPr>
          <w:rFonts w:ascii="Times New Roman" w:cs="Times New Roman" w:eastAsia="Times New Roman" w:hAnsi="Times New Roman"/>
          <w:sz w:val="13"/>
          <w:szCs w:val="13"/>
          <w:u w:val="single" w:color="auto"/>
          <w:color w:val="auto"/>
        </w:rPr>
        <w:t>Sections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4.17</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4.22</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65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IP Rights</w:t>
      </w:r>
      <w:r>
        <w:rPr>
          <w:rFonts w:ascii="Times New Roman" w:cs="Times New Roman" w:eastAsia="Times New Roman" w:hAnsi="Times New Roman"/>
          <w:sz w:val="13"/>
          <w:szCs w:val="13"/>
          <w:color w:val="auto"/>
        </w:rPr>
        <w:t>” means all Intellectual Property rights that are (i) owned or purported to be owned, whether wholly or jointly with others, or controlled by Galera or any of its Subsidiaries (“</w:t>
      </w:r>
      <w:r>
        <w:rPr>
          <w:rFonts w:ascii="Times New Roman" w:cs="Times New Roman" w:eastAsia="Times New Roman" w:hAnsi="Times New Roman"/>
          <w:sz w:val="13"/>
          <w:szCs w:val="13"/>
          <w:b w:val="1"/>
          <w:bCs w:val="1"/>
          <w:color w:val="auto"/>
        </w:rPr>
        <w:t>Galera Owned IP Rights</w:t>
      </w:r>
      <w:r>
        <w:rPr>
          <w:rFonts w:ascii="Times New Roman" w:cs="Times New Roman" w:eastAsia="Times New Roman" w:hAnsi="Times New Roman"/>
          <w:sz w:val="13"/>
          <w:szCs w:val="13"/>
          <w:color w:val="auto"/>
        </w:rPr>
        <w:t>”), or (ii) licensed or sublicensed to Galera or any of its Subsidiaries (“</w:t>
      </w:r>
      <w:r>
        <w:rPr>
          <w:rFonts w:ascii="Times New Roman" w:cs="Times New Roman" w:eastAsia="Times New Roman" w:hAnsi="Times New Roman"/>
          <w:sz w:val="13"/>
          <w:szCs w:val="13"/>
          <w:b w:val="1"/>
          <w:bCs w:val="1"/>
          <w:color w:val="auto"/>
        </w:rPr>
        <w:t>Galera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Licensed IP Rights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640" w:right="8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IP Rights Agreement</w:t>
      </w:r>
      <w:r>
        <w:rPr>
          <w:rFonts w:ascii="Times New Roman" w:cs="Times New Roman" w:eastAsia="Times New Roman" w:hAnsi="Times New Roman"/>
          <w:sz w:val="13"/>
          <w:szCs w:val="13"/>
          <w:color w:val="auto"/>
        </w:rPr>
        <w:t>” means any Contract governing, related or pertaining to any Galera IP Rights other than any confidential information provided under confidentiality agreements.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0" w:name="page21"/>
    <w:bookmarkEnd w:id="20"/>
    <w:p>
      <w:pPr>
        <w:jc w:val="both"/>
        <w:ind w:left="640" w:right="85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Galera ITM Option</w:t>
      </w:r>
      <w:r>
        <w:rPr>
          <w:rFonts w:ascii="Times New Roman" w:cs="Times New Roman" w:eastAsia="Times New Roman" w:hAnsi="Times New Roman"/>
          <w:sz w:val="13"/>
          <w:szCs w:val="13"/>
          <w:color w:val="auto"/>
        </w:rPr>
        <w:t>” means each Galera Option that is outstanding as of immediately prior to the Galera Effective Time with a per share exercise price less than the closing trading price of a share of Galera Common Stock on the last full trading day on which the Galera Common Stock is traded prior to the date on which the Galera Effective Time occurs.</w:t>
      </w:r>
    </w:p>
    <w:p>
      <w:pPr>
        <w:spacing w:after="0" w:line="126"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Material Adverse Effect</w:t>
      </w:r>
      <w:r>
        <w:rPr>
          <w:rFonts w:ascii="Times New Roman" w:cs="Times New Roman" w:eastAsia="Times New Roman" w:hAnsi="Times New Roman"/>
          <w:sz w:val="13"/>
          <w:szCs w:val="13"/>
          <w:color w:val="auto"/>
        </w:rPr>
        <w:t xml:space="preserve">” means any Effect that, considered together with all other Effects that have occurred prior to the date of determination of the occurrence of a Galera Material Adverse Effect, has had or would reasonably be expected to have a material adverse effect on the business, assets, liabilities, financial condition or results of operations of Galera or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Effects arising or resulting from the following, alone or in combination, shall not be taken into account in determining whether there has been a Galera Material Adverse Effect: (i) the announcement of this Agreement, the pendency or the consummation of the Contemplated Transactions, including any adverse change in customer, supplier, governmental, landlord, employee or similar relationships resulting therefrom or with respect thereto (other than, in the case of this clause (i), for purposes of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(ii) the taking of any action, or the failure to take any action, by Galera that is expressly required under the terms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in, or any compliance with, GAAP or applicable Law or the interpretation thereof (provided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Galera and its Subsidiaries operate, (vi) any change in the stock price or trading volume of Galera Common Stock, (vii) any change in the cash position of Galera and its Subsidiaries which results from operations in the Ordinary Course of Business, or (viii) any failure of Galera to meet any projections, business plans or forecasts (provided that, this clause (x) shall not prevent a determination that any change or effect underlying such failure to meet projections, business plans or forecasts has resulted in a Galera Material Adverse Effect (to the extent such change or effect is not otherwise excluded from this definition of Galera Material Adverse Effect)); except in each case with respect to clauses (iii), (iv) and (v), to the extent disproportionately affecting Galera and its Subsidiaries, taken as a whole, relative to other similarly situated companies in the industries in which Galera and its Subsidiaries operate.</w:t>
      </w:r>
    </w:p>
    <w:p>
      <w:pPr>
        <w:spacing w:after="0" w:line="145"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Net Cash</w:t>
      </w:r>
      <w:r>
        <w:rPr>
          <w:rFonts w:ascii="Times New Roman" w:cs="Times New Roman" w:eastAsia="Times New Roman" w:hAnsi="Times New Roman"/>
          <w:sz w:val="13"/>
          <w:szCs w:val="13"/>
          <w:color w:val="auto"/>
        </w:rPr>
        <w:t xml:space="preserve">” means without duplication, and in the case of any deductions, to the extent unpaid by Galera or any of its Subsidiaries immediately prior to the Galera Effective Time, (i) Galera’s Cash and Cash Equivalents determined, to the extent in accordance with GAAP, in a manner consistent with the manner in which such items were historically determined and in accordance with the financial statements (including any related notes) contained or incorporated by reference in the Galera Balance Sheet,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 any receivables paid or payable with respect to the period ending immediately prior to the Galera Effective Time; </w:t>
      </w:r>
      <w:r>
        <w:rPr>
          <w:rFonts w:ascii="Times New Roman" w:cs="Times New Roman" w:eastAsia="Times New Roman" w:hAnsi="Times New Roman"/>
          <w:sz w:val="13"/>
          <w:szCs w:val="13"/>
          <w:i w:val="1"/>
          <w:iCs w:val="1"/>
          <w:u w:val="single" w:color="auto"/>
          <w:color w:val="auto"/>
        </w:rPr>
        <w:t>minus</w:t>
      </w:r>
      <w:r>
        <w:rPr>
          <w:rFonts w:ascii="Times New Roman" w:cs="Times New Roman" w:eastAsia="Times New Roman" w:hAnsi="Times New Roman"/>
          <w:sz w:val="13"/>
          <w:szCs w:val="13"/>
          <w:color w:val="auto"/>
        </w:rPr>
        <w:t xml:space="preserve"> (iii) fees and expenses of Galera incurred in connection with the Mergers and the CVR Agreement, including for the avoidance of doubt, Transaction Expenses of Galera to the extent unpaid as of the Closing, </w:t>
      </w:r>
      <w:r>
        <w:rPr>
          <w:rFonts w:ascii="Times New Roman" w:cs="Times New Roman" w:eastAsia="Times New Roman" w:hAnsi="Times New Roman"/>
          <w:sz w:val="13"/>
          <w:szCs w:val="13"/>
          <w:i w:val="1"/>
          <w:iCs w:val="1"/>
          <w:u w:val="single" w:color="auto"/>
          <w:color w:val="auto"/>
        </w:rPr>
        <w:t>minus</w:t>
      </w:r>
      <w:r>
        <w:rPr>
          <w:rFonts w:ascii="Times New Roman" w:cs="Times New Roman" w:eastAsia="Times New Roman" w:hAnsi="Times New Roman"/>
          <w:sz w:val="13"/>
          <w:szCs w:val="13"/>
          <w:color w:val="auto"/>
        </w:rPr>
        <w:t xml:space="preserve"> (iv) any and all Liabilities of Galera (A) to any Galera Associate for change in control or transaction bonuses, retention bonuses, severance or similar compensatory payments or benefits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29" w:right="1440" w:bottom="1440" w:gutter="0" w:footer="0" w:header="0"/>
        </w:sectPr>
      </w:pPr>
    </w:p>
    <w:bookmarkStart w:id="21" w:name="page22"/>
    <w:bookmarkEnd w:id="21"/>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that are due and payable as a result of the completion of the Contemplated Transactions (in each case, including the employer portion of any payroll or similar Taxes payable with respect thereto), (B) with respect to defined contribution Liabilities post-retirement health and welfare benefit, accrued but unpaid bonuses, severance and vacation or paid time off (in each case, including the employer portion of any payroll or similar Taxes payable with respect thereto), (C) with respect to accounts payable, accruals and other current liabilities, (D) with respect to contractual commitments for future payments, whether absolute, contingent or otherwise, in connection with the termination of the Galera Real Estate Leases and (E) with respect to contractual commitments for future payments, whether absolute, contingent or otherwise, in connection with the termination of any Intellectual Property licensing agreements, less the amounts of any applicable deposits, </w:t>
      </w:r>
      <w:r>
        <w:rPr>
          <w:rFonts w:ascii="Times New Roman" w:cs="Times New Roman" w:eastAsia="Times New Roman" w:hAnsi="Times New Roman"/>
          <w:sz w:val="12"/>
          <w:szCs w:val="12"/>
          <w:i w:val="1"/>
          <w:iCs w:val="1"/>
          <w:u w:val="single" w:color="auto"/>
          <w:color w:val="auto"/>
        </w:rPr>
        <w:t>plus</w:t>
      </w:r>
      <w:r>
        <w:rPr>
          <w:rFonts w:ascii="Times New Roman" w:cs="Times New Roman" w:eastAsia="Times New Roman" w:hAnsi="Times New Roman"/>
          <w:sz w:val="12"/>
          <w:szCs w:val="12"/>
          <w:color w:val="auto"/>
        </w:rPr>
        <w:t xml:space="preserve"> (v) all prepaid expenses set forth on </w:t>
      </w:r>
      <w:r>
        <w:rPr>
          <w:rFonts w:ascii="Times New Roman" w:cs="Times New Roman" w:eastAsia="Times New Roman" w:hAnsi="Times New Roman"/>
          <w:sz w:val="12"/>
          <w:szCs w:val="12"/>
          <w:u w:val="single" w:color="auto"/>
          <w:color w:val="auto"/>
        </w:rPr>
        <w:t>Section 1.1(a)(i)</w:t>
      </w:r>
      <w:r>
        <w:rPr>
          <w:rFonts w:ascii="Times New Roman" w:cs="Times New Roman" w:eastAsia="Times New Roman" w:hAnsi="Times New Roman"/>
          <w:sz w:val="12"/>
          <w:szCs w:val="12"/>
          <w:color w:val="auto"/>
        </w:rPr>
        <w:t xml:space="preserve"> of the Galera Disclosure Schedule,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(vi) the aggregate costs for obtaining the D&amp;O tail insurance policy under </w:t>
      </w:r>
      <w:r>
        <w:rPr>
          <w:rFonts w:ascii="Times New Roman" w:cs="Times New Roman" w:eastAsia="Times New Roman" w:hAnsi="Times New Roman"/>
          <w:sz w:val="12"/>
          <w:szCs w:val="12"/>
          <w:u w:val="single" w:color="auto"/>
          <w:color w:val="auto"/>
        </w:rPr>
        <w:t>Section 7.6(d)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(vii) the mutually agreed estimated settlement amounts for any Transaction Litigation existing as of the Closing, provided that in no event shall such amounts to be deducted from “Galera Net Cash” exceed $500,000 in the aggregate,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(viii) 50% of all fees and expenses incurred by Obsidian associated with the filing, printing and mailing of the Registration Statement and the Galera Information Statement, financial printer and EDGARization expenses associated with SEC filings relating to the Contemplated Transactions and other SEC filing and registration fees (excluding any fees and expenses of legal counsel, financial advisors and accountants), to the extent all such fees are paid by Obsidian, </w:t>
      </w:r>
      <w:r>
        <w:rPr>
          <w:rFonts w:ascii="Times New Roman" w:cs="Times New Roman" w:eastAsia="Times New Roman" w:hAnsi="Times New Roman"/>
          <w:sz w:val="12"/>
          <w:szCs w:val="12"/>
          <w:i w:val="1"/>
          <w:iCs w:val="1"/>
          <w:u w:val="single" w:color="auto"/>
          <w:color w:val="auto"/>
        </w:rPr>
        <w:t>plus</w:t>
      </w:r>
      <w:r>
        <w:rPr>
          <w:rFonts w:ascii="Times New Roman" w:cs="Times New Roman" w:eastAsia="Times New Roman" w:hAnsi="Times New Roman"/>
          <w:sz w:val="12"/>
          <w:szCs w:val="12"/>
          <w:color w:val="auto"/>
        </w:rPr>
        <w:t xml:space="preserve"> (ix) 50% of all fees and expenses incurred by Galera associated with the filing, printing and mailing of the Registration Statement and the Galera Information Statement and other EDGARization expenses associated with SEC filings relating to the Contemplated Transactions (excluding any fees and expenses of legal counsel, financial advisors and accountants), to the extent all such fees are paid by Galera, and </w:t>
      </w:r>
      <w:r>
        <w:rPr>
          <w:rFonts w:ascii="Times New Roman" w:cs="Times New Roman" w:eastAsia="Times New Roman" w:hAnsi="Times New Roman"/>
          <w:sz w:val="12"/>
          <w:szCs w:val="12"/>
          <w:i w:val="1"/>
          <w:iCs w:val="1"/>
          <w:u w:val="single" w:color="auto"/>
          <w:color w:val="auto"/>
        </w:rPr>
        <w:t>plus</w:t>
      </w:r>
      <w:r>
        <w:rPr>
          <w:rFonts w:ascii="Times New Roman" w:cs="Times New Roman" w:eastAsia="Times New Roman" w:hAnsi="Times New Roman"/>
          <w:sz w:val="12"/>
          <w:szCs w:val="12"/>
          <w:color w:val="auto"/>
        </w:rPr>
        <w:t xml:space="preserve"> (x) all Nasdaq fees associated with the Nasdaq Listing Application, to the extent all such fees are paid by Galera. For avoidance of doubt, (1) the Cash and Cash Equivalents received in the Concurrent PIPE Financing will be excluded from the calculation of Galera Net Cash, (2) (3) to the extent Galera has agreed that any amounts in the definition of Galera Net Cash shall be borne by a third party, including pursuant to existing Contractual arrangements, such amounts shall not be deducted from the calculation of Galera Net Cash, and (4) any Permitted Galera Bridge Financing shall not cause the Galera Net Cash to exceed $1,800,000.</w:t>
      </w:r>
    </w:p>
    <w:p>
      <w:pPr>
        <w:spacing w:after="0" w:line="276" w:lineRule="exact"/>
        <w:rPr>
          <w:sz w:val="20"/>
          <w:szCs w:val="20"/>
          <w:color w:val="auto"/>
        </w:rPr>
      </w:pPr>
    </w:p>
    <w:p>
      <w:pPr>
        <w:ind w:left="640" w:right="8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Option</w:t>
      </w:r>
      <w:r>
        <w:rPr>
          <w:rFonts w:ascii="Times New Roman" w:cs="Times New Roman" w:eastAsia="Times New Roman" w:hAnsi="Times New Roman"/>
          <w:sz w:val="13"/>
          <w:szCs w:val="13"/>
          <w:color w:val="auto"/>
        </w:rPr>
        <w:t>” means each option to purchase shares of Galera Common Stock granted by Galera, including, without limitation, under the Galera Equity Plans, but, for the avoidance of doubt, excluding the Galera ESPP.</w:t>
      </w:r>
    </w:p>
    <w:p>
      <w:pPr>
        <w:spacing w:after="0" w:line="119" w:lineRule="exact"/>
        <w:rPr>
          <w:sz w:val="20"/>
          <w:szCs w:val="20"/>
          <w:color w:val="auto"/>
        </w:rPr>
      </w:pPr>
    </w:p>
    <w:p>
      <w:pPr>
        <w:ind w:left="640" w:right="75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Outstanding Shares</w:t>
      </w:r>
      <w:r>
        <w:rPr>
          <w:rFonts w:ascii="Times New Roman" w:cs="Times New Roman" w:eastAsia="Times New Roman" w:hAnsi="Times New Roman"/>
          <w:sz w:val="13"/>
          <w:szCs w:val="13"/>
          <w:color w:val="auto"/>
        </w:rPr>
        <w:t xml:space="preserve">” means, subject to </w:t>
      </w:r>
      <w:r>
        <w:rPr>
          <w:rFonts w:ascii="Times New Roman" w:cs="Times New Roman" w:eastAsia="Times New Roman" w:hAnsi="Times New Roman"/>
          <w:sz w:val="13"/>
          <w:szCs w:val="13"/>
          <w:u w:val="single" w:color="auto"/>
          <w:color w:val="auto"/>
        </w:rPr>
        <w:t>Section 2.6(i)</w:t>
      </w:r>
      <w:r>
        <w:rPr>
          <w:rFonts w:ascii="Times New Roman" w:cs="Times New Roman" w:eastAsia="Times New Roman" w:hAnsi="Times New Roman"/>
          <w:sz w:val="13"/>
          <w:szCs w:val="13"/>
          <w:color w:val="auto"/>
        </w:rPr>
        <w:t>, the total number of shares of Galera Common Stock outstanding immediately prior to the Galera Effective Time expressed on a fully-diluted basis (after giving effect to the Galera Preferred Stock Conversion (subject to the proviso at the end of this definition) and the Galera Pre-Funded Warrant Exercise) and assuming, without limitation or duplication, (A) the issuance of shares of Galera Common Stock as a result of the next exercise of all Galera ITM Options immediately prior to the Galera Effective Time, (B) the issuance of shares of Galera Common Stock in respect of Galera Exchangeable Warrants that will be outstanding as of immediately prior to the Galera Effective Time and (C) the exclusion of shares of Galera Common Stock held by Galera as treasury stock or owned by Obsidian or any of its Subsidiaries or any Subsidiary of Galera immediately prior to the Galera Effective Time; provided, that such shares of Galera Common Stock shall be increased by the amount of shares 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2" w:name="page23"/>
    <w:bookmarkEnd w:id="22"/>
    <w:p>
      <w:pPr>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Galera Common Stock issued or underlying any securities of Galera issued in any Permitted Galera Bridge Financing; provided, however, that any shares of Galera Common Stock issued as a result of the conversion of Galera Series C Preferred Stock issued in the Concurrent PIPE Financing will not be included for the purpose of calculating the number of Galera Outstanding Shares.</w:t>
      </w:r>
    </w:p>
    <w:p>
      <w:pPr>
        <w:spacing w:after="0" w:line="128" w:lineRule="exact"/>
        <w:rPr>
          <w:sz w:val="20"/>
          <w:szCs w:val="20"/>
          <w:color w:val="auto"/>
        </w:rPr>
      </w:pPr>
    </w:p>
    <w:p>
      <w:pPr>
        <w:ind w:left="640" w:right="10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Pre-Funded Warrants</w:t>
      </w:r>
      <w:r>
        <w:rPr>
          <w:rFonts w:ascii="Times New Roman" w:cs="Times New Roman" w:eastAsia="Times New Roman" w:hAnsi="Times New Roman"/>
          <w:sz w:val="13"/>
          <w:szCs w:val="13"/>
          <w:color w:val="auto"/>
        </w:rPr>
        <w:t>” means those certain pre-funded common stock purchase warrants, by and between Galera and the holders party thereto.</w:t>
      </w:r>
    </w:p>
    <w:p>
      <w:pPr>
        <w:spacing w:after="0" w:line="119"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Preferred Stock</w:t>
      </w:r>
      <w:r>
        <w:rPr>
          <w:rFonts w:ascii="Times New Roman" w:cs="Times New Roman" w:eastAsia="Times New Roman" w:hAnsi="Times New Roman"/>
          <w:sz w:val="13"/>
          <w:szCs w:val="13"/>
          <w:color w:val="auto"/>
        </w:rPr>
        <w:t>” means, collectively, the Galera Series A Preferred Stock, Galera Series B Preferred Stock and the Galera Series C Preferred Stock.</w:t>
      </w:r>
    </w:p>
    <w:p>
      <w:pPr>
        <w:spacing w:after="0" w:line="119"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Registered IP</w:t>
      </w:r>
      <w:r>
        <w:rPr>
          <w:rFonts w:ascii="Times New Roman" w:cs="Times New Roman" w:eastAsia="Times New Roman" w:hAnsi="Times New Roman"/>
          <w:sz w:val="13"/>
          <w:szCs w:val="13"/>
          <w:color w:val="auto"/>
        </w:rPr>
        <w:t>” means all Galera IP Rights that are registered, filed or issued under the authority of, with or by any Governmental Authority, including all Patents, registered copyrights and registered trademarks and all applications for any of the foregoing.</w:t>
      </w:r>
    </w:p>
    <w:p>
      <w:pPr>
        <w:spacing w:after="0" w:line="119" w:lineRule="exact"/>
        <w:rPr>
          <w:sz w:val="20"/>
          <w:szCs w:val="20"/>
          <w:color w:val="auto"/>
        </w:rPr>
      </w:pPr>
    </w:p>
    <w:p>
      <w:pPr>
        <w:ind w:left="640" w:right="69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Galera Reverse Stock Split</w:t>
      </w:r>
      <w:r>
        <w:rPr>
          <w:rFonts w:ascii="Times New Roman" w:cs="Times New Roman" w:eastAsia="Times New Roman" w:hAnsi="Times New Roman"/>
          <w:sz w:val="12"/>
          <w:szCs w:val="12"/>
          <w:color w:val="auto"/>
        </w:rPr>
        <w:t xml:space="preserve">” means, subject to the approval by the Galera stockholders of an amendment to the Organizational Documents of the Galera authorizing the same, a reverse stock split of Galera Common Stock with a split ratio between 1:75 and 1:125 (the </w:t>
      </w:r>
      <w:r>
        <w:rPr>
          <w:rFonts w:ascii="Times New Roman" w:cs="Times New Roman" w:eastAsia="Times New Roman" w:hAnsi="Times New Roman"/>
          <w:sz w:val="12"/>
          <w:szCs w:val="12"/>
          <w:b w:val="1"/>
          <w:bCs w:val="1"/>
          <w:color w:val="auto"/>
        </w:rPr>
        <w:t>“Galera Reverse Stock Split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Proposal</w:t>
      </w:r>
      <w:r>
        <w:rPr>
          <w:rFonts w:ascii="Times New Roman" w:cs="Times New Roman" w:eastAsia="Times New Roman" w:hAnsi="Times New Roman"/>
          <w:sz w:val="12"/>
          <w:szCs w:val="12"/>
          <w:color w:val="auto"/>
        </w:rPr>
        <w:t>”) as may be effected by Galera upon a determination by the Galera Board no later than ten (10) calendar days following the Annual Meeting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Stockholders of Galera; provided, that, if Galera submits the Galera Reverse Stock Split Proposal at a Galera Stockholder Meeting in accordance to Section 7.14, such reverse stock split shall be effected no later than ten (10) calendar days following the Galera Stockholder Meeting.</w:t>
      </w:r>
    </w:p>
    <w:p>
      <w:pPr>
        <w:spacing w:after="0" w:line="116"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Series A Preferred Stock</w:t>
      </w:r>
      <w:r>
        <w:rPr>
          <w:rFonts w:ascii="Times New Roman" w:cs="Times New Roman" w:eastAsia="Times New Roman" w:hAnsi="Times New Roman"/>
          <w:sz w:val="13"/>
          <w:szCs w:val="13"/>
          <w:color w:val="auto"/>
        </w:rPr>
        <w:t>” means Galera’s junior participating preferred stock, par value $0.001 per share, with the rights, preferences, powers and privileges thereof specified in the Galera Organizational Documents.</w:t>
      </w:r>
    </w:p>
    <w:p>
      <w:pPr>
        <w:spacing w:after="0" w:line="119" w:lineRule="exact"/>
        <w:rPr>
          <w:sz w:val="20"/>
          <w:szCs w:val="20"/>
          <w:color w:val="auto"/>
        </w:rPr>
      </w:pPr>
    </w:p>
    <w:p>
      <w:pPr>
        <w:ind w:left="640" w:right="8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Series B Preferred Stock</w:t>
      </w:r>
      <w:r>
        <w:rPr>
          <w:rFonts w:ascii="Times New Roman" w:cs="Times New Roman" w:eastAsia="Times New Roman" w:hAnsi="Times New Roman"/>
          <w:sz w:val="13"/>
          <w:szCs w:val="13"/>
          <w:color w:val="auto"/>
        </w:rPr>
        <w:t>” means Galera’s non-voting convertible preferred stock, par value $0.001 per share, with the rights, preferences, powers and privileges specified in the Galera Organizational Documents.</w:t>
      </w:r>
    </w:p>
    <w:p>
      <w:pPr>
        <w:spacing w:after="0" w:line="119" w:lineRule="exact"/>
        <w:rPr>
          <w:sz w:val="20"/>
          <w:szCs w:val="20"/>
          <w:color w:val="auto"/>
        </w:rPr>
      </w:pPr>
    </w:p>
    <w:p>
      <w:pPr>
        <w:ind w:left="640" w:right="67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Series C Preferred Stock</w:t>
      </w:r>
      <w:r>
        <w:rPr>
          <w:rFonts w:ascii="Times New Roman" w:cs="Times New Roman" w:eastAsia="Times New Roman" w:hAnsi="Times New Roman"/>
          <w:sz w:val="13"/>
          <w:szCs w:val="13"/>
          <w:color w:val="auto"/>
        </w:rPr>
        <w:t>” means Galera’s non-voting convertible preferred stock, par value $0.001 per share, to be issued to the purchasers in the Concurrent PIPE Financing, with the rights, preferences, powers and privileges thereof to be specified in certificate of designation of preferences, rights and limitations to be filed with the Secretary of State of the State of Delaware in accordance with Delaware Law.</w:t>
      </w:r>
    </w:p>
    <w:p>
      <w:pPr>
        <w:spacing w:after="0" w:line="126"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Terminable Warrants</w:t>
      </w:r>
      <w:r>
        <w:rPr>
          <w:rFonts w:ascii="Times New Roman" w:cs="Times New Roman" w:eastAsia="Times New Roman" w:hAnsi="Times New Roman"/>
          <w:sz w:val="13"/>
          <w:szCs w:val="13"/>
          <w:color w:val="auto"/>
        </w:rPr>
        <w:t>” means those certain warrants to purchase common stock, dated as of May 11, 2020, by and between Galera and the holders party thereto.</w:t>
      </w:r>
    </w:p>
    <w:p>
      <w:pPr>
        <w:spacing w:after="0" w:line="119"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Galera Triggering Event</w:t>
      </w:r>
      <w:r>
        <w:rPr>
          <w:rFonts w:ascii="Times New Roman" w:cs="Times New Roman" w:eastAsia="Times New Roman" w:hAnsi="Times New Roman"/>
          <w:sz w:val="12"/>
          <w:szCs w:val="12"/>
          <w:color w:val="auto"/>
        </w:rPr>
        <w:t xml:space="preserve">” shall be deemed to have occurred if: (i) Galera shall have failed to include in the Galera Information Statement the Galera Board Recommendation, (ii) the Galera Board or any committee thereof shall have made a Galera Board Adverse Recommendation Change or approved, endorsed or recommended any Acquisition Proposal (other than with Obsidian), (iii) Galera shall have entered into any letter of intent or similar document or any Contract relating to any Acquisition Proposal (other than an Acceptable Confidentiality Agreement pursuant to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or</w:t>
      </w:r>
    </w:p>
    <w:p>
      <w:pPr>
        <w:ind w:left="640" w:right="719" w:hanging="3"/>
        <w:spacing w:after="0" w:line="246" w:lineRule="auto"/>
        <w:tabs>
          <w:tab w:leader="none" w:pos="854"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Galera Board or any committee thereof shall have failed to recommend against any Acquisition Proposal that is a tender offer or exchange offer within 10 Business Days after the commencement thereof.</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“Galera </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 means, collectively, the Galera Exchangeable Warrants, the Galera Pre-Funded Warrants and the Galera Terminable Warrants.</w:t>
      </w:r>
    </w:p>
    <w:p>
      <w:pPr>
        <w:spacing w:after="0" w:line="154" w:lineRule="exact"/>
        <w:rPr>
          <w:sz w:val="20"/>
          <w:szCs w:val="20"/>
          <w:color w:val="auto"/>
        </w:rPr>
      </w:pPr>
    </w:p>
    <w:p>
      <w:pPr>
        <w:ind w:left="640" w:right="69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means any: (i) nation, state, commonwealth, province, territory, county, municipality, district or other jurisdiction of any nature, (ii) federal, state, local, municipal, foreign, supra-national or other government or institution,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Nasdaq).</w:t>
      </w:r>
    </w:p>
    <w:p>
      <w:pPr>
        <w:spacing w:after="0" w:line="131" w:lineRule="exact"/>
        <w:rPr>
          <w:sz w:val="20"/>
          <w:szCs w:val="20"/>
          <w:color w:val="auto"/>
        </w:rPr>
      </w:pPr>
    </w:p>
    <w:p>
      <w:pPr>
        <w:ind w:left="640" w:right="77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Authorization</w:t>
      </w:r>
      <w:r>
        <w:rPr>
          <w:rFonts w:ascii="Times New Roman" w:cs="Times New Roman" w:eastAsia="Times New Roman" w:hAnsi="Times New Roman"/>
          <w:sz w:val="13"/>
          <w:szCs w:val="13"/>
          <w:color w:val="auto"/>
        </w:rPr>
        <w:t>” means any: permit, license, certificate, franchise, permission, variance, exception, order, approval, clearance, registration, qualification or authorization issued, granted, given or otherwise made available by or under the authority of any Governmental Authority or pursuant to any Law.</w:t>
      </w:r>
    </w:p>
    <w:p>
      <w:pPr>
        <w:spacing w:after="0" w:line="126" w:lineRule="exact"/>
        <w:rPr>
          <w:sz w:val="20"/>
          <w:szCs w:val="20"/>
          <w:color w:val="auto"/>
        </w:rPr>
      </w:pPr>
    </w:p>
    <w:p>
      <w:pPr>
        <w:ind w:left="640" w:right="81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Hazardous Materials</w:t>
      </w:r>
      <w:r>
        <w:rPr>
          <w:rFonts w:ascii="Times New Roman" w:cs="Times New Roman" w:eastAsia="Times New Roman" w:hAnsi="Times New Roman"/>
          <w:sz w:val="12"/>
          <w:szCs w:val="12"/>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10"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means any and all intellectual property and similar proprietary rights of any kind or nature, whether protected, created or arising under any Law, throughout the world, including any and all state, United States, international and/or foreign or other territorial or regional rights in, arising out of or associated with any of the following: (i) United States, foreign and international patents, patent applications, including all provisional applications, non-provisional applications, substitutions, divisionals, continuations, continuations-in-part, reissues, renewals, extensions, supplementary protection certificates, reexaminations, term extensions, confirmations, certificates of invention and the equivalents of any of the foregoing, statutory invention registrations, invention disclosures and inventions (collectively, “</w:t>
      </w:r>
      <w:r>
        <w:rPr>
          <w:rFonts w:ascii="Times New Roman" w:cs="Times New Roman" w:eastAsia="Times New Roman" w:hAnsi="Times New Roman"/>
          <w:sz w:val="13"/>
          <w:szCs w:val="13"/>
          <w:b w:val="1"/>
          <w:bCs w:val="1"/>
          <w:color w:val="auto"/>
        </w:rPr>
        <w:t>Patents</w:t>
      </w:r>
      <w:r>
        <w:rPr>
          <w:rFonts w:ascii="Times New Roman" w:cs="Times New Roman" w:eastAsia="Times New Roman" w:hAnsi="Times New Roman"/>
          <w:sz w:val="13"/>
          <w:szCs w:val="13"/>
          <w:color w:val="auto"/>
        </w:rPr>
        <w:t>”), (ii) trademarks, service marks, trade names, domain names, corporate names, brand names, URLs or other names and locators associated with the internet, trade dress, logos and other source identifiers, including registrations and applications for registration thereof and goodwill associated therewith and symbolized thereby, (iii) works of authorship (whether or not copyrightable) and all copyrights, copyrightable works, derivative works, including registrations and applications for registration thereof, and all renewals, extensions, restorations or reversions of the foregoing, including all rights of authorship, use, publication, publicity, reproduction, distribution, income, performance and transformation, (iv) software, including all source code, object code, firmware, development tools files, records and data, all media on which any of the foregoing is recorded, and all related documentation, (v) all inventions, invention disclosures, improvements, formulae, customer lists, trade secrets (including those trade secrets defined in the Uniform Trade Secrets Act and under corresponding foreign statutory and common Law), know-how (including recipes, specifications, formulae, manufacturing and other processes, operating procedures, methods,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24" w:name="page25"/>
    <w:bookmarkEnd w:id="24"/>
    <w:p>
      <w:pPr>
        <w:ind w:left="640" w:right="7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techniques and all research and development information), technology, technical data, databases, data collections, confidential information and other proprietary rights and intellectual property, whether patentable or not, and all documentation relating to any of the foregoing, (vi) registrations, applications, extensions, restorations and renewals of any of the foregoing in any jurisdiction, (vii) all United States and foreign rights arising under or associated with any of the foregoing, (viii) all rights to sue or recover and retain damages and costs and attorneys’ fees for the past, present or future infringement, dilution, misappropriation, or other violation of any of the foregoing anywhere in the world and (ix) all other rights similar or pertaining to, or tangible embodiments of, any of the foregoing in any country worldwide.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means the United States Internal Revenue Service.</w:t>
      </w:r>
    </w:p>
    <w:p>
      <w:pPr>
        <w:spacing w:after="0" w:line="154"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Key Employee</w:t>
      </w:r>
      <w:r>
        <w:rPr>
          <w:rFonts w:ascii="Times New Roman" w:cs="Times New Roman" w:eastAsia="Times New Roman" w:hAnsi="Times New Roman"/>
          <w:sz w:val="13"/>
          <w:szCs w:val="13"/>
          <w:color w:val="auto"/>
        </w:rPr>
        <w:t>” means, with respect to any Person, (i) an executive officer of such Person; and (ii) any employee of such Person, that reports directly to the chief executive officer of such Person.</w:t>
      </w:r>
    </w:p>
    <w:p>
      <w:pPr>
        <w:spacing w:after="0" w:line="119"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Knowledge</w:t>
      </w:r>
      <w:r>
        <w:rPr>
          <w:rFonts w:ascii="Times New Roman" w:cs="Times New Roman" w:eastAsia="Times New Roman" w:hAnsi="Times New Roman"/>
          <w:sz w:val="13"/>
          <w:szCs w:val="13"/>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135" w:lineRule="exact"/>
        <w:rPr>
          <w:sz w:val="20"/>
          <w:szCs w:val="20"/>
          <w:color w:val="auto"/>
        </w:rPr>
      </w:pPr>
    </w:p>
    <w:p>
      <w:pPr>
        <w:ind w:left="640" w:right="79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Law</w:t>
      </w:r>
      <w:r>
        <w:rPr>
          <w:rFonts w:ascii="Times New Roman" w:cs="Times New Roman" w:eastAsia="Times New Roman" w:hAnsi="Times New Roman"/>
          <w:sz w:val="13"/>
          <w:szCs w:val="13"/>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30" w:lineRule="exact"/>
        <w:rPr>
          <w:sz w:val="20"/>
          <w:szCs w:val="20"/>
          <w:color w:val="auto"/>
        </w:rPr>
      </w:pPr>
    </w:p>
    <w:p>
      <w:pPr>
        <w:jc w:val="both"/>
        <w:ind w:left="640" w:right="81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Legal Proceeding</w:t>
      </w:r>
      <w:r>
        <w:rPr>
          <w:rFonts w:ascii="Times New Roman" w:cs="Times New Roman" w:eastAsia="Times New Roman" w:hAnsi="Times New Roman"/>
          <w:sz w:val="13"/>
          <w:szCs w:val="13"/>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26"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Shares</w:t>
      </w:r>
      <w:r>
        <w:rPr>
          <w:rFonts w:ascii="Times New Roman" w:cs="Times New Roman" w:eastAsia="Times New Roman" w:hAnsi="Times New Roman"/>
          <w:sz w:val="13"/>
          <w:szCs w:val="13"/>
          <w:color w:val="auto"/>
        </w:rPr>
        <w:t xml:space="preserve">” means the sum determined by adding (i) the Obsidian Merger Shares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Galera Merger Shares,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the Concurrent PIPE Financing Merger Shares, in which:</w:t>
      </w:r>
    </w:p>
    <w:p>
      <w:pPr>
        <w:spacing w:after="0" w:line="52" w:lineRule="exact"/>
        <w:rPr>
          <w:sz w:val="20"/>
          <w:szCs w:val="20"/>
          <w:color w:val="auto"/>
        </w:rPr>
      </w:pPr>
    </w:p>
    <w:p>
      <w:pPr>
        <w:ind w:left="1320" w:right="899" w:hanging="379"/>
        <w:spacing w:after="0" w:line="270"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Valuation</w:t>
      </w:r>
      <w:r>
        <w:rPr>
          <w:rFonts w:ascii="Times New Roman" w:cs="Times New Roman" w:eastAsia="Times New Roman" w:hAnsi="Times New Roman"/>
          <w:sz w:val="13"/>
          <w:szCs w:val="13"/>
          <w:color w:val="auto"/>
        </w:rPr>
        <w:t xml:space="preserve">” means the sum of (A) the Obsidian Equity Value,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(B) the Galera Valuation,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(C) the Concurrent PIPE Financing Proceeds.</w:t>
      </w:r>
    </w:p>
    <w:p>
      <w:pPr>
        <w:spacing w:after="0" w:line="52" w:lineRule="exact"/>
        <w:rPr>
          <w:rFonts w:ascii="Times New Roman" w:cs="Times New Roman" w:eastAsia="Times New Roman" w:hAnsi="Times New Roman"/>
          <w:sz w:val="13"/>
          <w:szCs w:val="13"/>
          <w:color w:val="auto"/>
        </w:rPr>
      </w:pPr>
    </w:p>
    <w:p>
      <w:pPr>
        <w:ind w:left="1320" w:right="659" w:hanging="379"/>
        <w:spacing w:after="0" w:line="270"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Concurrent PIPE Financing Allocation Percentage</w:t>
      </w:r>
      <w:r>
        <w:rPr>
          <w:rFonts w:ascii="Times New Roman" w:cs="Times New Roman" w:eastAsia="Times New Roman" w:hAnsi="Times New Roman"/>
          <w:sz w:val="13"/>
          <w:szCs w:val="13"/>
          <w:color w:val="auto"/>
        </w:rPr>
        <w:t xml:space="preserve">” means the quotient (rounded to four decimal places) determined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(i) the Concurrent PIPE Financing Proceeds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Aggregate Valuation.</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5" w:name="page26"/>
    <w:bookmarkEnd w:id="25"/>
    <w:p>
      <w:pPr>
        <w:ind w:left="1320" w:right="959" w:hanging="379"/>
        <w:spacing w:after="0" w:line="270"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Concurrent PIPE Financing Merger Shares</w:t>
      </w:r>
      <w:r>
        <w:rPr>
          <w:rFonts w:ascii="Times New Roman" w:cs="Times New Roman" w:eastAsia="Times New Roman" w:hAnsi="Times New Roman"/>
          <w:sz w:val="13"/>
          <w:szCs w:val="13"/>
          <w:color w:val="auto"/>
        </w:rPr>
        <w:t>” means, the product determined by multiplying (i) the Post-Closing Parent Shares by (ii) the Concurrent PIPE Financing Allocation Percentage.</w:t>
      </w:r>
    </w:p>
    <w:p>
      <w:pPr>
        <w:spacing w:after="0" w:line="52" w:lineRule="exact"/>
        <w:rPr>
          <w:rFonts w:ascii="Times New Roman" w:cs="Times New Roman" w:eastAsia="Times New Roman" w:hAnsi="Times New Roman"/>
          <w:sz w:val="13"/>
          <w:szCs w:val="13"/>
          <w:color w:val="auto"/>
        </w:rPr>
      </w:pPr>
    </w:p>
    <w:p>
      <w:pPr>
        <w:ind w:left="1320" w:right="899" w:hanging="379"/>
        <w:spacing w:after="0" w:line="313" w:lineRule="auto"/>
        <w:tabs>
          <w:tab w:leader="none" w:pos="13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Concurrent PIPE Financing Proceeds</w:t>
      </w:r>
      <w:r>
        <w:rPr>
          <w:rFonts w:ascii="Times New Roman" w:cs="Times New Roman" w:eastAsia="Times New Roman" w:hAnsi="Times New Roman"/>
          <w:sz w:val="12"/>
          <w:szCs w:val="12"/>
          <w:color w:val="auto"/>
        </w:rPr>
        <w:t xml:space="preserve">” means the proceeds resulting from the Concurrent PIPE Financing,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proceeds shall be reduced on a dollar-for-dollar basis to the extent actually paid in any Permitted Obsidian Bridge Financing.</w:t>
      </w:r>
    </w:p>
    <w:p>
      <w:pPr>
        <w:spacing w:after="0" w:line="28" w:lineRule="exact"/>
        <w:rPr>
          <w:rFonts w:ascii="Times New Roman" w:cs="Times New Roman" w:eastAsia="Times New Roman" w:hAnsi="Times New Roman"/>
          <w:sz w:val="12"/>
          <w:szCs w:val="12"/>
          <w:color w:val="auto"/>
        </w:rPr>
      </w:pPr>
    </w:p>
    <w:p>
      <w:pPr>
        <w:ind w:left="1320" w:hanging="379"/>
        <w:spacing w:after="0"/>
        <w:tabs>
          <w:tab w:leader="none" w:pos="13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Galera Allocation Percentage</w:t>
      </w:r>
      <w:r>
        <w:rPr>
          <w:rFonts w:ascii="Times New Roman" w:cs="Times New Roman" w:eastAsia="Times New Roman" w:hAnsi="Times New Roman"/>
          <w:sz w:val="12"/>
          <w:szCs w:val="12"/>
          <w:color w:val="auto"/>
        </w:rPr>
        <w:t xml:space="preserve">” means the quotient (rounded to four decimal places) determined by </w:t>
      </w:r>
      <w:r>
        <w:rPr>
          <w:rFonts w:ascii="Times New Roman" w:cs="Times New Roman" w:eastAsia="Times New Roman" w:hAnsi="Times New Roman"/>
          <w:sz w:val="12"/>
          <w:szCs w:val="12"/>
          <w:i w:val="1"/>
          <w:iCs w:val="1"/>
          <w:color w:val="auto"/>
        </w:rPr>
        <w:t>dividing</w:t>
      </w:r>
      <w:r>
        <w:rPr>
          <w:rFonts w:ascii="Times New Roman" w:cs="Times New Roman" w:eastAsia="Times New Roman" w:hAnsi="Times New Roman"/>
          <w:sz w:val="12"/>
          <w:szCs w:val="12"/>
          <w:color w:val="auto"/>
        </w:rPr>
        <w:t xml:space="preserve"> (A) the Galera Valuation </w:t>
      </w:r>
      <w:r>
        <w:rPr>
          <w:rFonts w:ascii="Times New Roman" w:cs="Times New Roman" w:eastAsia="Times New Roman" w:hAnsi="Times New Roman"/>
          <w:sz w:val="12"/>
          <w:szCs w:val="12"/>
          <w:i w:val="1"/>
          <w:iCs w:val="1"/>
          <w:color w:val="auto"/>
        </w:rPr>
        <w:t>by</w:t>
      </w:r>
    </w:p>
    <w:p>
      <w:pPr>
        <w:spacing w:after="0" w:line="28" w:lineRule="exact"/>
        <w:rPr>
          <w:rFonts w:ascii="Times New Roman" w:cs="Times New Roman" w:eastAsia="Times New Roman" w:hAnsi="Times New Roman"/>
          <w:sz w:val="12"/>
          <w:szCs w:val="12"/>
          <w:color w:val="auto"/>
        </w:rPr>
      </w:pPr>
    </w:p>
    <w:p>
      <w:pPr>
        <w:ind w:left="13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the Aggregate Valuation.</w:t>
      </w:r>
    </w:p>
    <w:p>
      <w:pPr>
        <w:spacing w:after="0" w:line="72" w:lineRule="exact"/>
        <w:rPr>
          <w:rFonts w:ascii="Times New Roman" w:cs="Times New Roman" w:eastAsia="Times New Roman" w:hAnsi="Times New Roman"/>
          <w:sz w:val="12"/>
          <w:szCs w:val="12"/>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Equity Value</w:t>
      </w:r>
      <w:r>
        <w:rPr>
          <w:rFonts w:ascii="Times New Roman" w:cs="Times New Roman" w:eastAsia="Times New Roman" w:hAnsi="Times New Roman"/>
          <w:sz w:val="13"/>
          <w:szCs w:val="13"/>
          <w:color w:val="auto"/>
        </w:rPr>
        <w:t>” means $13,800,000.</w:t>
      </w:r>
    </w:p>
    <w:p>
      <w:pPr>
        <w:spacing w:after="0" w:line="87" w:lineRule="exact"/>
        <w:rPr>
          <w:rFonts w:ascii="Times New Roman" w:cs="Times New Roman" w:eastAsia="Times New Roman" w:hAnsi="Times New Roman"/>
          <w:sz w:val="13"/>
          <w:szCs w:val="13"/>
          <w:color w:val="auto"/>
        </w:rPr>
      </w:pPr>
    </w:p>
    <w:p>
      <w:pPr>
        <w:ind w:left="1320" w:right="1199" w:hanging="379"/>
        <w:spacing w:after="0" w:line="270"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Merger Shares</w:t>
      </w:r>
      <w:r>
        <w:rPr>
          <w:rFonts w:ascii="Times New Roman" w:cs="Times New Roman" w:eastAsia="Times New Roman" w:hAnsi="Times New Roman"/>
          <w:sz w:val="13"/>
          <w:szCs w:val="13"/>
          <w:color w:val="auto"/>
        </w:rPr>
        <w:t xml:space="preserve">” the product determined by multiplying (i) the Post-Closing Parent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Galera Allocation Percentage.</w:t>
      </w:r>
    </w:p>
    <w:p>
      <w:pPr>
        <w:spacing w:after="0" w:line="52"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Target Net Cash</w:t>
      </w:r>
      <w:r>
        <w:rPr>
          <w:rFonts w:ascii="Times New Roman" w:cs="Times New Roman" w:eastAsia="Times New Roman" w:hAnsi="Times New Roman"/>
          <w:sz w:val="13"/>
          <w:szCs w:val="13"/>
          <w:color w:val="auto"/>
        </w:rPr>
        <w:t>” means $1,800,000.</w:t>
      </w:r>
    </w:p>
    <w:p>
      <w:pPr>
        <w:spacing w:after="0" w:line="87" w:lineRule="exact"/>
        <w:rPr>
          <w:rFonts w:ascii="Times New Roman" w:cs="Times New Roman" w:eastAsia="Times New Roman" w:hAnsi="Times New Roman"/>
          <w:sz w:val="13"/>
          <w:szCs w:val="13"/>
          <w:color w:val="auto"/>
        </w:rPr>
      </w:pPr>
    </w:p>
    <w:p>
      <w:pPr>
        <w:ind w:left="1320" w:right="699" w:hanging="379"/>
        <w:spacing w:after="0" w:line="252"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Valuation</w:t>
      </w:r>
      <w:r>
        <w:rPr>
          <w:rFonts w:ascii="Times New Roman" w:cs="Times New Roman" w:eastAsia="Times New Roman" w:hAnsi="Times New Roman"/>
          <w:sz w:val="13"/>
          <w:szCs w:val="13"/>
          <w:color w:val="auto"/>
        </w:rPr>
        <w:t xml:space="preserve">” means the Galera Equity Value;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Final Galera Net Cash is above or below the Galera Target Net Cash, then the Galera Valuation will be adjusted (up or down, as applicable) on a dollar-for-dollar basis by the difference of (i) the Final Galera Net Cash and (ii) the Galera Target Net Cash;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no event shall any Permitted Galera Bridge Financing cause the Final Galera Net Cash to be greater than $1,800,000.</w:t>
      </w:r>
    </w:p>
    <w:p>
      <w:pPr>
        <w:spacing w:after="0" w:line="63" w:lineRule="exact"/>
        <w:rPr>
          <w:rFonts w:ascii="Times New Roman" w:cs="Times New Roman" w:eastAsia="Times New Roman" w:hAnsi="Times New Roman"/>
          <w:sz w:val="13"/>
          <w:szCs w:val="13"/>
          <w:color w:val="auto"/>
        </w:rPr>
      </w:pPr>
    </w:p>
    <w:p>
      <w:pPr>
        <w:ind w:left="1320" w:right="759" w:hanging="379"/>
        <w:spacing w:after="0" w:line="270"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Allocation Percentage</w:t>
      </w:r>
      <w:r>
        <w:rPr>
          <w:rFonts w:ascii="Times New Roman" w:cs="Times New Roman" w:eastAsia="Times New Roman" w:hAnsi="Times New Roman"/>
          <w:sz w:val="13"/>
          <w:szCs w:val="13"/>
          <w:color w:val="auto"/>
        </w:rPr>
        <w:t xml:space="preserve">” means the quotient (rounded to four decimal places) determined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(A) the Obsidian Equity Value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(B) the Aggregate Valuation.</w:t>
      </w:r>
    </w:p>
    <w:p>
      <w:pPr>
        <w:spacing w:after="0" w:line="52"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Equity Value</w:t>
      </w:r>
      <w:r>
        <w:rPr>
          <w:rFonts w:ascii="Times New Roman" w:cs="Times New Roman" w:eastAsia="Times New Roman" w:hAnsi="Times New Roman"/>
          <w:sz w:val="13"/>
          <w:szCs w:val="13"/>
          <w:color w:val="auto"/>
        </w:rPr>
        <w:t>” means $413,500,000.</w:t>
      </w:r>
    </w:p>
    <w:p>
      <w:pPr>
        <w:spacing w:after="0" w:line="87" w:lineRule="exact"/>
        <w:rPr>
          <w:rFonts w:ascii="Times New Roman" w:cs="Times New Roman" w:eastAsia="Times New Roman" w:hAnsi="Times New Roman"/>
          <w:sz w:val="13"/>
          <w:szCs w:val="13"/>
          <w:color w:val="auto"/>
        </w:rPr>
      </w:pPr>
    </w:p>
    <w:p>
      <w:pPr>
        <w:ind w:left="1320" w:right="1179" w:hanging="379"/>
        <w:spacing w:after="0" w:line="270"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Merger Shares</w:t>
      </w:r>
      <w:r>
        <w:rPr>
          <w:rFonts w:ascii="Times New Roman" w:cs="Times New Roman" w:eastAsia="Times New Roman" w:hAnsi="Times New Roman"/>
          <w:sz w:val="13"/>
          <w:szCs w:val="13"/>
          <w:color w:val="auto"/>
        </w:rPr>
        <w:t xml:space="preserve">” means the product determined by multiplying (i) the Post-Closing Parent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Obsidian Allocation Percentage.</w:t>
      </w:r>
    </w:p>
    <w:p>
      <w:pPr>
        <w:spacing w:after="0" w:line="52" w:lineRule="exact"/>
        <w:rPr>
          <w:rFonts w:ascii="Times New Roman" w:cs="Times New Roman" w:eastAsia="Times New Roman" w:hAnsi="Times New Roman"/>
          <w:sz w:val="13"/>
          <w:szCs w:val="13"/>
          <w:color w:val="auto"/>
        </w:rPr>
      </w:pPr>
    </w:p>
    <w:p>
      <w:pPr>
        <w:ind w:left="1320" w:right="779" w:hanging="379"/>
        <w:spacing w:after="0" w:line="25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Post-Closing Parent Shares</w:t>
      </w:r>
      <w:r>
        <w:rPr>
          <w:rFonts w:ascii="Times New Roman" w:cs="Times New Roman" w:eastAsia="Times New Roman" w:hAnsi="Times New Roman"/>
          <w:sz w:val="13"/>
          <w:szCs w:val="13"/>
          <w:color w:val="auto"/>
        </w:rPr>
        <w:t>” mean the total number of shares of Parent Common Stock outstanding immediately after the Obsidian Effective Time and the Galera Effective Time expressed on a fully-diluted basis, subject to the assumptions set forth on Section 1.1(a)(ii) of the Obsidian Disclosure Schedule.</w:t>
      </w:r>
    </w:p>
    <w:p>
      <w:pPr>
        <w:spacing w:after="0" w:line="128"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For the avoidance of doubt, the Concurrent PIPE Financing Proceeds shall not be included in the calculation or determination of the Galera Valuation or any component thereof. Set forth on Section 1.1(a)(ii) on the Obsidian Disclosure Schedule is an illustrative example of the calculation of the Merger Shares.</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Multiemployer Plan</w:t>
      </w:r>
      <w:r>
        <w:rPr>
          <w:rFonts w:ascii="Times New Roman" w:cs="Times New Roman" w:eastAsia="Times New Roman" w:hAnsi="Times New Roman"/>
          <w:sz w:val="13"/>
          <w:szCs w:val="13"/>
          <w:color w:val="auto"/>
        </w:rPr>
        <w:t>” means a “multiemployer plan,” as defined in Section 3(37) or 4001(a)(3) of ERISA.</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Multiple Employer Plan</w:t>
      </w:r>
      <w:r>
        <w:rPr>
          <w:rFonts w:ascii="Times New Roman" w:cs="Times New Roman" w:eastAsia="Times New Roman" w:hAnsi="Times New Roman"/>
          <w:sz w:val="13"/>
          <w:szCs w:val="13"/>
          <w:color w:val="auto"/>
        </w:rPr>
        <w:t>” means a “multiple employer plan” as described in Section 413(c) of ERISA.</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Multiple Employer Welfare Arrangement</w:t>
      </w:r>
      <w:r>
        <w:rPr>
          <w:rFonts w:ascii="Times New Roman" w:cs="Times New Roman" w:eastAsia="Times New Roman" w:hAnsi="Times New Roman"/>
          <w:sz w:val="13"/>
          <w:szCs w:val="13"/>
          <w:color w:val="auto"/>
        </w:rPr>
        <w:t>” means a “multiple employer welfare arrangement” within the meaning of Section 3(40) of ERISA.</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means The Nasdaq Stock Market, which, for the avoidance of doubt, does not include the OTC Market Group, Inc.</w:t>
      </w:r>
    </w:p>
    <w:p>
      <w:pPr>
        <w:spacing w:after="0" w:line="154" w:lineRule="exact"/>
        <w:rPr>
          <w:sz w:val="20"/>
          <w:szCs w:val="20"/>
          <w:color w:val="auto"/>
        </w:rPr>
      </w:pPr>
    </w:p>
    <w:p>
      <w:pPr>
        <w:ind w:left="640" w:right="10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Associate</w:t>
      </w:r>
      <w:r>
        <w:rPr>
          <w:rFonts w:ascii="Times New Roman" w:cs="Times New Roman" w:eastAsia="Times New Roman" w:hAnsi="Times New Roman"/>
          <w:sz w:val="13"/>
          <w:szCs w:val="13"/>
          <w:color w:val="auto"/>
        </w:rPr>
        <w:t>” means any current or former employee, officer, director, independent contractor or other non-employee service provider of Obsidian or any of its Subsidiaries.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Balance Sheet</w:t>
      </w:r>
      <w:r>
        <w:rPr>
          <w:rFonts w:ascii="Times New Roman" w:cs="Times New Roman" w:eastAsia="Times New Roman" w:hAnsi="Times New Roman"/>
          <w:sz w:val="13"/>
          <w:szCs w:val="13"/>
          <w:color w:val="auto"/>
        </w:rPr>
        <w:t>” means the audited balance sheet of Obsidian for the years ended December 31, 2024 and December 31, 2025</w:t>
      </w:r>
      <w:r>
        <w:rPr>
          <w:rFonts w:ascii="Times New Roman" w:cs="Times New Roman" w:eastAsia="Times New Roman" w:hAnsi="Times New Roman"/>
          <w:sz w:val="13"/>
          <w:szCs w:val="13"/>
          <w:b w:val="1"/>
          <w:bCs w:val="1"/>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Capital Stock</w:t>
      </w:r>
      <w:r>
        <w:rPr>
          <w:rFonts w:ascii="Times New Roman" w:cs="Times New Roman" w:eastAsia="Times New Roman" w:hAnsi="Times New Roman"/>
          <w:sz w:val="13"/>
          <w:szCs w:val="13"/>
          <w:color w:val="auto"/>
        </w:rPr>
        <w:t>” means Obsidian Common Stock and Obsidian Preferred Stock.</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Capitalization Representations</w:t>
      </w:r>
      <w:r>
        <w:rPr>
          <w:rFonts w:ascii="Times New Roman" w:cs="Times New Roman" w:eastAsia="Times New Roman" w:hAnsi="Times New Roman"/>
          <w:sz w:val="13"/>
          <w:szCs w:val="13"/>
          <w:color w:val="auto"/>
        </w:rPr>
        <w:t xml:space="preserve">” means the representations and warranties of Obsidian set forth in </w:t>
      </w:r>
      <w:r>
        <w:rPr>
          <w:rFonts w:ascii="Times New Roman" w:cs="Times New Roman" w:eastAsia="Times New Roman" w:hAnsi="Times New Roman"/>
          <w:sz w:val="13"/>
          <w:szCs w:val="13"/>
          <w:u w:val="single" w:color="auto"/>
          <w:color w:val="auto"/>
        </w:rPr>
        <w:t>Sections 3.6(a)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3.6(d)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Common Stock</w:t>
      </w:r>
      <w:r>
        <w:rPr>
          <w:rFonts w:ascii="Times New Roman" w:cs="Times New Roman" w:eastAsia="Times New Roman" w:hAnsi="Times New Roman"/>
          <w:sz w:val="13"/>
          <w:szCs w:val="13"/>
          <w:color w:val="auto"/>
        </w:rPr>
        <w:t>” means the common stock, $0.0001 par value per share, of Obsidian.</w:t>
      </w:r>
    </w:p>
    <w:p>
      <w:pPr>
        <w:spacing w:after="0" w:line="154" w:lineRule="exact"/>
        <w:rPr>
          <w:sz w:val="20"/>
          <w:szCs w:val="20"/>
          <w:color w:val="auto"/>
        </w:rPr>
      </w:pPr>
    </w:p>
    <w:p>
      <w:pPr>
        <w:ind w:left="640" w:right="77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Contract</w:t>
      </w:r>
      <w:r>
        <w:rPr>
          <w:rFonts w:ascii="Times New Roman" w:cs="Times New Roman" w:eastAsia="Times New Roman" w:hAnsi="Times New Roman"/>
          <w:sz w:val="12"/>
          <w:szCs w:val="12"/>
          <w:color w:val="auto"/>
        </w:rPr>
        <w:t>” means any Contract: (i) to which Obsidian or any of its Subsidiaries is a Party, (ii) by which Obsidian or any of its Subsidiaries, or any Obsidian IP Rights or any other asset of Obsidian, is or may become bound or under which Obsidian or any of its Subsidiaries has, or may become subject to, any obligation or (iii) under which Obsidian or any of its Subsidiaries has or may acquire any right or interest.</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Convertible Notes</w:t>
      </w:r>
      <w:r>
        <w:rPr>
          <w:rFonts w:ascii="Times New Roman" w:cs="Times New Roman" w:eastAsia="Times New Roman" w:hAnsi="Times New Roman"/>
          <w:sz w:val="13"/>
          <w:szCs w:val="13"/>
          <w:color w:val="auto"/>
        </w:rPr>
        <w:t>” means any cash convertible notes as may be issued in connection with the Permitted Obsidian Bridge Financing.</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Employee Plan</w:t>
      </w:r>
      <w:r>
        <w:rPr>
          <w:rFonts w:ascii="Times New Roman" w:cs="Times New Roman" w:eastAsia="Times New Roman" w:hAnsi="Times New Roman"/>
          <w:sz w:val="12"/>
          <w:szCs w:val="12"/>
          <w:color w:val="auto"/>
        </w:rPr>
        <w:t>” means any Employee Plan that Obsidian or any of its Subsidiaries (i) sponsors, maintains, administers, or contributes to, or</w:t>
      </w:r>
    </w:p>
    <w:p>
      <w:pPr>
        <w:spacing w:after="0" w:line="29" w:lineRule="exact"/>
        <w:rPr>
          <w:sz w:val="20"/>
          <w:szCs w:val="20"/>
          <w:color w:val="auto"/>
        </w:rPr>
      </w:pPr>
    </w:p>
    <w:p>
      <w:pPr>
        <w:ind w:left="640" w:right="719" w:hanging="3"/>
        <w:spacing w:after="0" w:line="245" w:lineRule="auto"/>
        <w:tabs>
          <w:tab w:leader="none" w:pos="826"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benefits under or through, or (iii) has any obligation to contribute to or provide benefits under or through, or (iv) may reasonably be expected to have any Liability with respect to (including on account of an ERISA Affiliate), or (v) utilizes to provide benefits to or otherwise cover any Obsidian Associate (or their spouses, dependents, or beneficiaries).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Equity Plan</w:t>
      </w:r>
      <w:r>
        <w:rPr>
          <w:rFonts w:ascii="Times New Roman" w:cs="Times New Roman" w:eastAsia="Times New Roman" w:hAnsi="Times New Roman"/>
          <w:sz w:val="13"/>
          <w:szCs w:val="13"/>
          <w:color w:val="auto"/>
        </w:rPr>
        <w:t>” means the Obsidian 2016 Stock Option Plan and Grant Plan, as amended from time to time.</w:t>
      </w:r>
    </w:p>
    <w:p>
      <w:pPr>
        <w:spacing w:after="0" w:line="154"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Exchange Ratio</w:t>
      </w:r>
      <w:r>
        <w:rPr>
          <w:rFonts w:ascii="Times New Roman" w:cs="Times New Roman" w:eastAsia="Times New Roman" w:hAnsi="Times New Roman"/>
          <w:sz w:val="13"/>
          <w:szCs w:val="13"/>
          <w:color w:val="auto"/>
        </w:rPr>
        <w:t xml:space="preserve">” means the quotient (rounded to four decimal places) obtained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(i) the number of Obsidian Merger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number of Obsidian Outstanding Shares.</w:t>
      </w:r>
    </w:p>
    <w:p>
      <w:pPr>
        <w:spacing w:after="0" w:line="119"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Fundamental Representations</w:t>
      </w:r>
      <w:r>
        <w:rPr>
          <w:rFonts w:ascii="Times New Roman" w:cs="Times New Roman" w:eastAsia="Times New Roman" w:hAnsi="Times New Roman"/>
          <w:sz w:val="13"/>
          <w:szCs w:val="13"/>
          <w:color w:val="auto"/>
        </w:rPr>
        <w:t xml:space="preserve">” means the representations and warranties of Obsidian set forth in </w:t>
      </w:r>
      <w:r>
        <w:rPr>
          <w:rFonts w:ascii="Times New Roman" w:cs="Times New Roman" w:eastAsia="Times New Roman" w:hAnsi="Times New Roman"/>
          <w:sz w:val="13"/>
          <w:szCs w:val="13"/>
          <w:u w:val="single" w:color="auto"/>
          <w:color w:val="auto"/>
        </w:rPr>
        <w:t>Sections 3.1(a)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3.16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3.20</w:t>
      </w:r>
      <w:r>
        <w:rPr>
          <w:rFonts w:ascii="Times New Roman" w:cs="Times New Roman" w:eastAsia="Times New Roman" w:hAnsi="Times New Roman"/>
          <w:sz w:val="13"/>
          <w:szCs w:val="13"/>
          <w:color w:val="auto"/>
        </w:rPr>
        <w: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27" w:name="page28"/>
    <w:bookmarkEnd w:id="27"/>
    <w:p>
      <w:pPr>
        <w:ind w:left="640" w:right="75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Obsidian IP Rights</w:t>
      </w:r>
      <w:r>
        <w:rPr>
          <w:rFonts w:ascii="Times New Roman" w:cs="Times New Roman" w:eastAsia="Times New Roman" w:hAnsi="Times New Roman"/>
          <w:sz w:val="13"/>
          <w:szCs w:val="13"/>
          <w:color w:val="auto"/>
        </w:rPr>
        <w:t>” means all Intellectual Property rights that are (i) owned or purported to be owned, whether wholly or jointly with others, or controlled by Obsidian or any of its Subsidiaries (“</w:t>
      </w:r>
      <w:r>
        <w:rPr>
          <w:rFonts w:ascii="Times New Roman" w:cs="Times New Roman" w:eastAsia="Times New Roman" w:hAnsi="Times New Roman"/>
          <w:sz w:val="13"/>
          <w:szCs w:val="13"/>
          <w:b w:val="1"/>
          <w:bCs w:val="1"/>
          <w:color w:val="auto"/>
        </w:rPr>
        <w:t>Obsidian Owned IP Rights</w:t>
      </w:r>
      <w:r>
        <w:rPr>
          <w:rFonts w:ascii="Times New Roman" w:cs="Times New Roman" w:eastAsia="Times New Roman" w:hAnsi="Times New Roman"/>
          <w:sz w:val="13"/>
          <w:szCs w:val="13"/>
          <w:color w:val="auto"/>
        </w:rPr>
        <w:t>”), or (ii) licensed or sublicensed by Obsidian or any of its Subsidiaries (“</w:t>
      </w:r>
      <w:r>
        <w:rPr>
          <w:rFonts w:ascii="Times New Roman" w:cs="Times New Roman" w:eastAsia="Times New Roman" w:hAnsi="Times New Roman"/>
          <w:sz w:val="13"/>
          <w:szCs w:val="13"/>
          <w:b w:val="1"/>
          <w:bCs w:val="1"/>
          <w:color w:val="auto"/>
        </w:rPr>
        <w:t>Obsidian Licensed IP Rights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640" w:right="10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IP Rights Agreement</w:t>
      </w:r>
      <w:r>
        <w:rPr>
          <w:rFonts w:ascii="Times New Roman" w:cs="Times New Roman" w:eastAsia="Times New Roman" w:hAnsi="Times New Roman"/>
          <w:sz w:val="13"/>
          <w:szCs w:val="13"/>
          <w:color w:val="auto"/>
        </w:rPr>
        <w:t>” means any Contract governing, related to or pertaining to any Obsidian IP Rights other than any confidential information provided under confidentiality agreements.</w:t>
      </w:r>
    </w:p>
    <w:p>
      <w:pPr>
        <w:spacing w:after="0" w:line="119"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Material Adverse Effect</w:t>
      </w:r>
      <w:r>
        <w:rPr>
          <w:rFonts w:ascii="Times New Roman" w:cs="Times New Roman" w:eastAsia="Times New Roman" w:hAnsi="Times New Roman"/>
          <w:sz w:val="12"/>
          <w:szCs w:val="12"/>
          <w:color w:val="auto"/>
        </w:rPr>
        <w:t xml:space="preserve">” means any Effect that, considered together with all other Effects that have occurred prior to the date of determination of the occurrence of an Obsidian Material Adverse Effect, has had or would reasonably be expected to have a material adverse effect on the business, assets, liabilities, financial condition or results of operations of Obsidian or its Subsidiaries, taken as a whole;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Effects arising or resulting from the following, alone or in combination, shall not be taken into account in determining whether there has been an Obsidian Material Adverse Effect: (i) the announcement of this Agreement, the pendency or the consummation of the Contemplated Transactions, including any adverse change in customer, supplier, governmental, landlord, employee or similar relationships resulting therefrom or with respect thereto, (ii) the taking of any action, or the failure to take any action, by Obsidian that is expressly required to be taken or not taken under the terms and conditions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in, or any compliance with GAAP or applicable Law or the interpretation thereof (provided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Obsidian and its Subsidiaries operate or any changes in the conditions thereof, (vi) any change in the cash position of Obsidian and its Subsidiaries which results from operations in the Ordinary Course of Business, or (vii) any failure of Obsidian to meet any projections, business plans or forecasts (provided that, this clause (vii) shall not prevent a determination that any change or effect underlying such failure to meet projections, business plans or forecasts has resulted in an Obsidian Material Adverse Effect (to the extent such change or effect is not otherwise excluded from this definition of Obsidian Material Adverse Effect)); except in each case with respect to clauses (iii), (iv) and (v), to the extent disproportionately affecting Obsidian and its Subsidiaries, taken as a whole, relative to other similarly situated companies in the industries in which Obsidian and its Subsidiaries operate.</w:t>
      </w:r>
    </w:p>
    <w:p>
      <w:pPr>
        <w:spacing w:after="0" w:line="280" w:lineRule="exact"/>
        <w:rPr>
          <w:sz w:val="20"/>
          <w:szCs w:val="20"/>
          <w:color w:val="auto"/>
        </w:rPr>
      </w:pPr>
    </w:p>
    <w:p>
      <w:pPr>
        <w:ind w:left="640" w:right="9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Option</w:t>
      </w:r>
      <w:r>
        <w:rPr>
          <w:rFonts w:ascii="Times New Roman" w:cs="Times New Roman" w:eastAsia="Times New Roman" w:hAnsi="Times New Roman"/>
          <w:sz w:val="13"/>
          <w:szCs w:val="13"/>
          <w:color w:val="auto"/>
        </w:rPr>
        <w:t>” means each option to purchase shares of Obsidian Common Stock granted by Obsidian including, without limitation, under the Obsidian Equity Plan.</w:t>
      </w:r>
    </w:p>
    <w:p>
      <w:pPr>
        <w:spacing w:after="0" w:line="119" w:lineRule="exact"/>
        <w:rPr>
          <w:sz w:val="20"/>
          <w:szCs w:val="20"/>
          <w:color w:val="auto"/>
        </w:rPr>
      </w:pPr>
    </w:p>
    <w:p>
      <w:pPr>
        <w:ind w:left="640" w:right="83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Outstanding Shares</w:t>
      </w:r>
      <w:r>
        <w:rPr>
          <w:rFonts w:ascii="Times New Roman" w:cs="Times New Roman" w:eastAsia="Times New Roman" w:hAnsi="Times New Roman"/>
          <w:sz w:val="13"/>
          <w:szCs w:val="13"/>
          <w:color w:val="auto"/>
        </w:rPr>
        <w:t>” means, the total number of shares of Obsidian Common Stock outstanding immediately prior to the Obsidian Effective Time (after giving effect to the Obsidian Preferred Stock Conversion and the conversion of the Obsidian Convertible Notes) expressed on a fully-diluted and as-converted to Obsidian Common Stock on a “treasury method” basis 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29" w:right="1440" w:bottom="1440" w:gutter="0" w:footer="0" w:header="0"/>
        </w:sectPr>
      </w:pPr>
    </w:p>
    <w:bookmarkStart w:id="28" w:name="page29"/>
    <w:bookmarkEnd w:id="28"/>
    <w:p>
      <w:pPr>
        <w:ind w:left="640" w:right="71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assuming, without limitation or duplication, the issuance of all shares of Obsidian Common Stock that would be issued assuming the acceleration and exercise and conversion of all Obsidian Options outstanding as of immediately prior to the Obsidian Effective Time (including shares of Obsidian Common Stock underlying Obsidian Options that will not be accelerated or exercised immediately prior to the Obsidian Effective Time) and the issuance of shares of Obsidian Common Stock that would be issued assuming the exercise of the PacWest Warrant of immediately prior to the Obsidian Effective Time; provided, that such shares of Obsidian Common Stock shall be increased by the amount of shares of Obsidian Common Stock underlying any Obsidian Convertible Notes issued in any Permitted Obsidian Bridge Financing.</w:t>
      </w:r>
    </w:p>
    <w:p>
      <w:pPr>
        <w:spacing w:after="0" w:line="133"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Preferred Stock</w:t>
      </w:r>
      <w:r>
        <w:rPr>
          <w:rFonts w:ascii="Times New Roman" w:cs="Times New Roman" w:eastAsia="Times New Roman" w:hAnsi="Times New Roman"/>
          <w:sz w:val="13"/>
          <w:szCs w:val="13"/>
          <w:color w:val="auto"/>
        </w:rPr>
        <w:t>” means, collectively, the Obsidian Series A-1 Preferred Stock, Obsidian Series A-2 Preferred Stock, Obsidian Series A-3 Preferred Stock, Obsidian Series B Preferred Stock and Obsidian Series C Preferred Stock.</w:t>
      </w:r>
    </w:p>
    <w:p>
      <w:pPr>
        <w:spacing w:after="0" w:line="119" w:lineRule="exact"/>
        <w:rPr>
          <w:sz w:val="20"/>
          <w:szCs w:val="20"/>
          <w:color w:val="auto"/>
        </w:rPr>
      </w:pPr>
    </w:p>
    <w:p>
      <w:pPr>
        <w:ind w:left="640" w:right="89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Registered IP</w:t>
      </w:r>
      <w:r>
        <w:rPr>
          <w:rFonts w:ascii="Times New Roman" w:cs="Times New Roman" w:eastAsia="Times New Roman" w:hAnsi="Times New Roman"/>
          <w:sz w:val="13"/>
          <w:szCs w:val="13"/>
          <w:color w:val="auto"/>
        </w:rPr>
        <w:t>” means all Obsidian IP Rights that are registered, filed, issued or otherwise granted under the authority of, with or by any Governmental Authority, including all Patents, registered copyrights and registered trademarks and all applications and registrations for any of the foregoing.</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Series A-1 Preferred Stock</w:t>
      </w:r>
      <w:r>
        <w:rPr>
          <w:rFonts w:ascii="Times New Roman" w:cs="Times New Roman" w:eastAsia="Times New Roman" w:hAnsi="Times New Roman"/>
          <w:sz w:val="12"/>
          <w:szCs w:val="12"/>
          <w:color w:val="auto"/>
        </w:rPr>
        <w:t>” means the preferred stock, $0.0001 par value per share, of Obsidian, designated as Series A-1 Preferred Stock.</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Series A-2 Preferred Stock</w:t>
      </w:r>
      <w:r>
        <w:rPr>
          <w:rFonts w:ascii="Times New Roman" w:cs="Times New Roman" w:eastAsia="Times New Roman" w:hAnsi="Times New Roman"/>
          <w:sz w:val="12"/>
          <w:szCs w:val="12"/>
          <w:color w:val="auto"/>
        </w:rPr>
        <w:t>” means the preferred stock, $0.0001 par value per share, of Obsidian, designated as Series A-2 Preferred Stock.</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Series A-3 Preferred Stock</w:t>
      </w:r>
      <w:r>
        <w:rPr>
          <w:rFonts w:ascii="Times New Roman" w:cs="Times New Roman" w:eastAsia="Times New Roman" w:hAnsi="Times New Roman"/>
          <w:sz w:val="12"/>
          <w:szCs w:val="12"/>
          <w:color w:val="auto"/>
        </w:rPr>
        <w:t>” means the preferred stock, $0.0001 par value per share, of Obsidian, designated as Series A-3 Preferred Stock.</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Series B Preferred Stock</w:t>
      </w:r>
      <w:r>
        <w:rPr>
          <w:rFonts w:ascii="Times New Roman" w:cs="Times New Roman" w:eastAsia="Times New Roman" w:hAnsi="Times New Roman"/>
          <w:sz w:val="12"/>
          <w:szCs w:val="12"/>
          <w:color w:val="auto"/>
        </w:rPr>
        <w:t>” means the preferred stock, $0.0001 par value per share, of Obsidian, designated as Series B Preferred Stock.</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Series C Preferred Stock</w:t>
      </w:r>
      <w:r>
        <w:rPr>
          <w:rFonts w:ascii="Times New Roman" w:cs="Times New Roman" w:eastAsia="Times New Roman" w:hAnsi="Times New Roman"/>
          <w:sz w:val="12"/>
          <w:szCs w:val="12"/>
          <w:color w:val="auto"/>
        </w:rPr>
        <w:t>” means the preferred stock, $0.0001 par value per share, of Obsidian, designated as Series C Preferred Stock.</w:t>
      </w:r>
    </w:p>
    <w:p>
      <w:pPr>
        <w:spacing w:after="0" w:line="165" w:lineRule="exact"/>
        <w:rPr>
          <w:sz w:val="20"/>
          <w:szCs w:val="20"/>
          <w:color w:val="auto"/>
        </w:rPr>
      </w:pPr>
    </w:p>
    <w:p>
      <w:pPr>
        <w:ind w:left="640" w:right="77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Triggering Event</w:t>
      </w:r>
      <w:r>
        <w:rPr>
          <w:rFonts w:ascii="Times New Roman" w:cs="Times New Roman" w:eastAsia="Times New Roman" w:hAnsi="Times New Roman"/>
          <w:sz w:val="13"/>
          <w:szCs w:val="13"/>
          <w:color w:val="auto"/>
        </w:rPr>
        <w:t>” shall be deemed to have occurred if: (i) Obsidian Board or any committee thereof shall have approved, endorsed or recommended any Acquisition Proposal or (ii) Obsidian shall have entered into any letter of intent or similar document or any Contract relating to any Acquisition Proposal (other than an Acceptable Confidentiality Agreement).</w:t>
      </w:r>
    </w:p>
    <w:p>
      <w:pPr>
        <w:spacing w:after="0" w:line="126" w:lineRule="exact"/>
        <w:rPr>
          <w:sz w:val="20"/>
          <w:szCs w:val="20"/>
          <w:color w:val="auto"/>
        </w:rPr>
      </w:pPr>
    </w:p>
    <w:p>
      <w:pPr>
        <w:ind w:left="640" w:right="109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Order</w:t>
      </w:r>
      <w:r>
        <w:rPr>
          <w:rFonts w:ascii="Times New Roman" w:cs="Times New Roman" w:eastAsia="Times New Roman" w:hAnsi="Times New Roman"/>
          <w:sz w:val="13"/>
          <w:szCs w:val="13"/>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26"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Ordinary Course of Business</w:t>
      </w:r>
      <w:r>
        <w:rPr>
          <w:rFonts w:ascii="Times New Roman" w:cs="Times New Roman" w:eastAsia="Times New Roman" w:hAnsi="Times New Roman"/>
          <w:sz w:val="13"/>
          <w:szCs w:val="13"/>
          <w:color w:val="auto"/>
        </w:rPr>
        <w:t>” means, in the case of each of Obsidian and Galera, such actions taken in the ordinary course of its normal operations and consistent with its past practices.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9" w:name="page30"/>
    <w:bookmarkEnd w:id="29"/>
    <w:p>
      <w:pPr>
        <w:ind w:left="640" w:right="71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Organizational Documents</w:t>
      </w:r>
      <w:r>
        <w:rPr>
          <w:rFonts w:ascii="Times New Roman" w:cs="Times New Roman" w:eastAsia="Times New Roman" w:hAnsi="Times New Roman"/>
          <w:sz w:val="13"/>
          <w:szCs w:val="13"/>
          <w:color w:val="auto"/>
        </w:rPr>
        <w:t>” means, with respect to any Person (other than an individual), (i) the certificate or articles of association, formation, incorporation or organization or limited partnership, and any joint venture, limited liability company, operating or partnership agreement and other similar documents adopted or filed in connection with the creation, formation or organization of such Person and (ii) all bylaws, regulations and similar documents or agreements relating to the organization or governance of such Person, in each case, as amended or supplemented.</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Common Stock</w:t>
      </w:r>
      <w:r>
        <w:rPr>
          <w:rFonts w:ascii="Times New Roman" w:cs="Times New Roman" w:eastAsia="Times New Roman" w:hAnsi="Times New Roman"/>
          <w:sz w:val="13"/>
          <w:szCs w:val="13"/>
          <w:color w:val="auto"/>
        </w:rPr>
        <w:t>” means the common stock, $0.001 par value per share, of Parent.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means Obsidian, Obsidian Merger Sub, Galera, Galera Merger Sub and Parent.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Galera Bridge Financing</w:t>
      </w:r>
      <w:r>
        <w:rPr>
          <w:rFonts w:ascii="Times New Roman" w:cs="Times New Roman" w:eastAsia="Times New Roman" w:hAnsi="Times New Roman"/>
          <w:sz w:val="12"/>
          <w:szCs w:val="12"/>
          <w:color w:val="auto"/>
        </w:rPr>
        <w:t>” means a financing of an amount of up to $1,800,000 to fund Galera’s operations during the Pre-Closing Period.</w:t>
      </w:r>
    </w:p>
    <w:p>
      <w:pPr>
        <w:spacing w:after="0" w:line="165" w:lineRule="exact"/>
        <w:rPr>
          <w:sz w:val="20"/>
          <w:szCs w:val="20"/>
          <w:color w:val="auto"/>
        </w:rPr>
      </w:pPr>
    </w:p>
    <w:p>
      <w:pPr>
        <w:ind w:left="640" w:right="9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Galera Bridge Financing Agreement</w:t>
      </w:r>
      <w:r>
        <w:rPr>
          <w:rFonts w:ascii="Times New Roman" w:cs="Times New Roman" w:eastAsia="Times New Roman" w:hAnsi="Times New Roman"/>
          <w:sz w:val="13"/>
          <w:szCs w:val="13"/>
          <w:color w:val="auto"/>
        </w:rPr>
        <w:t>” means a Contract executed by Galera pursuant to which the counterparty has agreed to provide financing to Galera during the Pre-Closing Period to provide for the Permitted Galera Bridge Financing.</w:t>
      </w:r>
    </w:p>
    <w:p>
      <w:pPr>
        <w:spacing w:after="0" w:line="119"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Obsidian Bridge Financing</w:t>
      </w:r>
      <w:r>
        <w:rPr>
          <w:rFonts w:ascii="Times New Roman" w:cs="Times New Roman" w:eastAsia="Times New Roman" w:hAnsi="Times New Roman"/>
          <w:sz w:val="13"/>
          <w:szCs w:val="13"/>
          <w:color w:val="auto"/>
        </w:rPr>
        <w:t>” means a financing to fund Obsidian’s operations during the Pre-Closing Period to be provided by Obsidian’s stockholders.</w:t>
      </w:r>
    </w:p>
    <w:p>
      <w:pPr>
        <w:spacing w:after="0" w:line="119" w:lineRule="exact"/>
        <w:rPr>
          <w:sz w:val="20"/>
          <w:szCs w:val="20"/>
          <w:color w:val="auto"/>
        </w:rPr>
      </w:pPr>
    </w:p>
    <w:p>
      <w:pPr>
        <w:ind w:left="640" w:right="10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Obsidian Bridge Financing Agreement</w:t>
      </w:r>
      <w:r>
        <w:rPr>
          <w:rFonts w:ascii="Times New Roman" w:cs="Times New Roman" w:eastAsia="Times New Roman" w:hAnsi="Times New Roman"/>
          <w:sz w:val="13"/>
          <w:szCs w:val="13"/>
          <w:color w:val="auto"/>
        </w:rPr>
        <w:t>” means a Contract executed by Obsidian pursuant to which the counterparty has agreed to purchase for cash convertible notes during the Pre-Closing Period to provide for the Permitted Obsidian Bridge Financing.</w:t>
      </w:r>
    </w:p>
    <w:p>
      <w:pPr>
        <w:spacing w:after="0" w:line="119" w:lineRule="exact"/>
        <w:rPr>
          <w:sz w:val="20"/>
          <w:szCs w:val="20"/>
          <w:color w:val="auto"/>
        </w:rPr>
      </w:pPr>
    </w:p>
    <w:p>
      <w:pPr>
        <w:ind w:left="640" w:right="75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Encumbrance</w:t>
      </w:r>
      <w:r>
        <w:rPr>
          <w:rFonts w:ascii="Times New Roman" w:cs="Times New Roman" w:eastAsia="Times New Roman" w:hAnsi="Times New Roman"/>
          <w:sz w:val="12"/>
          <w:szCs w:val="12"/>
          <w:color w:val="auto"/>
        </w:rPr>
        <w:t>” means (i) any statutory liens for current Taxes not yet due and payable or for Taxes that are being contested in good faith and for which adequate reserves have been made on the Obsidian Balance Sheet or the Galera Balance Sheet, as applicable, in accordance with GAAP,</w:t>
      </w:r>
    </w:p>
    <w:p>
      <w:pPr>
        <w:spacing w:after="0" w:line="1" w:lineRule="exact"/>
        <w:rPr>
          <w:sz w:val="20"/>
          <w:szCs w:val="20"/>
          <w:color w:val="auto"/>
        </w:rPr>
      </w:pPr>
    </w:p>
    <w:p>
      <w:pPr>
        <w:ind w:left="640" w:right="659" w:hanging="3"/>
        <w:spacing w:after="0" w:line="244" w:lineRule="auto"/>
        <w:tabs>
          <w:tab w:leader="none" w:pos="826"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minor liens that have arisen in the Ordinary Course of Business and that do not (in any case or in the aggregate) materially detract from the value of the assets subject thereto or materially impair the operations of Obsidian or Galera, as applicable, (iii) statutory liens to secure obligations to landlords, lessors or renters under leases or rental agreements, (iv) deposits or pledges made in connection with, or to secure payment of, workers’ compensation, unemployment insurance or similar programs mandated by Law, (v) statutory liens in favor of carriers, warehousemen, mechanics and materialmen, to secure claims for labor, materials or supplies,(vi) liens arising under applicable securities Law, and (vii) non-exclusive licenses of Intellectual Property granted by Galera or Obsidian, as applicable, in the Ordinary Course of Business and that do not (in any case or in the aggregate) materially detract from the value of the Intellectual Property Rights subject thereto.</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Entity or Governmental Authority.</w:t>
      </w:r>
    </w:p>
    <w:p>
      <w:pPr>
        <w:spacing w:after="0" w:line="154"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 Information</w:t>
      </w:r>
      <w:r>
        <w:rPr>
          <w:rFonts w:ascii="Times New Roman" w:cs="Times New Roman" w:eastAsia="Times New Roman" w:hAnsi="Times New Roman"/>
          <w:sz w:val="13"/>
          <w:szCs w:val="13"/>
          <w:color w:val="auto"/>
        </w:rPr>
        <w:t>” means (i) data and information concerning an identifiable natural person, or (ii) any information that is regulated or protected by one or more Privacy Laws.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29"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Privacy Laws</w:t>
      </w:r>
      <w:r>
        <w:rPr>
          <w:rFonts w:ascii="Times New Roman" w:cs="Times New Roman" w:eastAsia="Times New Roman" w:hAnsi="Times New Roman"/>
          <w:sz w:val="13"/>
          <w:szCs w:val="13"/>
          <w:color w:val="auto"/>
        </w:rPr>
        <w:t>” mean Laws relating to privacy, security and/or collection, use or other processing of Personal Information.</w:t>
      </w:r>
    </w:p>
    <w:p>
      <w:pPr>
        <w:spacing w:after="0" w:line="154"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means, with respect to any Person, such Person’s directors, officers, employees, agents, attorneys, accountants, investment bankers, advisors and representatives.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Sarbanes-Oxley Act</w:t>
      </w:r>
      <w:r>
        <w:rPr>
          <w:rFonts w:ascii="Times New Roman" w:cs="Times New Roman" w:eastAsia="Times New Roman" w:hAnsi="Times New Roman"/>
          <w:sz w:val="13"/>
          <w:szCs w:val="13"/>
          <w:color w:val="auto"/>
        </w:rPr>
        <w:t>” means the Sarbanes-Oxley Act of 2002.</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means the Securities Act of 1933, as amended, and the rules and regulations promulgated thereunder.</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Specified Stockholders</w:t>
      </w:r>
      <w:r>
        <w:rPr>
          <w:rFonts w:ascii="Times New Roman" w:cs="Times New Roman" w:eastAsia="Times New Roman" w:hAnsi="Times New Roman"/>
          <w:sz w:val="13"/>
          <w:szCs w:val="13"/>
          <w:color w:val="auto"/>
        </w:rPr>
        <w:t>” means the Galera stockholders party to the Galera Stockholder Support Agreements.</w:t>
      </w:r>
    </w:p>
    <w:p>
      <w:pPr>
        <w:spacing w:after="0" w:line="154" w:lineRule="exact"/>
        <w:rPr>
          <w:sz w:val="20"/>
          <w:szCs w:val="20"/>
          <w:color w:val="auto"/>
        </w:rPr>
      </w:pPr>
    </w:p>
    <w:p>
      <w:pPr>
        <w:ind w:left="640" w:right="9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means, with respect to a Person, an Entity of which more than 50% of the voting power of the equity securities or equity interests is owned, directly or indirectly, by such Person.</w:t>
      </w:r>
    </w:p>
    <w:p>
      <w:pPr>
        <w:spacing w:after="0" w:line="119"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Superior Offer</w:t>
      </w:r>
      <w:r>
        <w:rPr>
          <w:rFonts w:ascii="Times New Roman" w:cs="Times New Roman" w:eastAsia="Times New Roman" w:hAnsi="Times New Roman"/>
          <w:sz w:val="13"/>
          <w:szCs w:val="13"/>
          <w:color w:val="auto"/>
        </w:rPr>
        <w:t>” means an unsolicited bona fide written Acquisition Proposal (with all references to 20% in the definition of Acquisition Transaction being treated as references to 50% for these purposes) that: (i) was not obtained or made as a direct or indirect result of a breach of (or in violation of) this Agreement and (ii) is on terms and conditions that the Obsidian Board or the Galera Board, as applicable, determines in good faith, based on such matters that it deems relevant (including the likelihood of consummation thereof and the financing terms and any termination or break-up fees and conditions to consummation thereof), as well as any written offer by the other Party to this Agreement to amend the terms of this Agreement, and following consultation with its outside legal counsel and financial advisors, if any, are more favorable, from a financial point of view, to Obsidian’s stockholders or Galera’s stockholders, as applicable, than the terms of the Contemplated Transactions and is not subject to any financing conditions (and if financing is required, such financing is then fully committed to the third party).</w:t>
      </w:r>
    </w:p>
    <w:p>
      <w:pPr>
        <w:spacing w:after="0" w:line="134" w:lineRule="exact"/>
        <w:rPr>
          <w:sz w:val="20"/>
          <w:szCs w:val="20"/>
          <w:color w:val="auto"/>
        </w:rPr>
      </w:pPr>
    </w:p>
    <w:p>
      <w:pPr>
        <w:ind w:left="640" w:right="7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means (i) any U.S. federal, state or local or non-U.S. tax, including any income tax, franchise tax, capital gains tax, gross receipts tax, value-added tax, surtax, estimated tax, unemployment tax, excise tax, ad valorem tax, transfer tax, stamp tax, sales tax, use tax, property tax, business tax, withholding tax, imputed underpayment amount, payroll tax, customs duty, escheat, unclaimed property, alternative or add-on minimum or other tax or similar charge (whether imposed directly or through withholding and whether or not disputed), and including any fine, penalty, addition to tax, interest or additional amount imposed by a Governmental Authority with respect thereto (or attributable to the nonpayment thereof) and (ii) any liability for payment of amounts described in clause (i) whether as a result of transferee or successor liability, of being a member of an affiliated, consolidated, combined or unitary group for any period, pursuant to a Contract, through operation of Law or otherwise.</w:t>
      </w:r>
    </w:p>
    <w:p>
      <w:pPr>
        <w:spacing w:after="0" w:line="118" w:lineRule="exact"/>
        <w:rPr>
          <w:sz w:val="20"/>
          <w:szCs w:val="20"/>
          <w:color w:val="auto"/>
        </w:rPr>
      </w:pPr>
    </w:p>
    <w:p>
      <w:pPr>
        <w:ind w:left="640" w:right="69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Return</w:t>
      </w:r>
      <w:r>
        <w:rPr>
          <w:rFonts w:ascii="Times New Roman" w:cs="Times New Roman" w:eastAsia="Times New Roman" w:hAnsi="Times New Roman"/>
          <w:sz w:val="13"/>
          <w:szCs w:val="13"/>
          <w:color w:val="auto"/>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29" w:right="1440" w:bottom="1440" w:gutter="0" w:footer="0" w:header="0"/>
        </w:sectPr>
      </w:pPr>
    </w:p>
    <w:bookmarkStart w:id="31" w:name="page32"/>
    <w:bookmarkEnd w:id="31"/>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Transaction Expenses</w:t>
      </w:r>
      <w:r>
        <w:rPr>
          <w:rFonts w:ascii="Times New Roman" w:cs="Times New Roman" w:eastAsia="Times New Roman" w:hAnsi="Times New Roman"/>
          <w:sz w:val="13"/>
          <w:szCs w:val="13"/>
          <w:color w:val="auto"/>
        </w:rPr>
        <w:t xml:space="preserve">” means, with respect to Galera, the aggregate amount (without duplication) of all costs, fees, Taxes and expenses incurred by Galera and its Subsidiaries, or for which Galera and any of its Subsidiaries are or may become liable in connection with the Mergers and the CVR Agreement and the negotiation, preparation and execution of this Agreement or any other agreement, document, instrument, filing, certificate, schedule, exhibit, letter or other document prepared or executed in connection with the Mergers and the CVR Agreement, including (i) any fees and expenses of legal counsel, accountants, payable to financial advisors, investment bankers, brokers, consultants, tax advisors, transfer agents, proxy solicitor and other advisors of Galera; (ii) the CVR Fees (to the extent actually accrued as of the Galera Effective Time); and (iii) any Taxes actually incurred by Galera with respect to the payment of any other item listed in this definition of Transaction Expenses;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Transaction Expenses shall specifically exclude (A) any fees and expenses in respect of the Concurrent PIPE Financing, and (B) all Nasdaq fees associated with the Nasdaq Listing Application, in each case of clauses (A) and (B) which shall be payable Obsidian and its Subsidiaries.</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means the United States Treasury regulations promulgated under the Code.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WARN Act</w:t>
      </w:r>
      <w:r>
        <w:rPr>
          <w:rFonts w:ascii="Times New Roman" w:cs="Times New Roman" w:eastAsia="Times New Roman" w:hAnsi="Times New Roman"/>
          <w:sz w:val="13"/>
          <w:szCs w:val="13"/>
          <w:color w:val="auto"/>
        </w:rPr>
        <w:t>” means the Worker Adjustment and Retraining Notification Act of 1988, as amended, and any similar law.</w:t>
      </w:r>
    </w:p>
    <w:p>
      <w:pPr>
        <w:spacing w:after="0" w:line="89" w:lineRule="exact"/>
        <w:rPr>
          <w:sz w:val="20"/>
          <w:szCs w:val="20"/>
          <w:color w:val="auto"/>
        </w:rPr>
      </w:pPr>
    </w:p>
    <w:p>
      <w:pPr>
        <w:ind w:left="1320" w:hanging="379"/>
        <w:spacing w:after="0"/>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following terms is defined in the Section set forth opposite such term:</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2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160" w:type="dxa"/>
            <w:vAlign w:val="bottom"/>
          </w:tcPr>
          <w:p>
            <w:pPr>
              <w:spacing w:after="0"/>
              <w:rPr>
                <w:sz w:val="10"/>
                <w:szCs w:val="10"/>
                <w:color w:val="auto"/>
              </w:rPr>
            </w:pPr>
          </w:p>
        </w:tc>
      </w:tr>
      <w:tr>
        <w:trPr>
          <w:trHeight w:val="128"/>
        </w:trPr>
        <w:tc>
          <w:tcPr>
            <w:tcW w:w="294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Accounting Firm</w:t>
            </w:r>
          </w:p>
        </w:tc>
        <w:tc>
          <w:tcPr>
            <w:tcW w:w="1080" w:type="dxa"/>
            <w:vAlign w:val="bottom"/>
          </w:tcPr>
          <w:p>
            <w:pPr>
              <w:spacing w:after="0"/>
              <w:rPr>
                <w:sz w:val="11"/>
                <w:szCs w:val="11"/>
                <w:color w:val="auto"/>
              </w:rPr>
            </w:pPr>
          </w:p>
        </w:tc>
        <w:tc>
          <w:tcPr>
            <w:tcW w:w="3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w w:val="80"/>
              </w:rPr>
              <w:t>2.11(e)</w:t>
            </w:r>
          </w:p>
        </w:tc>
        <w:tc>
          <w:tcPr>
            <w:tcW w:w="160" w:type="dxa"/>
            <w:vAlign w:val="bottom"/>
          </w:tcPr>
          <w:p>
            <w:pPr>
              <w:spacing w:after="0"/>
              <w:rPr>
                <w:sz w:val="11"/>
                <w:szCs w:val="11"/>
                <w:color w:val="auto"/>
              </w:rPr>
            </w:pP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Agreement</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3"/>
              </w:rPr>
              <w:t>Preamble</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Allocation Certificate</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7.13</w:t>
            </w:r>
          </w:p>
        </w:tc>
        <w:tc>
          <w:tcPr>
            <w:tcW w:w="160" w:type="dxa"/>
            <w:vAlign w:val="bottom"/>
          </w:tcPr>
          <w:p>
            <w:pPr>
              <w:spacing w:after="0"/>
              <w:rPr>
                <w:sz w:val="13"/>
                <w:szCs w:val="13"/>
                <w:color w:val="auto"/>
              </w:rPr>
            </w:pP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Annual Meeting Galera Stockholder Vote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Anticipated Closing Date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Assumed Obsidian Option</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2.5(g)</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Determination Time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Capitalization Date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4.6(a)</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tcPr>
          <w:p>
            <w:pPr>
              <w:spacing w:after="0"/>
              <w:rPr>
                <w:sz w:val="13"/>
                <w:szCs w:val="13"/>
                <w:color w:val="auto"/>
              </w:rPr>
            </w:pP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tcPr>
          <w:p>
            <w:pPr>
              <w:spacing w:after="0"/>
              <w:rPr>
                <w:sz w:val="13"/>
                <w:szCs w:val="13"/>
                <w:color w:val="auto"/>
              </w:rPr>
            </w:pP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Code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Costs</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7.6(a)</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Offering Period</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6.9</w:t>
            </w:r>
          </w:p>
        </w:tc>
        <w:tc>
          <w:tcPr>
            <w:tcW w:w="160" w:type="dxa"/>
            <w:vAlign w:val="bottom"/>
          </w:tcPr>
          <w:p>
            <w:pPr>
              <w:spacing w:after="0"/>
              <w:rPr>
                <w:sz w:val="13"/>
                <w:szCs w:val="13"/>
                <w:color w:val="auto"/>
              </w:rPr>
            </w:pP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2.6(i)</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 Agreement</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2.6(i)</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D&amp;O Indemnified Parties</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7.6(a)</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D&amp;O tail policy</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7.6(d)</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Delivery Date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165"/>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Dispute Notice</w:t>
            </w:r>
          </w:p>
        </w:tc>
        <w:tc>
          <w:tcPr>
            <w:tcW w:w="10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2.11(b)</w:t>
            </w:r>
          </w:p>
        </w:tc>
      </w:tr>
      <w:tr>
        <w:trPr>
          <w:trHeight w:val="256"/>
        </w:trPr>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ectPr>
          <w:pgSz w:w="11900" w:h="16838" w:orient="portrait"/>
          <w:cols w:equalWidth="0" w:num="1">
            <w:col w:w="9019"/>
          </w:cols>
          <w:pgMar w:left="1440" w:top="229" w:right="1440"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2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200" w:type="dxa"/>
            <w:vAlign w:val="bottom"/>
          </w:tcPr>
          <w:p>
            <w:pPr>
              <w:spacing w:after="0"/>
              <w:rPr>
                <w:sz w:val="10"/>
                <w:szCs w:val="10"/>
                <w:color w:val="auto"/>
              </w:rPr>
            </w:pPr>
          </w:p>
        </w:tc>
      </w:tr>
      <w:tr>
        <w:trPr>
          <w:trHeight w:val="128"/>
        </w:trPr>
        <w:tc>
          <w:tcPr>
            <w:tcW w:w="314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Disqualifying Event</w:t>
            </w:r>
          </w:p>
        </w:tc>
        <w:tc>
          <w:tcPr>
            <w:tcW w:w="880" w:type="dxa"/>
            <w:vAlign w:val="bottom"/>
          </w:tcPr>
          <w:p>
            <w:pPr>
              <w:spacing w:after="0"/>
              <w:rPr>
                <w:sz w:val="11"/>
                <w:szCs w:val="11"/>
                <w:color w:val="auto"/>
              </w:rPr>
            </w:pPr>
          </w:p>
        </w:tc>
        <w:tc>
          <w:tcPr>
            <w:tcW w:w="3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4.23</w:t>
            </w:r>
          </w:p>
        </w:tc>
        <w:tc>
          <w:tcPr>
            <w:tcW w:w="200" w:type="dxa"/>
            <w:vAlign w:val="bottom"/>
          </w:tcPr>
          <w:p>
            <w:pPr>
              <w:spacing w:after="0"/>
              <w:rPr>
                <w:sz w:val="11"/>
                <w:szCs w:val="11"/>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Dissenting Shares</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2.14</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Drug Regulatory Agency</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2.9(a)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FDA</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FDCA</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Final Galera Net Cash</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2.11(c)</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Form S-4</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7.1(a)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401(k) Plan</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7.18</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Authorized Common Stock Increase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Board</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Board Adverse Recommendation Change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7.3(b)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Board Recommendation</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7.3(b)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Certificate of Merger</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Certifications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4.7(a)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Closing Certificate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8.2(d)</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Common Stock</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Contingent Worker</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4.18(b)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Disclosure Schedule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4"/>
              </w:rPr>
              <w:t>Article IV</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Effective Time</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Information Statement</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7.1(a)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Intervening Event</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7.3(c)</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IT Systems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4.24(b)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Material Contract</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4.13(a)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Merger</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Merger Sub</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Merger Sub Board</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Merger Surviving Corporation</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Net Cash Calculation</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Net Cash Schedule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Notice Period</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7.3(c)</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Owned IP Rights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4.12(e)</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Permits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4.15(b)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Pre-Funded Warrant Exercise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Preferred Stock Conversion</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Privacy Policies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4.24(a)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Product Candidates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4.15(d)</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Regulatory Permits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4.15(d)</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Real Estate Leases</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4.11</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SEC Documents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4.7(a)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Stockholder Matters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Stockholder Support Agreement</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Stockholder Written Consents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65"/>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Termination Fee</w:t>
            </w:r>
          </w:p>
        </w:tc>
        <w:tc>
          <w:tcPr>
            <w:tcW w:w="8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10.3(b)</w:t>
            </w:r>
          </w:p>
        </w:tc>
      </w:tr>
      <w:tr>
        <w:trPr>
          <w:trHeight w:val="256"/>
        </w:trPr>
        <w:tc>
          <w:tcPr>
            <w:tcW w:w="2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ectPr>
          <w:pgSz w:w="11900" w:h="16838" w:orient="portrait"/>
          <w:cols w:equalWidth="0" w:num="1">
            <w:col w:w="9019"/>
          </w:cols>
          <w:pgMar w:left="1440" w:top="227" w:right="1440"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2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200" w:type="dxa"/>
            <w:vAlign w:val="bottom"/>
          </w:tcPr>
          <w:p>
            <w:pPr>
              <w:spacing w:after="0"/>
              <w:rPr>
                <w:sz w:val="10"/>
                <w:szCs w:val="10"/>
                <w:color w:val="auto"/>
              </w:rPr>
            </w:pPr>
          </w:p>
        </w:tc>
      </w:tr>
      <w:tr>
        <w:trPr>
          <w:trHeight w:val="128"/>
        </w:trPr>
        <w:tc>
          <w:tcPr>
            <w:tcW w:w="32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Intended Tax Treatment</w:t>
            </w:r>
          </w:p>
        </w:tc>
        <w:tc>
          <w:tcPr>
            <w:tcW w:w="820" w:type="dxa"/>
            <w:vAlign w:val="bottom"/>
          </w:tcPr>
          <w:p>
            <w:pPr>
              <w:spacing w:after="0"/>
              <w:rPr>
                <w:sz w:val="11"/>
                <w:szCs w:val="11"/>
                <w:color w:val="auto"/>
              </w:rPr>
            </w:pPr>
          </w:p>
        </w:tc>
        <w:tc>
          <w:tcPr>
            <w:tcW w:w="3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w w:val="71"/>
              </w:rPr>
              <w:t>Recitals</w:t>
            </w:r>
          </w:p>
        </w:tc>
        <w:tc>
          <w:tcPr>
            <w:tcW w:w="200" w:type="dxa"/>
            <w:vAlign w:val="bottom"/>
          </w:tcPr>
          <w:p>
            <w:pPr>
              <w:spacing w:after="0"/>
              <w:rPr>
                <w:sz w:val="11"/>
                <w:szCs w:val="11"/>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Liability</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Nasdaq Listing Application</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7.8</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Galera Option Shares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2.6(i)</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Board</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Board Adverse Recommendation Change</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7.2(b)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Board Recommendation</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7.2(b)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Certificate of Merger</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Closing Certificate</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8.3(d)</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Contingent Worker</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3.17(b)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Disclosure Schedule</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5"/>
              </w:rPr>
              <w:t>Article III</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Effective Time</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Financial Statements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3.7(a)</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Intervening Event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7.2(c)</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IT Systems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3.22(b)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Lock-Up Agreements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Material Contract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3.13(a)</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Merger</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Merger Sub</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Merger Sub Board</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Merger Surviving Corporation</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Notice Period</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7.2(c)</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Owned IP Rights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3.12(e)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Permits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Preferred Stock Conversion</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2.5(a)</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Product Candidates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3.14(d)</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Real Estate Leases</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3.11</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Regulatory Permits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3.14(d)</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Stockholder Support Agreement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Stockholder Written Consents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Termination Fee</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10.3(b)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Ordinary Course Agreement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3.16(f)</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Outside Date</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10.1(b)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PacWest Warrant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2.5(h)</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Board</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PCAOB</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3.7(e)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PCAOB Auditor</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3.7(e)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Permitted Alternative Agreement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10.1(j)</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PHSA</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3.14(a)</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Pre-Closing Distribution</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2.6(i)</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Pre-Closing Period</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6.1(a)</w:t>
            </w:r>
          </w:p>
        </w:tc>
      </w:tr>
      <w:tr>
        <w:trPr>
          <w:trHeight w:val="165"/>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Registration Statement</w:t>
            </w:r>
          </w:p>
        </w:tc>
        <w:tc>
          <w:tcPr>
            <w:tcW w:w="8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7.1(a)</w:t>
            </w:r>
          </w:p>
        </w:tc>
      </w:tr>
      <w:tr>
        <w:trPr>
          <w:trHeight w:val="256"/>
        </w:trPr>
        <w:tc>
          <w:tcPr>
            <w:tcW w:w="2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ectPr>
          <w:pgSz w:w="11900" w:h="16838" w:orient="portrait"/>
          <w:cols w:equalWidth="0" w:num="1">
            <w:col w:w="9019"/>
          </w:cols>
          <w:pgMar w:left="1440" w:top="227" w:right="1440"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378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100" w:type="dxa"/>
            <w:vAlign w:val="bottom"/>
          </w:tcPr>
          <w:p>
            <w:pPr>
              <w:spacing w:after="0"/>
              <w:rPr>
                <w:sz w:val="10"/>
                <w:szCs w:val="10"/>
                <w:color w:val="auto"/>
              </w:rPr>
            </w:pPr>
          </w:p>
        </w:tc>
      </w:tr>
      <w:tr>
        <w:trPr>
          <w:trHeight w:val="128"/>
        </w:trPr>
        <w:tc>
          <w:tcPr>
            <w:tcW w:w="402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Required Galera Stockholder Approval</w:t>
            </w:r>
          </w:p>
        </w:tc>
        <w:tc>
          <w:tcPr>
            <w:tcW w:w="3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1"/>
                <w:szCs w:val="11"/>
                <w:color w:val="auto"/>
              </w:rPr>
            </w:pP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Required Obsidian Stockholder Approval</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3"/>
                <w:szCs w:val="13"/>
                <w:color w:val="auto"/>
              </w:rPr>
            </w:pP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Response Date</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2.11(b)</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Rights Agent</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2.6(h)</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Purchase Agreement</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5"/>
              </w:rPr>
              <w:t>Recitals</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 Issuance</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5"/>
              </w:rPr>
              <w:t>Recitals</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Termination Fee</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10.3(b)</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Transaction Litigation</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7.4(c)</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Transaction Litigation Party</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7.4(c)</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Transfer Taxes</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7.7(a)</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Warrant Holder</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2.5(h)</w:t>
            </w:r>
          </w:p>
        </w:tc>
      </w:tr>
      <w:tr>
        <w:trPr>
          <w:trHeight w:val="165"/>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Withholding Agent</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4"/>
                <w:szCs w:val="14"/>
                <w:color w:val="auto"/>
              </w:rPr>
            </w:pPr>
          </w:p>
        </w:tc>
      </w:tr>
    </w:tbl>
    <w:p>
      <w:pPr>
        <w:spacing w:after="0" w:line="139" w:lineRule="exact"/>
        <w:rPr>
          <w:sz w:val="20"/>
          <w:szCs w:val="20"/>
          <w:color w:val="auto"/>
        </w:rPr>
      </w:pPr>
    </w:p>
    <w:p>
      <w:pPr>
        <w:ind w:left="640" w:right="679" w:firstLine="309"/>
        <w:spacing w:after="0" w:line="266"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Other Definitional and Interpretative Provisions</w:t>
      </w:r>
      <w:r>
        <w:rPr>
          <w:rFonts w:ascii="Times New Roman" w:cs="Times New Roman" w:eastAsia="Times New Roman" w:hAnsi="Times New Roman"/>
          <w:sz w:val="12"/>
          <w:szCs w:val="12"/>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Obsidian Disclosure Schedule or the Galera Disclosure Schedule shall be arranged in sections and subsections corresponding to the numbered and lettered</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27" w:right="1440" w:bottom="1440" w:gutter="0" w:footer="0" w:header="0"/>
        </w:sectPr>
      </w:pPr>
    </w:p>
    <w:bookmarkStart w:id="35" w:name="page36"/>
    <w:bookmarkEnd w:id="35"/>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sections and subsections contained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respectively. The disclosures in any section or subsection of the Obsidian Disclosure Schedule or the Galera Disclosure Schedule shall qualify other sections and subsections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The inclusion of any information in the Obsidian Disclosure Schedule or Galera Disclosure Schedule (or any update thereto) shall not be deemed to be an admission or acknowledgement, in and of itself, that such information is required by the terms hereof to be disclosed, is material, has resulted in or would result in an Obsidian Material Adverse Effect or Galera Material Adverse Effect, as the case may be, or is outside the Ordinary Course of Business.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MERGER</w:t>
      </w:r>
    </w:p>
    <w:p>
      <w:pPr>
        <w:spacing w:after="0" w:line="141"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The Obsidian Merger</w:t>
      </w:r>
      <w:r>
        <w:rPr>
          <w:rFonts w:ascii="Times New Roman" w:cs="Times New Roman" w:eastAsia="Times New Roman" w:hAnsi="Times New Roman"/>
          <w:sz w:val="13"/>
          <w:szCs w:val="13"/>
          <w:color w:val="auto"/>
        </w:rPr>
        <w:t>. Upon the terms and subject to the conditions set forth in this Agreement and subject to the applicable provisions of Delaware Law, at the Closing, Parent and Obsidian shall cause Obsidian Merger Sub to be merged with and into Obsidian, whereupon the separate existence of Obsidian Merger Sub shall cease and Obsidian shall continue as the surviving corporation of the Obsidian Merger and as a wholly owned Subsidiary of Parent (the “</w:t>
      </w:r>
      <w:r>
        <w:rPr>
          <w:rFonts w:ascii="Times New Roman" w:cs="Times New Roman" w:eastAsia="Times New Roman" w:hAnsi="Times New Roman"/>
          <w:sz w:val="13"/>
          <w:szCs w:val="13"/>
          <w:b w:val="1"/>
          <w:bCs w:val="1"/>
          <w:color w:val="auto"/>
        </w:rPr>
        <w:t>Obsidian Merger Surviving Corporation</w:t>
      </w:r>
      <w:r>
        <w:rPr>
          <w:rFonts w:ascii="Times New Roman" w:cs="Times New Roman" w:eastAsia="Times New Roman" w:hAnsi="Times New Roman"/>
          <w:sz w:val="13"/>
          <w:szCs w:val="13"/>
          <w:color w:val="auto"/>
        </w:rPr>
        <w:t>”). Parent and Obsidian shall cause the Obsidian Merger to be consummated and effective under Delaware Law by executing and filing with the Secretary of State of the State of Delaware a certificate of merger, satisfying the applicable requirements of Delaware Law in a form mutually agreed by Parent and Obsidian (the “</w:t>
      </w:r>
      <w:r>
        <w:rPr>
          <w:rFonts w:ascii="Times New Roman" w:cs="Times New Roman" w:eastAsia="Times New Roman" w:hAnsi="Times New Roman"/>
          <w:sz w:val="13"/>
          <w:szCs w:val="13"/>
          <w:b w:val="1"/>
          <w:bCs w:val="1"/>
          <w:color w:val="auto"/>
        </w:rPr>
        <w:t>Obsidian Certificate of Merger</w:t>
      </w:r>
      <w:r>
        <w:rPr>
          <w:rFonts w:ascii="Times New Roman" w:cs="Times New Roman" w:eastAsia="Times New Roman" w:hAnsi="Times New Roman"/>
          <w:sz w:val="13"/>
          <w:szCs w:val="13"/>
          <w:color w:val="auto"/>
        </w:rPr>
        <w:t>”). The Obsidian Merger shall become effective at the time of the filing of such Obsidian Certificate of Merger and the acceptance by the Secretary of State of the State of Delaware, or at such later time as may be specified in such Obsidian Certificate of Merger with the consent of Galera and Obsidian (the time as of which the Obsidian Merger becomes effective being referred to as the “</w:t>
      </w:r>
      <w:r>
        <w:rPr>
          <w:rFonts w:ascii="Times New Roman" w:cs="Times New Roman" w:eastAsia="Times New Roman" w:hAnsi="Times New Roman"/>
          <w:sz w:val="13"/>
          <w:szCs w:val="13"/>
          <w:b w:val="1"/>
          <w:bCs w:val="1"/>
          <w:color w:val="auto"/>
        </w:rPr>
        <w:t>Obsidian Effective Time</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The Galera Merger</w:t>
      </w:r>
      <w:r>
        <w:rPr>
          <w:rFonts w:ascii="Times New Roman" w:cs="Times New Roman" w:eastAsia="Times New Roman" w:hAnsi="Times New Roman"/>
          <w:sz w:val="13"/>
          <w:szCs w:val="13"/>
          <w:color w:val="auto"/>
        </w:rPr>
        <w:t>. Immediately following the Obsidian Effective Time, upon the terms and subject to the conditions set forth in this Agreement and subject to the applicable provisions of Delaware Law, Parent and Galera shall cause Galera Merger Sub to be merged with and into Galera, whereupon the separate existence of Galera Merger Sub shall cease and Galera shall continue as the surviving corporation of the Galera Merger and as a wholly owned Subsidiary of Parent (the “</w:t>
      </w:r>
      <w:r>
        <w:rPr>
          <w:rFonts w:ascii="Times New Roman" w:cs="Times New Roman" w:eastAsia="Times New Roman" w:hAnsi="Times New Roman"/>
          <w:sz w:val="13"/>
          <w:szCs w:val="13"/>
          <w:b w:val="1"/>
          <w:bCs w:val="1"/>
          <w:color w:val="auto"/>
        </w:rPr>
        <w:t>Galera Merger Surviving Corporation</w:t>
      </w:r>
      <w:r>
        <w:rPr>
          <w:rFonts w:ascii="Times New Roman" w:cs="Times New Roman" w:eastAsia="Times New Roman" w:hAnsi="Times New Roman"/>
          <w:sz w:val="13"/>
          <w:szCs w:val="13"/>
          <w:color w:val="auto"/>
        </w:rPr>
        <w:t>”). Parent and Galera shall cause the Galera Merger to be consummated and effective under Delaware Law by executing and filing with the Secretary of State of the State of Delaware a certificate of merger, satisfying the applicable requirements of Delaware Law in a form mutually agreed by Galera and Obsidian (the “</w:t>
      </w:r>
      <w:r>
        <w:rPr>
          <w:rFonts w:ascii="Times New Roman" w:cs="Times New Roman" w:eastAsia="Times New Roman" w:hAnsi="Times New Roman"/>
          <w:sz w:val="13"/>
          <w:szCs w:val="13"/>
          <w:b w:val="1"/>
          <w:bCs w:val="1"/>
          <w:color w:val="auto"/>
        </w:rPr>
        <w:t>Galera Certificate of Merger</w:t>
      </w:r>
      <w:r>
        <w:rPr>
          <w:rFonts w:ascii="Times New Roman" w:cs="Times New Roman" w:eastAsia="Times New Roman" w:hAnsi="Times New Roman"/>
          <w:sz w:val="13"/>
          <w:szCs w:val="13"/>
          <w:color w:val="auto"/>
        </w:rPr>
        <w:t>”). The Galera Merger shall become effective at the time of the filing of such Galera Certificate of Merger and the acceptance by the Secretary of State of the State of Delaware, or at such later time as may be specified in such Galera Certificate of Merger with the consent of Galera and Obsidian (the time as of which the Mergers becomes effective being referred to as the “</w:t>
      </w:r>
      <w:r>
        <w:rPr>
          <w:rFonts w:ascii="Times New Roman" w:cs="Times New Roman" w:eastAsia="Times New Roman" w:hAnsi="Times New Roman"/>
          <w:sz w:val="13"/>
          <w:szCs w:val="13"/>
          <w:b w:val="1"/>
          <w:bCs w:val="1"/>
          <w:color w:val="auto"/>
        </w:rPr>
        <w:t>Galera Effective Time</w:t>
      </w:r>
      <w:r>
        <w:rPr>
          <w:rFonts w:ascii="Times New Roman" w:cs="Times New Roman" w:eastAsia="Times New Roman" w:hAnsi="Times New Roman"/>
          <w:sz w:val="13"/>
          <w:szCs w:val="13"/>
          <w:color w:val="auto"/>
        </w:rPr>
        <w: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6" w:name="page37"/>
    <w:bookmarkEnd w:id="36"/>
    <w:p>
      <w:pPr>
        <w:ind w:left="640" w:right="759" w:firstLine="30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2.3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Subject to the satisfaction or waiver of the conditions set forth in this Agreement, the consummation of the Mergers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shall take place remotely via the electronic exchange of documents and signatures, (a) no later than the second Business Day after all the conditions precedent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waived (other than those conditions that, by their nature, are to be satisfied at the Closing (provided such conditions would be so satisfied)) or (b) at such other time, date and place as the Parties may mutually agree in writing. The date on which the Closing actually takes place is referred to as the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u w:val="single" w:color="auto"/>
          <w:color w:val="auto"/>
        </w:rPr>
        <w:t>Organizational Documents; Directors and Officers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120" w:hanging="173"/>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Obsidian Effective Time:</w:t>
      </w:r>
    </w:p>
    <w:p>
      <w:pPr>
        <w:spacing w:after="0" w:line="77" w:lineRule="exact"/>
        <w:rPr>
          <w:rFonts w:ascii="Times New Roman" w:cs="Times New Roman" w:eastAsia="Times New Roman" w:hAnsi="Times New Roman"/>
          <w:sz w:val="13"/>
          <w:szCs w:val="13"/>
          <w:color w:val="auto"/>
        </w:rPr>
      </w:pPr>
    </w:p>
    <w:p>
      <w:pPr>
        <w:ind w:left="940" w:right="819" w:firstLine="304"/>
        <w:spacing w:after="0" w:line="255" w:lineRule="auto"/>
        <w:tabs>
          <w:tab w:leader="none" w:pos="1388"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certificate of incorporation of the Obsidian Merger Surviving Corporation shall be amended and restated at or prior to the Obsidian Effective Time as set forth in an exhibit to the Obsidian Certificate of Merger, and as so amended and restated shall be the certificate of incorporation of the Obsidian Merger Surviving Corporation until thereafter amended as provided by Delaware Law;</w:t>
      </w:r>
    </w:p>
    <w:p>
      <w:pPr>
        <w:spacing w:after="0" w:line="54" w:lineRule="exact"/>
        <w:rPr>
          <w:rFonts w:ascii="Times New Roman" w:cs="Times New Roman" w:eastAsia="Times New Roman" w:hAnsi="Times New Roman"/>
          <w:sz w:val="13"/>
          <w:szCs w:val="13"/>
          <w:color w:val="auto"/>
        </w:rPr>
      </w:pPr>
    </w:p>
    <w:p>
      <w:pPr>
        <w:ind w:left="940" w:right="699" w:firstLine="304"/>
        <w:spacing w:after="0" w:line="251" w:lineRule="auto"/>
        <w:tabs>
          <w:tab w:leader="none" w:pos="1423"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bylaws of the Obsidian Merger Surviving Corporation shall be amended and restated to be identical to the bylaws of Obsidian Merger Sub as in effect immediately prior to the Obsidian Effective Time (with the name of Obsidian Therapeutics Sub, Inc. as the Obsidian Merger Surviving Corporation’s name) until thereafter amended in accordance with Delaware Law and as provided in Obsidian Merger Surviving Corporation’s Organizational Documents; and</w:t>
      </w:r>
    </w:p>
    <w:p>
      <w:pPr>
        <w:spacing w:after="0" w:line="56" w:lineRule="exact"/>
        <w:rPr>
          <w:rFonts w:ascii="Times New Roman" w:cs="Times New Roman" w:eastAsia="Times New Roman" w:hAnsi="Times New Roman"/>
          <w:sz w:val="13"/>
          <w:szCs w:val="13"/>
          <w:color w:val="auto"/>
        </w:rPr>
      </w:pPr>
    </w:p>
    <w:p>
      <w:pPr>
        <w:ind w:left="940" w:right="719" w:firstLine="304"/>
        <w:spacing w:after="0" w:line="267" w:lineRule="auto"/>
        <w:tabs>
          <w:tab w:leader="none" w:pos="1458"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and officers of Obsidian Merger Surviving Corporation, each to hold office in accordance with the provisions of Delaware Law and Obsidian Merger Surviving Corporation’s Organizational shall be as set forth in </w:t>
      </w:r>
      <w:r>
        <w:rPr>
          <w:rFonts w:ascii="Times New Roman" w:cs="Times New Roman" w:eastAsia="Times New Roman" w:hAnsi="Times New Roman"/>
          <w:sz w:val="13"/>
          <w:szCs w:val="13"/>
          <w:u w:val="single" w:color="auto"/>
          <w:color w:val="auto"/>
        </w:rPr>
        <w:t>Section 7.10(c)</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Galera Effective Time:</w:t>
      </w:r>
    </w:p>
    <w:p>
      <w:pPr>
        <w:spacing w:after="0" w:line="77" w:lineRule="exact"/>
        <w:rPr>
          <w:rFonts w:ascii="Times New Roman" w:cs="Times New Roman" w:eastAsia="Times New Roman" w:hAnsi="Times New Roman"/>
          <w:sz w:val="13"/>
          <w:szCs w:val="13"/>
          <w:color w:val="auto"/>
        </w:rPr>
      </w:pPr>
    </w:p>
    <w:p>
      <w:pPr>
        <w:jc w:val="both"/>
        <w:ind w:left="940" w:right="719" w:firstLine="304"/>
        <w:spacing w:after="0" w:line="255" w:lineRule="auto"/>
        <w:tabs>
          <w:tab w:leader="none" w:pos="1388"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certificate of incorporation of the Galera Merger Surviving Corporation shall be amended and restated as set forth in an exhibit to the Galera Certificate of Merger, and as so amended and restated shall be the certificate of incorporation of the Galera Merger Surviving Corporation until thereafter amended as provided by Delaware Law;</w:t>
      </w:r>
    </w:p>
    <w:p>
      <w:pPr>
        <w:spacing w:after="0" w:line="54" w:lineRule="exact"/>
        <w:rPr>
          <w:rFonts w:ascii="Times New Roman" w:cs="Times New Roman" w:eastAsia="Times New Roman" w:hAnsi="Times New Roman"/>
          <w:sz w:val="13"/>
          <w:szCs w:val="13"/>
          <w:color w:val="auto"/>
        </w:rPr>
      </w:pPr>
    </w:p>
    <w:p>
      <w:pPr>
        <w:ind w:left="940" w:right="659" w:firstLine="304"/>
        <w:spacing w:after="0" w:line="251" w:lineRule="auto"/>
        <w:tabs>
          <w:tab w:leader="none" w:pos="1423"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bylaws of the Galera Merger Surviving Corporation shall be amended and restated to be identical to the bylaws of Galera Merger Sub as in effect immediately prior to the Galera Effective Time (with the name of Galera Therapeutics, Inc. as the Galera Merger Surviving Corporation’s name) until thereafter amended in accordance with Delaware Law and as provided in Galera Merger Surviving Corporation’s Organizational Documents;</w:t>
      </w:r>
    </w:p>
    <w:p>
      <w:pPr>
        <w:spacing w:after="0" w:line="56" w:lineRule="exact"/>
        <w:rPr>
          <w:rFonts w:ascii="Times New Roman" w:cs="Times New Roman" w:eastAsia="Times New Roman" w:hAnsi="Times New Roman"/>
          <w:sz w:val="13"/>
          <w:szCs w:val="13"/>
          <w:color w:val="auto"/>
        </w:rPr>
      </w:pPr>
    </w:p>
    <w:p>
      <w:pPr>
        <w:ind w:left="940" w:right="839" w:firstLine="304"/>
        <w:spacing w:after="0" w:line="267" w:lineRule="auto"/>
        <w:tabs>
          <w:tab w:leader="none" w:pos="1458"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and officers of Galera Merger Surviving Corporation, each to hold office in accordance with the provisions of Delaware Law and Galera Merger Surviving Corporation’s Organizational shall be as set forth in </w:t>
      </w:r>
      <w:r>
        <w:rPr>
          <w:rFonts w:ascii="Times New Roman" w:cs="Times New Roman" w:eastAsia="Times New Roman" w:hAnsi="Times New Roman"/>
          <w:sz w:val="13"/>
          <w:szCs w:val="13"/>
          <w:u w:val="single" w:color="auto"/>
          <w:color w:val="auto"/>
        </w:rPr>
        <w:t>Section 7.10(b)</w:t>
      </w:r>
      <w:r>
        <w:rPr>
          <w:rFonts w:ascii="Times New Roman" w:cs="Times New Roman" w:eastAsia="Times New Roman" w:hAnsi="Times New Roman"/>
          <w:sz w:val="13"/>
          <w:szCs w:val="13"/>
          <w:color w:val="auto"/>
        </w:rPr>
        <w:t>; and</w:t>
      </w:r>
    </w:p>
    <w:p>
      <w:pPr>
        <w:spacing w:after="0" w:line="46" w:lineRule="exact"/>
        <w:rPr>
          <w:rFonts w:ascii="Times New Roman" w:cs="Times New Roman" w:eastAsia="Times New Roman" w:hAnsi="Times New Roman"/>
          <w:sz w:val="13"/>
          <w:szCs w:val="13"/>
          <w:color w:val="auto"/>
        </w:rPr>
      </w:pPr>
    </w:p>
    <w:p>
      <w:pPr>
        <w:ind w:left="4440" w:right="739" w:hanging="3196"/>
        <w:spacing w:after="0" w:line="435" w:lineRule="auto"/>
        <w:tabs>
          <w:tab w:leader="none" w:pos="1457"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file one or more amendments to its certificate of incorporation to change the name of Parent to Obsidian Therapeutics, Inc. 24</w:t>
      </w:r>
    </w:p>
    <w:p>
      <w:pPr>
        <w:sectPr>
          <w:pgSz w:w="11900" w:h="16838" w:orient="portrait"/>
          <w:cols w:equalWidth="0" w:num="1">
            <w:col w:w="9019"/>
          </w:cols>
          <w:pgMar w:left="1440" w:top="229" w:right="1440" w:bottom="1440" w:gutter="0" w:footer="0" w:header="0"/>
        </w:sectPr>
      </w:pPr>
    </w:p>
    <w:bookmarkStart w:id="37" w:name="page38"/>
    <w:bookmarkEnd w:id="37"/>
    <w:p>
      <w:pPr>
        <w:ind w:left="640" w:right="699" w:firstLine="307"/>
        <w:spacing w:after="0" w:line="255" w:lineRule="auto"/>
        <w:tabs>
          <w:tab w:leader="none" w:pos="112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Following the Galera Effective Time, Parent shall further take all actions reasonably necessary so that the certificate of incorporation of Parent shall remain in effect, until thereafter amended as provided by Delaware Law, provided, however, that at or prior to the Galera Effective Time, Parent shall file one or more amendments to its certificate of incorporation to make such other changes as are agreeable to Obsidian.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Conversion of Shares of Obsidian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7"/>
        <w:spacing w:after="0" w:line="255" w:lineRule="auto"/>
        <w:tabs>
          <w:tab w:leader="none" w:pos="112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prior to the Obsidian Effective Time, all issued and outstanding Obsidian Preferred Stock shall be converted into Obsidian Common Stock in accordance with, and pursuant to the terms and conditions of, the Organizational Documents of Obsidian (the “</w:t>
      </w:r>
      <w:r>
        <w:rPr>
          <w:rFonts w:ascii="Times New Roman" w:cs="Times New Roman" w:eastAsia="Times New Roman" w:hAnsi="Times New Roman"/>
          <w:sz w:val="13"/>
          <w:szCs w:val="13"/>
          <w:b w:val="1"/>
          <w:bCs w:val="1"/>
          <w:color w:val="auto"/>
        </w:rPr>
        <w:t>Obsidian Preferred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Stock Conversion</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Obsidian Effective Time (after giving effect to Obsidian Preferred Stock Conversion), by virtue of the Obsidian Merger and without any further action on the part of Obsidian, Parent, Obsidian Merger Sub, or any stockholder of Obsidian, subject to </w:t>
      </w:r>
      <w:r>
        <w:rPr>
          <w:rFonts w:ascii="Times New Roman" w:cs="Times New Roman" w:eastAsia="Times New Roman" w:hAnsi="Times New Roman"/>
          <w:sz w:val="13"/>
          <w:szCs w:val="13"/>
          <w:u w:val="single" w:color="auto"/>
          <w:color w:val="auto"/>
        </w:rPr>
        <w:t>Section 2.5(d)</w:t>
      </w:r>
      <w:r>
        <w:rPr>
          <w:rFonts w:ascii="Times New Roman" w:cs="Times New Roman" w:eastAsia="Times New Roman" w:hAnsi="Times New Roman"/>
          <w:sz w:val="13"/>
          <w:szCs w:val="13"/>
          <w:color w:val="auto"/>
        </w:rPr>
        <w:t>, the Obsidian Common Stock outstanding immediately prior to the Obsidian Effective Time shall be converted solely into the right to receive a number of shares of Parent Common Stock equal to the Obsidian Exchange Ratio.</w:t>
      </w:r>
    </w:p>
    <w:p>
      <w:pPr>
        <w:spacing w:after="0" w:line="132" w:lineRule="exact"/>
        <w:rPr>
          <w:rFonts w:ascii="Times New Roman" w:cs="Times New Roman" w:eastAsia="Times New Roman" w:hAnsi="Times New Roman"/>
          <w:sz w:val="13"/>
          <w:szCs w:val="13"/>
          <w:color w:val="auto"/>
        </w:rPr>
      </w:pPr>
    </w:p>
    <w:p>
      <w:pPr>
        <w:ind w:left="640" w:right="779" w:firstLine="307"/>
        <w:spacing w:after="0" w:line="272" w:lineRule="auto"/>
        <w:tabs>
          <w:tab w:leader="none" w:pos="1121"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Obsidian Common Stock underlying any restricted stock award agreement or other similar agreement with Obsidian outstanding immediately prior to the Obsidian Effective Time is unvested or is subject to a repurchase option or a risk of forfeiture, then the shares of Parent Common Stock issued in exchange for such Obsidian Common Stock will to the same extent be unvested and subject to the same repurchase option or risk of forfeiture and other applicable terms and conditions, and such shares of Parent Common Stock shall accordingly be marked with appropriate legends. From and after the Closing, Parent shall be entitled to exercise any such repurchase option or other right set forth in any such restricted stock award agreement or other agreement without any further action by Obsidian, Parent, Obsidian Merger Sub or any holder of Obsidian Capital Stock.</w:t>
      </w:r>
    </w:p>
    <w:p>
      <w:pPr>
        <w:spacing w:after="0" w:line="123" w:lineRule="exact"/>
        <w:rPr>
          <w:rFonts w:ascii="Times New Roman" w:cs="Times New Roman" w:eastAsia="Times New Roman" w:hAnsi="Times New Roman"/>
          <w:sz w:val="12"/>
          <w:szCs w:val="12"/>
          <w:color w:val="auto"/>
        </w:rPr>
      </w:pPr>
    </w:p>
    <w:p>
      <w:pPr>
        <w:jc w:val="both"/>
        <w:ind w:left="640" w:right="699" w:firstLine="307"/>
        <w:spacing w:after="0" w:line="251" w:lineRule="auto"/>
        <w:tabs>
          <w:tab w:leader="none" w:pos="112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Parent Common Stock shall be issued in connection with the Obsidian Merger, and no certificates or scrip for any such fractional shares shall be issued, with no cash being paid for any fractional share eliminated by such rounding. Any fractional shares of Parent Common Stock a holder of Obsidian Common Stock would otherwise be entitled to receive shall be aggregated together first prior to eliminating any remaining fractional share. Any remaining fractional share of Parent Common Stock will be rounded up to the nearest whole share.</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12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Obsidian Effective Time, by virtue of the Obsidian Merger and without any further action on the part of Obsidian, Parent, Obsidian Merger Sub, or any stockholder of Obsidian, each share of common stock, $0.001 par value per share, of Obsidian Merger Sub issued and outstanding immediately prior to the Obsidian Effective Time shall be converted into and exchanged for one validly issued, fully paid and nonassessable share of common stock, $0.0001 par value per share, of the Obsidian Merger Surviving Corporation. If applicable, each stock certificate of Obsidian Merger Sub evidencing ownership of any such shares shall, as of the Obsidian Effective Time, evidence ownership of such shares of common stock of the Obsidian Merger Surviving Corporation until presented for transfer or exchange.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38" w:name="page39"/>
    <w:bookmarkEnd w:id="38"/>
    <w:p>
      <w:pPr>
        <w:ind w:left="640" w:right="659" w:firstLine="307"/>
        <w:spacing w:after="0" w:line="271" w:lineRule="auto"/>
        <w:tabs>
          <w:tab w:leader="none" w:pos="110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between the date of this Agreement and the Obsidian Effective Time, the outstanding Obsidian Common Stock or Parent Common Stock shall have been changed into, or exchanged for, a different number of shares or a different class, by reason of any stock dividend, subdivision, reclassification, recapitalization, split, combination or exchange of shares or other like change, Obsidian Merger Shares shall, to the extent necessary, be equitably adjusted to reflect such change to the extent necessary to provide the holders of Obsidian Common Stock and Parent Common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nothing herein will be construed to permit Obsidian or Parent to take any action with respect to Obsidian Common Stock or Parent Common Stock, respectively, that is prohibited or not expressly permitted by the terms of this Agreement.</w:t>
      </w:r>
    </w:p>
    <w:p>
      <w:pPr>
        <w:spacing w:after="0" w:line="122" w:lineRule="exact"/>
        <w:rPr>
          <w:rFonts w:ascii="Times New Roman" w:cs="Times New Roman" w:eastAsia="Times New Roman" w:hAnsi="Times New Roman"/>
          <w:sz w:val="12"/>
          <w:szCs w:val="12"/>
          <w:color w:val="auto"/>
        </w:rPr>
      </w:pPr>
    </w:p>
    <w:p>
      <w:pPr>
        <w:ind w:left="640" w:right="699" w:firstLine="307"/>
        <w:spacing w:after="0" w:line="267" w:lineRule="auto"/>
        <w:tabs>
          <w:tab w:leader="none" w:pos="112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Obsidian Effective Time, each Obsidian Option outstanding and unexercised immediately prior to the Obsidian Effective Time shall automatically without any further action on the part of Obsidian, Parent, Obsidian Merger Sub, or any holder of an Obsidian Option, be assumed and converted into an option (an “</w:t>
      </w:r>
      <w:r>
        <w:rPr>
          <w:rFonts w:ascii="Times New Roman" w:cs="Times New Roman" w:eastAsia="Times New Roman" w:hAnsi="Times New Roman"/>
          <w:sz w:val="12"/>
          <w:szCs w:val="12"/>
          <w:b w:val="1"/>
          <w:bCs w:val="1"/>
          <w:color w:val="auto"/>
        </w:rPr>
        <w:t>Assumed Obsidian Option</w:t>
      </w:r>
      <w:r>
        <w:rPr>
          <w:rFonts w:ascii="Times New Roman" w:cs="Times New Roman" w:eastAsia="Times New Roman" w:hAnsi="Times New Roman"/>
          <w:sz w:val="12"/>
          <w:szCs w:val="12"/>
          <w:color w:val="auto"/>
        </w:rPr>
        <w:t>”) to acquire, on the same terms and conditions (including the same vesting and exercisability terms and conditions) as were applicable under the Obsidian Equity Plan and option agreement applicable to such Obsidian Option immediately prior to the Obsidian Effective Time, the number of shares of Parent Common Stock determined by multiplying the number of shares of Obsidian Common Stock subject to such Obsidian Option immediately prior to the Obsidian Effective Time by the Obsidian Exchange Ratio, rounding down to the nearest whole number of shares, at a per share exercise price determined by dividing the per share exercise price of such Obsidian Option immediately prior to the Obsidian Effective Time by the Obsidian Exchange Ratio, rounding up to the nearest whole cent; provided, that the conversion of the Obsidian Options will be made in a manner consistent with Treasury Regulations Section 1.424-1, such that the conversion will not constitute a “modification” of such Obsidian Options for purposes of Section 409A or Section 424 of the Code. As of the Obsidian Effective Time, Parent will assume the Obsidian Equity Plan; provided, further, that (i) the terms of the Assumed Obsidian Options shall be further amended as may be necessary to reflect such assumption and conversion of the Obsidian Options into Assumed Obsidian Options (such as by making any change in control or similar definition relate to Parent instead of Obsidian and having any provision that provides for the adjustment of Obsidian Options upon the occurrence of certain corporate events of Obsidian relate to similar corporate events of Parent instead); and (ii) the Parent Board or a committee thereof shall succeed to the authority and responsibility of the Obsidian Board or any committee thereof with respect to each Assumed Obsidian Option.</w:t>
      </w:r>
    </w:p>
    <w:p>
      <w:pPr>
        <w:spacing w:after="0" w:line="123" w:lineRule="exact"/>
        <w:rPr>
          <w:rFonts w:ascii="Times New Roman" w:cs="Times New Roman" w:eastAsia="Times New Roman" w:hAnsi="Times New Roman"/>
          <w:sz w:val="12"/>
          <w:szCs w:val="12"/>
          <w:color w:val="auto"/>
        </w:rPr>
      </w:pPr>
    </w:p>
    <w:p>
      <w:pPr>
        <w:ind w:left="640" w:right="739" w:firstLine="307"/>
        <w:spacing w:after="0" w:line="272" w:lineRule="auto"/>
        <w:tabs>
          <w:tab w:leader="none" w:pos="112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Obsidian Effective Time, the Obsidian Board (or, if appropriate, any committee thereof) shall adopt resolutions that provide that, immediately prior to the Obsidian Effective Time, pursuant to Section 3.2 of the Warrant to Purchase Stock (as assigned, the “</w:t>
      </w:r>
      <w:r>
        <w:rPr>
          <w:rFonts w:ascii="Times New Roman" w:cs="Times New Roman" w:eastAsia="Times New Roman" w:hAnsi="Times New Roman"/>
          <w:sz w:val="12"/>
          <w:szCs w:val="12"/>
          <w:b w:val="1"/>
          <w:bCs w:val="1"/>
          <w:color w:val="auto"/>
        </w:rPr>
        <w:t>PacWest Warrant</w:t>
      </w:r>
      <w:r>
        <w:rPr>
          <w:rFonts w:ascii="Times New Roman" w:cs="Times New Roman" w:eastAsia="Times New Roman" w:hAnsi="Times New Roman"/>
          <w:sz w:val="12"/>
          <w:szCs w:val="12"/>
          <w:color w:val="auto"/>
        </w:rPr>
        <w:t>”), dated as of May 25, 2018, between the Company and PacWest Bancorp (the “</w:t>
      </w:r>
      <w:r>
        <w:rPr>
          <w:rFonts w:ascii="Times New Roman" w:cs="Times New Roman" w:eastAsia="Times New Roman" w:hAnsi="Times New Roman"/>
          <w:sz w:val="12"/>
          <w:szCs w:val="12"/>
          <w:b w:val="1"/>
          <w:bCs w:val="1"/>
          <w:color w:val="auto"/>
        </w:rPr>
        <w:t>Warrant Holder</w:t>
      </w:r>
      <w:r>
        <w:rPr>
          <w:rFonts w:ascii="Times New Roman" w:cs="Times New Roman" w:eastAsia="Times New Roman" w:hAnsi="Times New Roman"/>
          <w:sz w:val="12"/>
          <w:szCs w:val="12"/>
          <w:color w:val="auto"/>
        </w:rPr>
        <w:t>”) (which provision requires Obsidian to provide the Warrant Holder with written notice of the Obsidian Merger not less than ten (10) days prior to the Closing), the unexercised portion of the PacWest Warrant shall be deemed to be automatically exercised pursuant to Section 1.6 of the PacWest Warrant immediately prior to the Effective Time without any action on the part of the Warrant Holder. From and after the Obsidian Effective Time, the PacWest Warrant shall terminate in full.</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39" w:name="page40"/>
    <w:bookmarkEnd w:id="3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2.6 </w:t>
      </w:r>
      <w:r>
        <w:rPr>
          <w:rFonts w:ascii="Times New Roman" w:cs="Times New Roman" w:eastAsia="Times New Roman" w:hAnsi="Times New Roman"/>
          <w:sz w:val="13"/>
          <w:szCs w:val="13"/>
          <w:u w:val="single" w:color="auto"/>
          <w:color w:val="auto"/>
        </w:rPr>
        <w:t>Conversion of Shares of Galera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307"/>
        <w:spacing w:after="0" w:line="309" w:lineRule="auto"/>
        <w:tabs>
          <w:tab w:leader="none" w:pos="112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Galera Effective Time, the Galera Pre-Funded Warrants shall be exchanged for shares of Galera Common Stock in accordance with, and pursuant to the terms and conditions of, the Galera Pre-Funded Warrants (the “</w:t>
      </w:r>
      <w:r>
        <w:rPr>
          <w:rFonts w:ascii="Times New Roman" w:cs="Times New Roman" w:eastAsia="Times New Roman" w:hAnsi="Times New Roman"/>
          <w:sz w:val="12"/>
          <w:szCs w:val="12"/>
          <w:b w:val="1"/>
          <w:bCs w:val="1"/>
          <w:color w:val="auto"/>
        </w:rPr>
        <w:t>Galera Pre-Funded Warrant Exercise</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759" w:firstLine="307"/>
        <w:spacing w:after="0" w:line="286" w:lineRule="auto"/>
        <w:tabs>
          <w:tab w:leader="none" w:pos="112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following the Obsidian Effective Time but immediately prior to the Galera Effective Time, all Galera Preferred Stock, including the shares of Galera Series C Preferred Stock issued in the Concurrent PIPE Financing, shall be converted into Galera Common Stock in accordance with, and pursuant to the terms and conditions of, the Organizational Documents of Galera (the “</w:t>
      </w:r>
      <w:r>
        <w:rPr>
          <w:rFonts w:ascii="Times New Roman" w:cs="Times New Roman" w:eastAsia="Times New Roman" w:hAnsi="Times New Roman"/>
          <w:sz w:val="12"/>
          <w:szCs w:val="12"/>
          <w:b w:val="1"/>
          <w:bCs w:val="1"/>
          <w:color w:val="auto"/>
        </w:rPr>
        <w:t>Galera Preferred Stock Conversion</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jc w:val="both"/>
        <w:ind w:left="640" w:right="719" w:firstLine="307"/>
        <w:spacing w:after="0" w:line="255" w:lineRule="auto"/>
        <w:tabs>
          <w:tab w:leader="none" w:pos="1121"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Galera Effective Time, by virtue of the Galera Merger and without any further action on the part of Galera, Parent, Galera Merger Sub, or any stockholder of Galera, subject to </w:t>
      </w:r>
      <w:r>
        <w:rPr>
          <w:rFonts w:ascii="Times New Roman" w:cs="Times New Roman" w:eastAsia="Times New Roman" w:hAnsi="Times New Roman"/>
          <w:sz w:val="13"/>
          <w:szCs w:val="13"/>
          <w:u w:val="single" w:color="auto"/>
          <w:color w:val="auto"/>
        </w:rPr>
        <w:t>Section 2.6(f)</w:t>
      </w:r>
      <w:r>
        <w:rPr>
          <w:rFonts w:ascii="Times New Roman" w:cs="Times New Roman" w:eastAsia="Times New Roman" w:hAnsi="Times New Roman"/>
          <w:sz w:val="13"/>
          <w:szCs w:val="13"/>
          <w:color w:val="auto"/>
        </w:rPr>
        <w:t>, each share of Galera Common Stock outstanding immediately prior to the Galera Effective Time shall be converted into the right to receive a number of shares of Parent Common Stock equal to the Galera Exchange Ratio.</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8"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Galera Effective Time, (i) each Galera Exchangeable Warrant that is outstanding and unexercised immediately prior to the Galera Effective Time, whether or not vested, shall remain outstanding in accordance with its terms (as in effect as of the date of this Agreement) and, without any further action from Galera or Parent, become a warrant to purchase shares of Parent Common Stock and (ii) to the extent unexercised as of immediately prior to the Galera Effective Time, the Galera Terminable Warrants that are outstanding and unexercised, whether or not vested, shall automatically be terminated in accordance with the terms (as in effect as of the date of this Agreement) of the warrant agreement by which such Galera Terminable Warrant is evidenced.</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48" w:lineRule="auto"/>
        <w:tabs>
          <w:tab w:leader="none" w:pos="1121"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Galera Common Stock outstanding immediately prior to the Galera Effective Time, respectively, is unvested or is subject to a repurchase option or a risk of forfeiture under any applicable restricted stock award agreement or other similar agreement with Galera, then the shares of Parent Common Stock issued in exchange for such Galera Common Stock will to the same extent be unvested and subject to the same repurchase option or risk of forfeiture and other applicable terms and conditions, and such shares of Parent Common Stock shall accordingly be marked with appropriate legends. Galera shall take all actions that may be necessary to ensure that, from and after the Galera Effective Time, Parent is entitled to exercise any such repurchase option or other right set forth in any such restricted stock award agreement or other agreement.</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51" w:lineRule="auto"/>
        <w:tabs>
          <w:tab w:leader="none" w:pos="110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Parent Common Stock shall be issued in connection with the Galera Merger, and no certificates or scrip for any such fractional shares shall be issued, with no cash being paid for any fractional share eliminated by such rounding. Any fractional shares of Parent Common Stock a holder of Galera Common Stock would otherwise be entitled to receive shall be aggregated together first prior to eliminating any remaining fractional share. Any remaining fractional share of Parent Common Stock will be rounded up to the nearest whole share.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0" w:name="page41"/>
    <w:bookmarkEnd w:id="40"/>
    <w:p>
      <w:pPr>
        <w:ind w:left="640" w:right="679" w:firstLine="307"/>
        <w:spacing w:after="0" w:line="248" w:lineRule="auto"/>
        <w:tabs>
          <w:tab w:leader="none" w:pos="112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At the Galera Effective Time, by virtue of the Galera Merger and without any further action on the part of Galera, Parent, Galera Merger Sub, or any stockholder of Galera, each share of common stock, $0.001 par value per share, of Galera Merger Sub issued and outstanding immediately prior to the Galera Effective Time shall be converted into and exchanged for one validly issued, fully paid and nonassessable share of common stock, $0.0001 par value per share, of the Galera Merger Surviving Corporation. If applicable, each stock certificate of Galera Merger Sub evidencing ownership of any such shares shall, as of the Galera Effective Time, evidence ownership of such shares of common stock of the Galera Merger Surviving Corporation until presented for transfer or exchange.</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71" w:lineRule="auto"/>
        <w:tabs>
          <w:tab w:leader="none" w:pos="112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between the date of this Agreement and the Galera Effective Time, the outstanding Galera Common Stock or Parent Common Stock shall have been changed into, or exchanged for, a different number of shares or a different class, by reason of any stock dividend, subdivision, reclassification, recapitalization, split, combination or exchange of shares or other like change, Galera Merger Shares shall, to the extent necessary, be equitably adjusted to reflect such change to the extent necessary to provide the holders of Galera Common Stock and Parent Common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nothing herein will be construed to permit Galera or Parent to take any action with respect to Galera Common Stock or Parent Common Stock, respectively, that is prohibited or not expressly permitted by the terms of this Agreement.</w:t>
      </w:r>
    </w:p>
    <w:p>
      <w:pPr>
        <w:spacing w:after="0" w:line="122" w:lineRule="exact"/>
        <w:rPr>
          <w:rFonts w:ascii="Times New Roman" w:cs="Times New Roman" w:eastAsia="Times New Roman" w:hAnsi="Times New Roman"/>
          <w:sz w:val="12"/>
          <w:szCs w:val="12"/>
          <w:color w:val="auto"/>
        </w:rPr>
      </w:pPr>
    </w:p>
    <w:p>
      <w:pPr>
        <w:ind w:left="640" w:right="699" w:firstLine="307"/>
        <w:spacing w:after="0" w:line="245" w:lineRule="auto"/>
        <w:tabs>
          <w:tab w:leader="none" w:pos="11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outstanding Galera ITM Option immediately prior to the Galera Effective Time shall automatically without any further action on the part of Galera, Parent, Galera Merger Sub, or any holder of a Galera Option, become fully vested and be converted, at the Galera Effective Time, into a net exercised share of Parent Common Stock determined by (i) multiplying the number of shares of Galera Common Stock subject to such Galera Option immediately prior to the Galera Effective Time by the Galera Exchange Ratio, rounding down to the nearest whole number of shares, and (ii) reducing such number of shares of Parent Common Stock by the number of shares of Parent Common Stock with an aggregate value equal to the sum of (a) the total exercise price for such Galera Option (determined by dividing the per share exercise price of such Galera Option immediately prior to the Galera Effective Time by the Galera Exchange Ratio, rounding up to the nearest whole cent) plus (b) any required withholding taxes required to be paid by Galera with respect to such net exercise, and (c) dividing such sum of (a) and (b) by the per share price of Parent Common Stock as of the Effective Time (such net number of shares of Parent Common Stock the “</w:t>
      </w:r>
      <w:r>
        <w:rPr>
          <w:rFonts w:ascii="Times New Roman" w:cs="Times New Roman" w:eastAsia="Times New Roman" w:hAnsi="Times New Roman"/>
          <w:sz w:val="13"/>
          <w:szCs w:val="13"/>
          <w:b w:val="1"/>
          <w:bCs w:val="1"/>
          <w:color w:val="auto"/>
        </w:rPr>
        <w:t>Net Galera Option Shares</w:t>
      </w:r>
      <w:r>
        <w:rPr>
          <w:rFonts w:ascii="Times New Roman" w:cs="Times New Roman" w:eastAsia="Times New Roman" w:hAnsi="Times New Roman"/>
          <w:sz w:val="13"/>
          <w:szCs w:val="13"/>
          <w:color w:val="auto"/>
        </w:rPr>
        <w:t>”); provided, that the net exercise of the Galera Options will be made in a manner consistent with applicable Law. For the avoidance of doubt, such Net Galera Option Shares will be eligible to receive one CVR for each outstanding share pursuant to Section 2.7 below. Each outstanding Galera Option that is not an ITM Option immediately prior to the Galera Effective Time will be cancelled for no consideration.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1" w:name="page42"/>
    <w:bookmarkEnd w:id="41"/>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2.7 </w:t>
      </w:r>
      <w:r>
        <w:rPr>
          <w:rFonts w:ascii="Times New Roman" w:cs="Times New Roman" w:eastAsia="Times New Roman" w:hAnsi="Times New Roman"/>
          <w:sz w:val="13"/>
          <w:szCs w:val="13"/>
          <w:u w:val="single" w:color="auto"/>
          <w:color w:val="auto"/>
        </w:rPr>
        <w:t>Contingent Value Right</w:t>
      </w:r>
      <w:r>
        <w:rPr>
          <w:rFonts w:ascii="Times New Roman" w:cs="Times New Roman" w:eastAsia="Times New Roman" w:hAnsi="Times New Roman"/>
          <w:sz w:val="13"/>
          <w:szCs w:val="13"/>
          <w:color w:val="auto"/>
        </w:rPr>
        <w:t>. Prior to the Galera Effective Time but after the conversion of all Galera Series B Preferred Stock into Galera Common Stock, Galera shall declare a distribution (the “</w:t>
      </w:r>
      <w:r>
        <w:rPr>
          <w:rFonts w:ascii="Times New Roman" w:cs="Times New Roman" w:eastAsia="Times New Roman" w:hAnsi="Times New Roman"/>
          <w:sz w:val="13"/>
          <w:szCs w:val="13"/>
          <w:b w:val="1"/>
          <w:bCs w:val="1"/>
          <w:color w:val="auto"/>
        </w:rPr>
        <w:t>Pre-Closing Distribution</w:t>
      </w:r>
      <w:r>
        <w:rPr>
          <w:rFonts w:ascii="Times New Roman" w:cs="Times New Roman" w:eastAsia="Times New Roman" w:hAnsi="Times New Roman"/>
          <w:sz w:val="13"/>
          <w:szCs w:val="13"/>
          <w:color w:val="auto"/>
        </w:rPr>
        <w:t>”) to holders of Galera Common Stock of record the right to receive one contingent value right (each, a “</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xml:space="preserve">”) for each outstanding share of Galera Common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cs="Times New Roman" w:eastAsia="Times New Roman" w:hAnsi="Times New Roman"/>
          <w:sz w:val="13"/>
          <w:szCs w:val="13"/>
          <w:u w:val="single" w:color="auto"/>
          <w:color w:val="auto"/>
        </w:rPr>
        <w:t>Exhibit G</w:t>
      </w:r>
      <w:r>
        <w:rPr>
          <w:rFonts w:ascii="Times New Roman" w:cs="Times New Roman" w:eastAsia="Times New Roman" w:hAnsi="Times New Roman"/>
          <w:sz w:val="13"/>
          <w:szCs w:val="13"/>
          <w:color w:val="auto"/>
        </w:rPr>
        <w:t>, to be entered into between Parent, Obsidian and Equiniti Trust Company, LLC (or such other nationally recognized rights agent agreed to between Galera and Obsidian) (the “</w:t>
      </w:r>
      <w:r>
        <w:rPr>
          <w:rFonts w:ascii="Times New Roman" w:cs="Times New Roman" w:eastAsia="Times New Roman" w:hAnsi="Times New Roman"/>
          <w:sz w:val="13"/>
          <w:szCs w:val="13"/>
          <w:b w:val="1"/>
          <w:bCs w:val="1"/>
          <w:color w:val="auto"/>
        </w:rPr>
        <w:t>Rights Agent</w:t>
      </w:r>
      <w:r>
        <w:rPr>
          <w:rFonts w:ascii="Times New Roman" w:cs="Times New Roman" w:eastAsia="Times New Roman" w:hAnsi="Times New Roman"/>
          <w:sz w:val="13"/>
          <w:szCs w:val="13"/>
          <w:color w:val="auto"/>
        </w:rPr>
        <w:t>”), with such revisions thereto requested by the Rights Agent that are not, individually or in the aggregate, materially detrimental to the holders of CVRs and reasonably acceptable to Galera and Obsidian (the “</w:t>
      </w:r>
      <w:r>
        <w:rPr>
          <w:rFonts w:ascii="Times New Roman" w:cs="Times New Roman" w:eastAsia="Times New Roman" w:hAnsi="Times New Roman"/>
          <w:sz w:val="13"/>
          <w:szCs w:val="13"/>
          <w:b w:val="1"/>
          <w:bCs w:val="1"/>
          <w:color w:val="auto"/>
        </w:rPr>
        <w:t>CVR Agreement</w:t>
      </w:r>
      <w:r>
        <w:rPr>
          <w:rFonts w:ascii="Times New Roman" w:cs="Times New Roman" w:eastAsia="Times New Roman" w:hAnsi="Times New Roman"/>
          <w:sz w:val="13"/>
          <w:szCs w:val="13"/>
          <w:color w:val="auto"/>
        </w:rPr>
        <w:t>”). The record date for the Pre-Closing Distribution shall be the close of business on the last Business Day prior to the day on which the Galera Effective Time occurs and the payment date for the Pre-Closing Distribution shall be three (3) Business Days after the Galera Effective Time; provided that the payment of such distribution may be conditioned upon the occurrence of the Galera Effective Time. In connection with the Pre-Closing Distribution, Galera shall cause the CVR Agreement to be duly authorized, executed and delivered by Galera and the Exchange Agent.</w:t>
      </w:r>
    </w:p>
    <w:p>
      <w:pPr>
        <w:spacing w:after="0" w:line="140" w:lineRule="exact"/>
        <w:rPr>
          <w:sz w:val="20"/>
          <w:szCs w:val="20"/>
          <w:color w:val="auto"/>
        </w:rPr>
      </w:pPr>
    </w:p>
    <w:p>
      <w:pPr>
        <w:ind w:left="640" w:right="719" w:firstLine="307"/>
        <w:spacing w:after="0" w:line="249" w:lineRule="auto"/>
        <w:tabs>
          <w:tab w:leader="none" w:pos="1121"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are solely contractual rights and shall not constitute equity or ownership interests in Parent, Galera, Obsidian or any of their respective Affiliates, and Parent, Galera and Obsidian shall cooperate, including by making changes to the CVR Agreement, as necessary to ensure that the CVRs are not subject to registration under the Securities Act, the Exchange Act or applicable state securities or “blue sky” Laws. Notwithstanding anything to the contrary herein or in the CVR Agreement, none of Parent, Galera, Obsidian or any of their respective Affiliates shall owe any fiduciary or other duties to any holder of CVRs, except to the extent expressly set forth in the CVR Agreement.</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Galera agrees to pay all costs and fees of the Rights Agent contemplated by this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CVR Fees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2.8 </w:t>
      </w:r>
      <w:r>
        <w:rPr>
          <w:rFonts w:ascii="Times New Roman" w:cs="Times New Roman" w:eastAsia="Times New Roman" w:hAnsi="Times New Roman"/>
          <w:sz w:val="13"/>
          <w:szCs w:val="13"/>
          <w:u w:val="single" w:color="auto"/>
          <w:color w:val="auto"/>
        </w:rPr>
        <w:t>Closing of Transfer Books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7"/>
        <w:spacing w:after="0" w:line="248" w:lineRule="auto"/>
        <w:tabs>
          <w:tab w:leader="none" w:pos="112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Obsidian Effective Time, (i) all Obsidian Common Stock outstanding immediately prior to the Obsidian Effective Time shall be treated in accordance with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and all holders of certificates representing Obsidian Common Stock that were outstanding immediately prior to the Obsidian Effective Time shall cease to have any rights as stockholders of Obsidian (other than the right to receive Obsidian Merger Shares) and (ii) the stock transfer books of Obsidian shall be closed with respect to all Obsidian Common Stock (including any Obsidian Common Stock underlying the PacWest Warrant and Obsidian Options) outstanding immediately prior to the Obsidian Effective Time. No further transfer of any such Obsidian Common Stock shall be made on such stock transfer books after the Obsidian Effective Time.</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48" w:lineRule="auto"/>
        <w:tabs>
          <w:tab w:leader="none" w:pos="112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Galera Effective Time: (i) all Galera Common Stock outstanding immediately prior to the Galera Effective Time shall be treated in accordance with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and all holders of certificates representing Galera Common Stock that were outstanding immediately prior to the Galera Effective Time shall cease to have any rights as stockholders of Galera (other than the right to receive Galera Merger Shares) and (ii) the stock transfer books of Galera shall be closed with respect to all Galera Common Stock (including any Galera Common Stock underlying Galera Warrants and Galera Options) outstanding immediately prior to the Galera Effective Time. No further transfer of any such Galera Common Stock shall be made on such stock transfer books after the Galera Effective Time.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2" w:name="page43"/>
    <w:bookmarkEnd w:id="4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2.9 </w:t>
      </w:r>
      <w:r>
        <w:rPr>
          <w:rFonts w:ascii="Times New Roman" w:cs="Times New Roman" w:eastAsia="Times New Roman" w:hAnsi="Times New Roman"/>
          <w:sz w:val="13"/>
          <w:szCs w:val="13"/>
          <w:u w:val="single" w:color="auto"/>
          <w:color w:val="auto"/>
        </w:rPr>
        <w:t>Surrender of Obsidian Common Stock</w:t>
      </w:r>
      <w:r>
        <w:rPr>
          <w:rFonts w:ascii="Times New Roman" w:cs="Times New Roman" w:eastAsia="Times New Roman" w:hAnsi="Times New Roman"/>
          <w:sz w:val="13"/>
          <w:szCs w:val="13"/>
          <w:color w:val="auto"/>
        </w:rPr>
        <w:t xml:space="preserve"> .</w:t>
      </w:r>
    </w:p>
    <w:p>
      <w:pPr>
        <w:spacing w:after="0" w:line="154" w:lineRule="exact"/>
        <w:rPr>
          <w:sz w:val="20"/>
          <w:szCs w:val="20"/>
          <w:color w:val="auto"/>
        </w:rPr>
      </w:pPr>
    </w:p>
    <w:p>
      <w:pPr>
        <w:jc w:val="both"/>
        <w:ind w:left="640" w:right="799" w:firstLine="307"/>
        <w:spacing w:after="0" w:line="255" w:lineRule="auto"/>
        <w:tabs>
          <w:tab w:leader="none" w:pos="112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prior to the Closing Date, Galera and Obsidian shall jointly select a reputable bank, transfer agent or trust company to act as exchange agent in the Mergers (the “</w:t>
      </w:r>
      <w:r>
        <w:rPr>
          <w:rFonts w:ascii="Times New Roman" w:cs="Times New Roman" w:eastAsia="Times New Roman" w:hAnsi="Times New Roman"/>
          <w:sz w:val="13"/>
          <w:szCs w:val="13"/>
          <w:b w:val="1"/>
          <w:bCs w:val="1"/>
          <w:color w:val="auto"/>
        </w:rPr>
        <w:t>Exchange Agent</w:t>
      </w:r>
      <w:r>
        <w:rPr>
          <w:rFonts w:ascii="Times New Roman" w:cs="Times New Roman" w:eastAsia="Times New Roman" w:hAnsi="Times New Roman"/>
          <w:sz w:val="13"/>
          <w:szCs w:val="13"/>
          <w:color w:val="auto"/>
        </w:rPr>
        <w:t xml:space="preserve">”). At the Obsidian Effective Time, Parent shall deposit with the Exchange Agent evidence of book-entry shares representing the shares of Parent Common Stock issuable pursuant to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in exchange for Obsidian Common Stock.</w:t>
      </w:r>
    </w:p>
    <w:p>
      <w:pPr>
        <w:spacing w:after="0" w:line="130" w:lineRule="exact"/>
        <w:rPr>
          <w:rFonts w:ascii="Times New Roman" w:cs="Times New Roman" w:eastAsia="Times New Roman" w:hAnsi="Times New Roman"/>
          <w:sz w:val="13"/>
          <w:szCs w:val="13"/>
          <w:color w:val="auto"/>
        </w:rPr>
      </w:pPr>
    </w:p>
    <w:p>
      <w:pPr>
        <w:ind w:left="640" w:right="679" w:firstLine="307"/>
        <w:spacing w:after="0" w:line="247" w:lineRule="auto"/>
        <w:tabs>
          <w:tab w:leader="none" w:pos="11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Obsidian Effective Time, the Parties shall cause the Exchange Agent to mail to the Persons who were record holders of Obsidian Common Stock that were converted into the right to receive Obsidian Merger Shares: (i) a letter of transmittal in customary form and containing such provisions as Parent may reasonably specify and (ii) instructions for effecting the surrender of Obsidian Common Stock in exchange for book-entry shares of Parent Common Stock. Upon execution and delivery of a duly executed letter of transmittal and such other documents as may be reasonably required by the Exchange Agent or Parent, the holder of such Obsidian Common Stock shall be entitled to receive in exchange therefor book-entry shares representing Obsidian Merger Shares (in a number of whole shares of Parent Common Stock) that such holder has the right to receive pursuant to the provisions of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779" w:firstLine="307"/>
        <w:spacing w:after="0" w:line="249" w:lineRule="auto"/>
        <w:tabs>
          <w:tab w:leader="none" w:pos="112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dividends or other distributions declared or made with respect to Parent Common Stock with a record date after the Obsidian Effective Time shall be paid to the holder of any Obsidian Common Stock with respect to the shares of Parent Common Stock that such holder has the right to receive in the Mergers until such holder delivers a duly executed letter of transmittal (at which time (or, if later, on the applicable payment date) such holder shall be entitled, subject to the effect of applicable abandoned property, escheat or similar Laws, to receive all such dividends and distributions, without interest).</w:t>
      </w:r>
    </w:p>
    <w:p>
      <w:pPr>
        <w:spacing w:after="0" w:line="134" w:lineRule="exact"/>
        <w:rPr>
          <w:rFonts w:ascii="Times New Roman" w:cs="Times New Roman" w:eastAsia="Times New Roman" w:hAnsi="Times New Roman"/>
          <w:sz w:val="13"/>
          <w:szCs w:val="13"/>
          <w:color w:val="auto"/>
        </w:rPr>
      </w:pPr>
    </w:p>
    <w:p>
      <w:pPr>
        <w:jc w:val="both"/>
        <w:ind w:left="640" w:right="739" w:firstLine="307"/>
        <w:spacing w:after="0" w:line="251" w:lineRule="auto"/>
        <w:tabs>
          <w:tab w:leader="none" w:pos="11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shares of Parent Common Stock deposited with the Exchange Agent that remain undistributed to holders of Obsidian Common Stock as of the date that is 180 days after the Closing Date shall be delivered to Parent upon demand, and any holders of Obsidian Common Stock who have not theretofore delivered a duly executed letter of transmittal in accordance with this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color w:val="auto"/>
        </w:rPr>
        <w:t xml:space="preserve"> shall thereafter look only to Parent for satisfaction of their claims for Parent Common Stock and any dividends or distributions with respect to shares of Parent Common Stock.</w:t>
      </w:r>
    </w:p>
    <w:p>
      <w:pPr>
        <w:spacing w:after="0" w:line="132" w:lineRule="exact"/>
        <w:rPr>
          <w:rFonts w:ascii="Times New Roman" w:cs="Times New Roman" w:eastAsia="Times New Roman" w:hAnsi="Times New Roman"/>
          <w:sz w:val="13"/>
          <w:szCs w:val="13"/>
          <w:color w:val="auto"/>
        </w:rPr>
      </w:pPr>
    </w:p>
    <w:p>
      <w:pPr>
        <w:ind w:left="640" w:right="819" w:firstLine="307"/>
        <w:spacing w:after="0" w:line="255" w:lineRule="auto"/>
        <w:tabs>
          <w:tab w:leader="none" w:pos="112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Party shall be liable to any former holder of any Obsidian Common Stock or to any other Person with respect to any shares of Parent Common Stock (or dividends or distributions with respect thereto) or for any cash amounts delivered to any public official pursuant to any applicable abandoned property Law, escheat Law or similar Law.</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2.10 </w:t>
      </w:r>
      <w:r>
        <w:rPr>
          <w:rFonts w:ascii="Times New Roman" w:cs="Times New Roman" w:eastAsia="Times New Roman" w:hAnsi="Times New Roman"/>
          <w:sz w:val="13"/>
          <w:szCs w:val="13"/>
          <w:u w:val="single" w:color="auto"/>
          <w:color w:val="auto"/>
        </w:rPr>
        <w:t>Surrender of Galera Common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39" w:firstLine="307"/>
        <w:spacing w:after="0" w:line="267" w:lineRule="auto"/>
        <w:tabs>
          <w:tab w:leader="none" w:pos="112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Galera Effective Time, Parent shall deposit with the Exchange Agent evidence of book-entry shares representing the shares of Parent Common Stock issuable pursuant to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in exchange for Galera Common Stock.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3" w:name="page44"/>
    <w:bookmarkEnd w:id="43"/>
    <w:p>
      <w:pPr>
        <w:ind w:left="640" w:right="679" w:firstLine="307"/>
        <w:spacing w:after="0" w:line="247" w:lineRule="auto"/>
        <w:tabs>
          <w:tab w:leader="none" w:pos="112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Promptly after the Galera Effective Time, the Parties shall cause the Exchange Agent to mail to the Persons who were record holders of Galera Common Stock that were converted into the right to receive Galera Merger Shares: (i) a letter of transmittal in customary form and containing such provisions as Parent may reasonably specify and (ii) instructions for effecting the surrender of Galera Common Stock in exchange for book-entry shares of Parent Common Stock. Upon execution and delivery of a duly executed letter of transmittal and such other documents as may be reasonably required by the Exchange Agent or Parent, the holder of such Galera Common Stock shall be entitled to receive in exchange therefor book-entry shares representing Galera Merger Shares (in a number of whole shares of Parent Common Stock) that such holder has the right to receive pursuant to the provisions of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12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dividends or other distributions declared or made with respect to Parent Common Stock with a record date after the Galera Effective Time shall be paid to the holder of any Galera Common Stock with respect to the shares of Parent Common Stock that such holder has the right to receive in the Mergers until such holder delivers a duly executed letter of transmittal (at which time (or, if later, on the applicable payment date) such holder shall be entitled, subject to the effect of applicable abandoned property, escheat or similar Laws, to receive all such dividends and distributions, without interest).</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12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shares of Parent Common Stock deposited with the Exchange Agent that remain undistributed to holders of Galera Common Stock as of the date that is 180 days after the Closing Date shall be delivered to Parent upon demand, and any holders of Galera Common Stock who have not theretofore delivered a duly executed letter of transmittal in accordance with this </w:t>
      </w:r>
      <w:r>
        <w:rPr>
          <w:rFonts w:ascii="Times New Roman" w:cs="Times New Roman" w:eastAsia="Times New Roman" w:hAnsi="Times New Roman"/>
          <w:sz w:val="13"/>
          <w:szCs w:val="13"/>
          <w:u w:val="single" w:color="auto"/>
          <w:color w:val="auto"/>
        </w:rPr>
        <w:t>Section 2.10</w:t>
      </w:r>
      <w:r>
        <w:rPr>
          <w:rFonts w:ascii="Times New Roman" w:cs="Times New Roman" w:eastAsia="Times New Roman" w:hAnsi="Times New Roman"/>
          <w:sz w:val="13"/>
          <w:szCs w:val="13"/>
          <w:color w:val="auto"/>
        </w:rPr>
        <w:t xml:space="preserve"> shall thereafter look only to Parent for satisfaction of their claims for Parent Common Stock and any dividends or distributions with respect to shares of Parent Common Stock.</w:t>
      </w:r>
    </w:p>
    <w:p>
      <w:pPr>
        <w:spacing w:after="0" w:line="132" w:lineRule="exact"/>
        <w:rPr>
          <w:rFonts w:ascii="Times New Roman" w:cs="Times New Roman" w:eastAsia="Times New Roman" w:hAnsi="Times New Roman"/>
          <w:sz w:val="13"/>
          <w:szCs w:val="13"/>
          <w:color w:val="auto"/>
        </w:rPr>
      </w:pPr>
    </w:p>
    <w:p>
      <w:pPr>
        <w:ind w:left="640" w:right="819" w:firstLine="307"/>
        <w:spacing w:after="0" w:line="255" w:lineRule="auto"/>
        <w:tabs>
          <w:tab w:leader="none" w:pos="112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Party shall be liable to any former holder of any Galera Common Stock or to any other Person with respect to any shares of Parent Common Stock (or dividends or distributions with respect thereto) or for any cash amounts delivered to any public official pursuant to any applicable abandoned property Law, escheat Law or similar Law.</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2.11 </w:t>
      </w:r>
      <w:r>
        <w:rPr>
          <w:rFonts w:ascii="Times New Roman" w:cs="Times New Roman" w:eastAsia="Times New Roman" w:hAnsi="Times New Roman"/>
          <w:sz w:val="13"/>
          <w:szCs w:val="13"/>
          <w:u w:val="single" w:color="auto"/>
          <w:color w:val="auto"/>
        </w:rPr>
        <w:t>Calculation of Net Cash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68" w:lineRule="auto"/>
        <w:tabs>
          <w:tab w:leader="none" w:pos="1121"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less than ten (10) Business Days prior to the anticipated date for Closing as mutually agreed in good faith by Galera and Obsidian (the “</w:t>
      </w:r>
      <w:r>
        <w:rPr>
          <w:rFonts w:ascii="Times New Roman" w:cs="Times New Roman" w:eastAsia="Times New Roman" w:hAnsi="Times New Roman"/>
          <w:sz w:val="12"/>
          <w:szCs w:val="12"/>
          <w:b w:val="1"/>
          <w:bCs w:val="1"/>
          <w:color w:val="auto"/>
        </w:rPr>
        <w:t>Anticipated Closing Date</w:t>
      </w:r>
      <w:r>
        <w:rPr>
          <w:rFonts w:ascii="Times New Roman" w:cs="Times New Roman" w:eastAsia="Times New Roman" w:hAnsi="Times New Roman"/>
          <w:sz w:val="12"/>
          <w:szCs w:val="12"/>
          <w:color w:val="auto"/>
        </w:rPr>
        <w:t>”), Galera will deliver to Obsidian a certificate that includes a schedule (the “</w:t>
      </w:r>
      <w:r>
        <w:rPr>
          <w:rFonts w:ascii="Times New Roman" w:cs="Times New Roman" w:eastAsia="Times New Roman" w:hAnsi="Times New Roman"/>
          <w:sz w:val="12"/>
          <w:szCs w:val="12"/>
          <w:b w:val="1"/>
          <w:bCs w:val="1"/>
          <w:color w:val="auto"/>
        </w:rPr>
        <w:t>Galera Net Cash Schedule</w:t>
      </w:r>
      <w:r>
        <w:rPr>
          <w:rFonts w:ascii="Times New Roman" w:cs="Times New Roman" w:eastAsia="Times New Roman" w:hAnsi="Times New Roman"/>
          <w:sz w:val="12"/>
          <w:szCs w:val="12"/>
          <w:color w:val="auto"/>
        </w:rPr>
        <w:t>”, and the date of delivery of the Galera Net Cash Schedule, the “</w:t>
      </w:r>
      <w:r>
        <w:rPr>
          <w:rFonts w:ascii="Times New Roman" w:cs="Times New Roman" w:eastAsia="Times New Roman" w:hAnsi="Times New Roman"/>
          <w:sz w:val="12"/>
          <w:szCs w:val="12"/>
          <w:b w:val="1"/>
          <w:bCs w:val="1"/>
          <w:color w:val="auto"/>
        </w:rPr>
        <w:t>Delivery Date</w:t>
      </w:r>
      <w:r>
        <w:rPr>
          <w:rFonts w:ascii="Times New Roman" w:cs="Times New Roman" w:eastAsia="Times New Roman" w:hAnsi="Times New Roman"/>
          <w:sz w:val="12"/>
          <w:szCs w:val="12"/>
          <w:color w:val="auto"/>
        </w:rPr>
        <w:t>”) setting forth, in reasonable detail, Galera’s good faith, estimated calculation of Galera Net Cash (the “</w:t>
      </w:r>
      <w:r>
        <w:rPr>
          <w:rFonts w:ascii="Times New Roman" w:cs="Times New Roman" w:eastAsia="Times New Roman" w:hAnsi="Times New Roman"/>
          <w:sz w:val="12"/>
          <w:szCs w:val="12"/>
          <w:b w:val="1"/>
          <w:bCs w:val="1"/>
          <w:color w:val="auto"/>
        </w:rPr>
        <w:t>Galera Net Cash Calculation</w:t>
      </w:r>
      <w:r>
        <w:rPr>
          <w:rFonts w:ascii="Times New Roman" w:cs="Times New Roman" w:eastAsia="Times New Roman" w:hAnsi="Times New Roman"/>
          <w:sz w:val="12"/>
          <w:szCs w:val="12"/>
          <w:color w:val="auto"/>
        </w:rPr>
        <w:t>”) at the close on business of the Closing Date (the “</w:t>
      </w:r>
      <w:r>
        <w:rPr>
          <w:rFonts w:ascii="Times New Roman" w:cs="Times New Roman" w:eastAsia="Times New Roman" w:hAnsi="Times New Roman"/>
          <w:sz w:val="12"/>
          <w:szCs w:val="12"/>
          <w:b w:val="1"/>
          <w:bCs w:val="1"/>
          <w:color w:val="auto"/>
        </w:rPr>
        <w:t>Cash Determination Time</w:t>
      </w:r>
      <w:r>
        <w:rPr>
          <w:rFonts w:ascii="Times New Roman" w:cs="Times New Roman" w:eastAsia="Times New Roman" w:hAnsi="Times New Roman"/>
          <w:sz w:val="12"/>
          <w:szCs w:val="12"/>
          <w:color w:val="auto"/>
        </w:rPr>
        <w:t xml:space="preserve">”) prepared and signed by Galera’s chief financial officer (or if there is no chief financial officer at such time, the principal financial and accounting officer for Galera). Galera shall make available to Obsidian (electronically to the greatest extent possible), as reasonably requested by Obsidian, the work papers and back-up materials used or useful in preparing the Galera Net Cash Schedule and, if reasonably requested by Obsidian, Galera’s accountants and counsel at reasonable times and upon reasonable notice. The Galera Net Cash Calculation shall include Galera’s determination, as of the Cash Determination Time, of the defined terms in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necessary to calculate Obsidian Merger Shares. Set forth on </w:t>
      </w:r>
      <w:r>
        <w:rPr>
          <w:rFonts w:ascii="Times New Roman" w:cs="Times New Roman" w:eastAsia="Times New Roman" w:hAnsi="Times New Roman"/>
          <w:sz w:val="12"/>
          <w:szCs w:val="12"/>
          <w:u w:val="single" w:color="auto"/>
          <w:color w:val="auto"/>
        </w:rPr>
        <w:t>Section 2.11(a)</w:t>
      </w:r>
      <w:r>
        <w:rPr>
          <w:rFonts w:ascii="Times New Roman" w:cs="Times New Roman" w:eastAsia="Times New Roman" w:hAnsi="Times New Roman"/>
          <w:sz w:val="12"/>
          <w:szCs w:val="12"/>
          <w:color w:val="auto"/>
        </w:rPr>
        <w:t xml:space="preserve"> of the Galera Disclosure Schedule is an illustrative example of Galera Net Cash calculation calculated on a hypothetical basis as of the date described therein. For the avoidance of doubt, in no event shall any Permitted Galera Bridge Financing cause the Final Galera Net Cash to be greater than $1,800,000.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4" w:name="page45"/>
    <w:bookmarkEnd w:id="44"/>
    <w:p>
      <w:pPr>
        <w:jc w:val="both"/>
        <w:ind w:left="640" w:right="919" w:firstLine="307"/>
        <w:spacing w:after="0" w:line="257" w:lineRule="auto"/>
        <w:tabs>
          <w:tab w:leader="none" w:pos="112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Within five (5) Business Days after the Delivery Date (the last day of such period, the “</w:t>
      </w:r>
      <w:r>
        <w:rPr>
          <w:rFonts w:ascii="Times New Roman" w:cs="Times New Roman" w:eastAsia="Times New Roman" w:hAnsi="Times New Roman"/>
          <w:sz w:val="13"/>
          <w:szCs w:val="13"/>
          <w:b w:val="1"/>
          <w:bCs w:val="1"/>
          <w:color w:val="auto"/>
        </w:rPr>
        <w:t>Response Date</w:t>
      </w:r>
      <w:r>
        <w:rPr>
          <w:rFonts w:ascii="Times New Roman" w:cs="Times New Roman" w:eastAsia="Times New Roman" w:hAnsi="Times New Roman"/>
          <w:sz w:val="13"/>
          <w:szCs w:val="13"/>
          <w:color w:val="auto"/>
        </w:rPr>
        <w:t>”), Obsidian shall have the right to dispute any part of the Galera Net Cash Calculation by delivering a written notice to that effect to Galera (a “</w:t>
      </w:r>
      <w:r>
        <w:rPr>
          <w:rFonts w:ascii="Times New Roman" w:cs="Times New Roman" w:eastAsia="Times New Roman" w:hAnsi="Times New Roman"/>
          <w:sz w:val="13"/>
          <w:szCs w:val="13"/>
          <w:b w:val="1"/>
          <w:bCs w:val="1"/>
          <w:color w:val="auto"/>
        </w:rPr>
        <w:t>Dispute Notice</w:t>
      </w:r>
      <w:r>
        <w:rPr>
          <w:rFonts w:ascii="Times New Roman" w:cs="Times New Roman" w:eastAsia="Times New Roman" w:hAnsi="Times New Roman"/>
          <w:sz w:val="13"/>
          <w:szCs w:val="13"/>
          <w:color w:val="auto"/>
        </w:rPr>
        <w:t>”). Any Dispute Notice shall identify in reasonable detail the nature and amounts of any proposed revisions to the Galera Net Cash Calculation.</w:t>
      </w:r>
    </w:p>
    <w:p>
      <w:pPr>
        <w:spacing w:after="0" w:line="128" w:lineRule="exact"/>
        <w:rPr>
          <w:rFonts w:ascii="Times New Roman" w:cs="Times New Roman" w:eastAsia="Times New Roman" w:hAnsi="Times New Roman"/>
          <w:sz w:val="13"/>
          <w:szCs w:val="13"/>
          <w:color w:val="auto"/>
        </w:rPr>
      </w:pPr>
    </w:p>
    <w:p>
      <w:pPr>
        <w:ind w:left="640" w:right="679" w:firstLine="307"/>
        <w:spacing w:after="0" w:line="279" w:lineRule="auto"/>
        <w:tabs>
          <w:tab w:leader="none" w:pos="1121"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on or prior to the Response Date, (i) Obsidian notifies Galera in writing that it has no objections to the Galera Net Cash Calculation or (ii) if prior to 5:00 p.m. (New York City time) on the Response Date, Obsidian has failed to deliver a Dispute Notice as provided in </w:t>
      </w:r>
      <w:r>
        <w:rPr>
          <w:rFonts w:ascii="Times New Roman" w:cs="Times New Roman" w:eastAsia="Times New Roman" w:hAnsi="Times New Roman"/>
          <w:sz w:val="12"/>
          <w:szCs w:val="12"/>
          <w:u w:val="single" w:color="auto"/>
          <w:color w:val="auto"/>
        </w:rPr>
        <w:t>Section 2.11(b)</w:t>
      </w:r>
      <w:r>
        <w:rPr>
          <w:rFonts w:ascii="Times New Roman" w:cs="Times New Roman" w:eastAsia="Times New Roman" w:hAnsi="Times New Roman"/>
          <w:sz w:val="12"/>
          <w:szCs w:val="12"/>
          <w:color w:val="auto"/>
        </w:rPr>
        <w:t>, then the Galera Net Cash Calculation as set forth in the Galera Net Cash Schedule shall be deemed to have been finally determined for purposes of this Agreement and to represent the Galera Net Cash at the Cash Determination Time (the “</w:t>
      </w:r>
      <w:r>
        <w:rPr>
          <w:rFonts w:ascii="Times New Roman" w:cs="Times New Roman" w:eastAsia="Times New Roman" w:hAnsi="Times New Roman"/>
          <w:sz w:val="12"/>
          <w:szCs w:val="12"/>
          <w:b w:val="1"/>
          <w:bCs w:val="1"/>
          <w:color w:val="auto"/>
        </w:rPr>
        <w:t>Final Galera Net Cash</w:t>
      </w:r>
      <w:r>
        <w:rPr>
          <w:rFonts w:ascii="Times New Roman" w:cs="Times New Roman" w:eastAsia="Times New Roman" w:hAnsi="Times New Roman"/>
          <w:sz w:val="12"/>
          <w:szCs w:val="12"/>
          <w:color w:val="auto"/>
        </w:rPr>
        <w:t>”) for purposes of this Agreement.</w:t>
      </w:r>
    </w:p>
    <w:p>
      <w:pPr>
        <w:spacing w:after="0" w:line="116" w:lineRule="exact"/>
        <w:rPr>
          <w:rFonts w:ascii="Times New Roman" w:cs="Times New Roman" w:eastAsia="Times New Roman" w:hAnsi="Times New Roman"/>
          <w:sz w:val="12"/>
          <w:szCs w:val="12"/>
          <w:color w:val="auto"/>
        </w:rPr>
      </w:pPr>
    </w:p>
    <w:p>
      <w:pPr>
        <w:ind w:left="640" w:right="699" w:firstLine="307"/>
        <w:spacing w:after="0" w:line="251" w:lineRule="auto"/>
        <w:tabs>
          <w:tab w:leader="none" w:pos="112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Obsidian delivers a Dispute Notice on or prior to 5:00 p.m. (New York City time) on the Response Date, then Representatives of Galera and Obsidian shall promptly, and in no event later than one calendar day after the Response Date, meet and attempt in good faith to resolve the disputed item(s) and negotiate an agreed-upon determination of Galera Net Cash, which agreed upon Galera Net Cash amount shall be deemed to have been finally determined for purposes of this Agreement and to represent the Final Galera Net Cash for purposes of this Agreement.</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Representatives of Galera and Obsidian are unable to negotiate an agreed-upon determination of Final Galera Net Cash pursuant to</w:t>
      </w:r>
    </w:p>
    <w:p>
      <w:pPr>
        <w:spacing w:after="0" w:line="15" w:lineRule="exact"/>
        <w:rPr>
          <w:sz w:val="20"/>
          <w:szCs w:val="20"/>
          <w:color w:val="auto"/>
        </w:rPr>
      </w:pPr>
    </w:p>
    <w:p>
      <w:pPr>
        <w:ind w:left="640" w:right="659"/>
        <w:spacing w:after="0" w:line="243" w:lineRule="auto"/>
        <w:rPr>
          <w:sz w:val="20"/>
          <w:szCs w:val="20"/>
          <w:color w:val="auto"/>
        </w:rPr>
      </w:pPr>
      <w:r>
        <w:rPr>
          <w:rFonts w:ascii="Times New Roman" w:cs="Times New Roman" w:eastAsia="Times New Roman" w:hAnsi="Times New Roman"/>
          <w:sz w:val="13"/>
          <w:szCs w:val="13"/>
          <w:u w:val="single" w:color="auto"/>
          <w:color w:val="auto"/>
        </w:rPr>
        <w:t>Section 2.11(d)</w:t>
      </w:r>
      <w:r>
        <w:rPr>
          <w:rFonts w:ascii="Times New Roman" w:cs="Times New Roman" w:eastAsia="Times New Roman" w:hAnsi="Times New Roman"/>
          <w:sz w:val="13"/>
          <w:szCs w:val="13"/>
          <w:color w:val="auto"/>
        </w:rPr>
        <w:t xml:space="preserve"> within two (2) calendar days after delivery of the Dispute Notice (or such other period as Galera and Obsidian may mutually agree upon), then any remaining disagreements as to the calculation of Galera Net Cash shall be referred to an independent auditor of recognized national standing jointly selected by Galera and Obsidian (the “</w:t>
      </w:r>
      <w:r>
        <w:rPr>
          <w:rFonts w:ascii="Times New Roman" w:cs="Times New Roman" w:eastAsia="Times New Roman" w:hAnsi="Times New Roman"/>
          <w:sz w:val="13"/>
          <w:szCs w:val="13"/>
          <w:b w:val="1"/>
          <w:bCs w:val="1"/>
          <w:color w:val="auto"/>
        </w:rPr>
        <w:t>Accounting Firm</w:t>
      </w:r>
      <w:r>
        <w:rPr>
          <w:rFonts w:ascii="Times New Roman" w:cs="Times New Roman" w:eastAsia="Times New Roman" w:hAnsi="Times New Roman"/>
          <w:sz w:val="13"/>
          <w:szCs w:val="13"/>
          <w:color w:val="auto"/>
        </w:rPr>
        <w:t xml:space="preserve">”). Galera shall promptly deliver to the Accounting Firm all work papers and back-up materials used in preparing the Galera Net Cash Schedule, and Galera and Obsidian shall use commercially reasonable efforts to cause the Accounting Firm to make its determination within five (5) calendar days of accepting its selection. Galera and Obsidian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Galera and Obsidian. The determination of the Accounting Firm shall be limited to the disagreements submitted to the Accounting Firm. The determination of the amount of Galera Net Cash made by the Accounting Firm shall be made in writing delivered to each of Galera and Obsidian, shall be final and binding on Galera and Obsidian and shall be deemed to have been finally determined for purposes of this Agreement and to represent the Final Galera Net Cash for purposes of this Agreement. The Parties shall delay the Closing until the resolution of the matters described in this </w:t>
      </w:r>
      <w:r>
        <w:rPr>
          <w:rFonts w:ascii="Times New Roman" w:cs="Times New Roman" w:eastAsia="Times New Roman" w:hAnsi="Times New Roman"/>
          <w:sz w:val="13"/>
          <w:szCs w:val="13"/>
          <w:u w:val="single" w:color="auto"/>
          <w:color w:val="auto"/>
        </w:rPr>
        <w:t>Section 2.11(e)</w:t>
      </w:r>
      <w:r>
        <w:rPr>
          <w:rFonts w:ascii="Times New Roman" w:cs="Times New Roman" w:eastAsia="Times New Roman" w:hAnsi="Times New Roman"/>
          <w:sz w:val="13"/>
          <w:szCs w:val="13"/>
          <w:color w:val="auto"/>
        </w:rPr>
        <w:t>. The fees and expenses of the Accounting Firm shall be allocated between Galera and Obsidian in the same proportion that the disputed amount of the Galera Net Cash that was unsuccessfully disputed by such Party (as finally determined by the Accounting Firm) bears to the total disputed amount of the Galera Net Cash amount and such portion of the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29" w:right="1440" w:bottom="1440" w:gutter="0" w:footer="0" w:header="0"/>
        </w:sectPr>
      </w:pPr>
    </w:p>
    <w:bookmarkStart w:id="45" w:name="page46"/>
    <w:bookmarkEnd w:id="45"/>
    <w:p>
      <w:pPr>
        <w:ind w:left="640" w:right="71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costs and expenses of the Accounting Firm borne by Obsidian and any other fees, costs or expenses incurred by Obsidian following the Anticipated Closing Date in connection with the procedures set forth in this </w:t>
      </w:r>
      <w:r>
        <w:rPr>
          <w:rFonts w:ascii="Times New Roman" w:cs="Times New Roman" w:eastAsia="Times New Roman" w:hAnsi="Times New Roman"/>
          <w:sz w:val="13"/>
          <w:szCs w:val="13"/>
          <w:u w:val="single" w:color="auto"/>
          <w:color w:val="auto"/>
        </w:rPr>
        <w:t>Section 2.11(e)</w:t>
      </w:r>
      <w:r>
        <w:rPr>
          <w:rFonts w:ascii="Times New Roman" w:cs="Times New Roman" w:eastAsia="Times New Roman" w:hAnsi="Times New Roman"/>
          <w:sz w:val="13"/>
          <w:szCs w:val="13"/>
          <w:color w:val="auto"/>
        </w:rPr>
        <w:t xml:space="preserve"> shall be deducted from the final determination of the amount of Galera Net Cash. If this </w:t>
      </w:r>
      <w:r>
        <w:rPr>
          <w:rFonts w:ascii="Times New Roman" w:cs="Times New Roman" w:eastAsia="Times New Roman" w:hAnsi="Times New Roman"/>
          <w:sz w:val="13"/>
          <w:szCs w:val="13"/>
          <w:u w:val="single" w:color="auto"/>
          <w:color w:val="auto"/>
        </w:rPr>
        <w:t>Section 2.11(e)</w:t>
      </w:r>
      <w:r>
        <w:rPr>
          <w:rFonts w:ascii="Times New Roman" w:cs="Times New Roman" w:eastAsia="Times New Roman" w:hAnsi="Times New Roman"/>
          <w:sz w:val="13"/>
          <w:szCs w:val="13"/>
          <w:color w:val="auto"/>
        </w:rPr>
        <w:t xml:space="preserve"> applies as to the determination of the Final Galera Net Cash described in </w:t>
      </w:r>
      <w:r>
        <w:rPr>
          <w:rFonts w:ascii="Times New Roman" w:cs="Times New Roman" w:eastAsia="Times New Roman" w:hAnsi="Times New Roman"/>
          <w:sz w:val="13"/>
          <w:szCs w:val="13"/>
          <w:u w:val="single" w:color="auto"/>
          <w:color w:val="auto"/>
        </w:rPr>
        <w:t>Section 2.11(a)</w:t>
      </w:r>
      <w:r>
        <w:rPr>
          <w:rFonts w:ascii="Times New Roman" w:cs="Times New Roman" w:eastAsia="Times New Roman" w:hAnsi="Times New Roman"/>
          <w:sz w:val="13"/>
          <w:szCs w:val="13"/>
          <w:color w:val="auto"/>
        </w:rPr>
        <w:t xml:space="preserve">, upon resolution of the matter in accordance with this </w:t>
      </w:r>
      <w:r>
        <w:rPr>
          <w:rFonts w:ascii="Times New Roman" w:cs="Times New Roman" w:eastAsia="Times New Roman" w:hAnsi="Times New Roman"/>
          <w:sz w:val="13"/>
          <w:szCs w:val="13"/>
          <w:u w:val="single" w:color="auto"/>
          <w:color w:val="auto"/>
        </w:rPr>
        <w:t>Section 2.11(e)</w:t>
      </w:r>
      <w:r>
        <w:rPr>
          <w:rFonts w:ascii="Times New Roman" w:cs="Times New Roman" w:eastAsia="Times New Roman" w:hAnsi="Times New Roman"/>
          <w:sz w:val="13"/>
          <w:szCs w:val="13"/>
          <w:color w:val="auto"/>
        </w:rPr>
        <w:t>, the Parties shall not be required to determine Galera Net Cash again even though the Closing Date may occur later than the Anticipated Closing Date, except that either Galera and Obsidian may require a redetermination of the Final Galera Net Cash if the Closing Date is more than ten (10) calendar days after the Anticipated Closing Date.</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2.12 </w:t>
      </w:r>
      <w:r>
        <w:rPr>
          <w:rFonts w:ascii="Times New Roman" w:cs="Times New Roman" w:eastAsia="Times New Roman" w:hAnsi="Times New Roman"/>
          <w:sz w:val="13"/>
          <w:szCs w:val="13"/>
          <w:u w:val="single" w:color="auto"/>
          <w:color w:val="auto"/>
        </w:rPr>
        <w:t>Further Action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9" w:lineRule="auto"/>
        <w:tabs>
          <w:tab w:leader="none" w:pos="112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after the Obsidian Effective Time, any further action is determined by the Obsidian Merger Surviving Corporation to be necessary or desirable to carry out the purposes of this Agreement or to vest the Obsidian Merger Surviving Corporation with full right, title and possession of and to all rights and property of Obsidian, then the officers and directors of the Obsidian Merger Surviving Corporation shall be fully authorized, and shall use their and its commercially reasonable efforts (in the name of Obsidian, in the name of Obsidian Merger Sub, in the name of the Obsidian Merger Surviving Corporation and otherwise) to take such action.</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1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after the Galera Effective Time, any further action is determined by the Galera Merger Surviving Corporation to be necessary or desirable to carry out the purposes of this Agreement or to vest the Galera Merger Surviving Corporation with full right, title and possession of and to all rights and property of Galera, then the officers and directors of the Galera Merger Surviving Corporation shall be fully authorized, and shall use their and its commercially reasonable efforts (in the name of Galera, in the name of Galera Merger Sub, in the name of the Galera Merger Surviving Corporation and otherwise) to take such action.</w:t>
      </w:r>
    </w:p>
    <w:p>
      <w:pPr>
        <w:spacing w:after="0" w:line="134"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2.13 </w:t>
      </w: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Each of the Exchange Agent, Parent, the Obsidian Merger Surviving Corporation and the Galera Merger Surviving Corporation (each, a “</w:t>
      </w:r>
      <w:r>
        <w:rPr>
          <w:rFonts w:ascii="Times New Roman" w:cs="Times New Roman" w:eastAsia="Times New Roman" w:hAnsi="Times New Roman"/>
          <w:sz w:val="13"/>
          <w:szCs w:val="13"/>
          <w:b w:val="1"/>
          <w:bCs w:val="1"/>
          <w:color w:val="auto"/>
        </w:rPr>
        <w:t>Withholding Agent</w:t>
      </w:r>
      <w:r>
        <w:rPr>
          <w:rFonts w:ascii="Times New Roman" w:cs="Times New Roman" w:eastAsia="Times New Roman" w:hAnsi="Times New Roman"/>
          <w:sz w:val="13"/>
          <w:szCs w:val="13"/>
          <w:color w:val="auto"/>
        </w:rPr>
        <w:t xml:space="preserve">”) shall be entitled to deduct and withhold from any consideration deliverable pursuant to this Agreement such amounts as are required to be deducted or withheld from such consideration under the Code or under any other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however</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that if a Withholding Agent determines that any payment in connection with the Contemplated Transactions is subject to deduction and/or withholding, then, except with respect to compensatory payments or as a result of a failure to deliver the certificate described in </w:t>
      </w:r>
      <w:r>
        <w:rPr>
          <w:rFonts w:ascii="Times New Roman" w:cs="Times New Roman" w:eastAsia="Times New Roman" w:hAnsi="Times New Roman"/>
          <w:sz w:val="13"/>
          <w:szCs w:val="13"/>
          <w:u w:val="single" w:color="auto"/>
          <w:color w:val="auto"/>
        </w:rPr>
        <w:t>Section 7.7(b)</w:t>
      </w:r>
      <w:r>
        <w:rPr>
          <w:rFonts w:ascii="Times New Roman" w:cs="Times New Roman" w:eastAsia="Times New Roman" w:hAnsi="Times New Roman"/>
          <w:sz w:val="13"/>
          <w:szCs w:val="13"/>
          <w:color w:val="auto"/>
        </w:rPr>
        <w:t>, such Withholding Agent shall use reasonable best efforts to (i) provide notice to such recipient after such determination and (ii) cooperate with such recipient prior to the Closing to reduce or eliminate any such deduction and/or withholding. To the extent such amounts are so deducted or withheld, and timely remitted to the appropriate Governmental Authority, such amounts shall be treated for all purposes under this Agreement as having been paid to the Person to whom such amounts would otherwise have been paid.</w:t>
      </w:r>
    </w:p>
    <w:p>
      <w:pPr>
        <w:spacing w:after="0" w:line="137"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2.14 </w:t>
      </w:r>
      <w:r>
        <w:rPr>
          <w:rFonts w:ascii="Times New Roman" w:cs="Times New Roman" w:eastAsia="Times New Roman" w:hAnsi="Times New Roman"/>
          <w:sz w:val="13"/>
          <w:szCs w:val="13"/>
          <w:u w:val="single" w:color="auto"/>
          <w:color w:val="auto"/>
        </w:rPr>
        <w:t>Appraisal Rights</w:t>
      </w:r>
      <w:r>
        <w:rPr>
          <w:rFonts w:ascii="Times New Roman" w:cs="Times New Roman" w:eastAsia="Times New Roman" w:hAnsi="Times New Roman"/>
          <w:sz w:val="13"/>
          <w:szCs w:val="13"/>
          <w:color w:val="auto"/>
        </w:rPr>
        <w:t>.Notwithstanding any provision of this Agreement to the contrary, shares of Galera Common Stock that are outstanding immediately prior to the Galera Effective Time (after giving effect to the Galera Preferred Stock Conversion) and which are held by stockholders who have exercised and perfected appraisal rights for such shares of Galera Common Stock in accordance with Delaware Law (collectively, the “</w:t>
      </w:r>
      <w:r>
        <w:rPr>
          <w:rFonts w:ascii="Times New Roman" w:cs="Times New Roman" w:eastAsia="Times New Roman" w:hAnsi="Times New Roman"/>
          <w:sz w:val="13"/>
          <w:szCs w:val="13"/>
          <w:b w:val="1"/>
          <w:bCs w:val="1"/>
          <w:color w:val="auto"/>
        </w:rPr>
        <w:t>Dissenting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shall not be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6" w:name="page47"/>
    <w:bookmarkEnd w:id="46"/>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converted into or represent the right to receive the consideration described in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respectively, attributable to such Dissenting Shares. Such stockholders shall be entitled to receive payment of the appraised value of such shares of Galera Common Stock held by them in accordance with Delaware Law, unless and until such stockholders fail to perfect or effectively withdraw or otherwise lose their appraisal rights under Delaware Law. All Dissenting Shares held by stockholders who shall have failed to perfect or shall have effectively withdrawn or lost their right to appraisal of such shares of Galera Common Stock under Delaware Law (whether occurring before, at or after the Galera Effective Time) shall thereupon be deemed to be converted into and to have become exchangeable for, as of the Galera Effective Time, the right to receive the consideration attributable to such Dissenting Shares upon their surrender in the manner provided in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respectively. Galera shall give Parent prompt written notice of any demands by dissenting stockholders received thereby, withdrawals of such demands and any other instruments served thereupon and any material correspondence received thereby in connection with such demands, and Parent shall have the right to direct all negotiations and proceedings with respect to such demands;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Galera shall have the right to participate in such negotiations and proceedings. Neither Parent nor Galera shall, except with the other party’s prior written consent (which shall not be unreasonably withheld, conditioned ore delayed), voluntarily make any payment with respect to, or settle or offer to settle, any such demands, or approve any withdrawal of any such demands or agree to do any of the foregoing.</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Obsidian</w:t>
      </w:r>
    </w:p>
    <w:p>
      <w:pPr>
        <w:spacing w:after="0" w:line="13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Except as set forth in the written disclosure schedule delivered by Obsidian to Galera (the “</w:t>
      </w:r>
      <w:r>
        <w:rPr>
          <w:rFonts w:ascii="Times New Roman" w:cs="Times New Roman" w:eastAsia="Times New Roman" w:hAnsi="Times New Roman"/>
          <w:sz w:val="13"/>
          <w:szCs w:val="13"/>
          <w:b w:val="1"/>
          <w:bCs w:val="1"/>
          <w:color w:val="auto"/>
        </w:rPr>
        <w:t>Obsidian Disclosure Schedule</w:t>
      </w:r>
      <w:r>
        <w:rPr>
          <w:rFonts w:ascii="Times New Roman" w:cs="Times New Roman" w:eastAsia="Times New Roman" w:hAnsi="Times New Roman"/>
          <w:sz w:val="13"/>
          <w:szCs w:val="13"/>
          <w:color w:val="auto"/>
        </w:rPr>
        <w:t>”), Obsidian represents and warrants to Galera as follows:</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Due Organization;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9" w:lineRule="auto"/>
        <w:tabs>
          <w:tab w:leader="none" w:pos="112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Obsidian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Obsidian’s Subsidiaries are directly or indirectly wholly-owned by Obsidian.</w:t>
      </w:r>
    </w:p>
    <w:p>
      <w:pPr>
        <w:spacing w:after="0" w:line="134" w:lineRule="exact"/>
        <w:rPr>
          <w:rFonts w:ascii="Times New Roman" w:cs="Times New Roman" w:eastAsia="Times New Roman" w:hAnsi="Times New Roman"/>
          <w:sz w:val="13"/>
          <w:szCs w:val="13"/>
          <w:color w:val="auto"/>
        </w:rPr>
      </w:pPr>
    </w:p>
    <w:p>
      <w:pPr>
        <w:ind w:left="640" w:right="999" w:firstLine="307"/>
        <w:spacing w:after="0" w:line="251" w:lineRule="auto"/>
        <w:tabs>
          <w:tab w:leader="none" w:pos="112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Obsidian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an Obsidian Material Adverse Effect.</w:t>
      </w:r>
    </w:p>
    <w:p>
      <w:pPr>
        <w:spacing w:after="0" w:line="132" w:lineRule="exact"/>
        <w:rPr>
          <w:rFonts w:ascii="Times New Roman" w:cs="Times New Roman" w:eastAsia="Times New Roman" w:hAnsi="Times New Roman"/>
          <w:sz w:val="13"/>
          <w:szCs w:val="13"/>
          <w:color w:val="auto"/>
        </w:rPr>
      </w:pPr>
    </w:p>
    <w:p>
      <w:pPr>
        <w:ind w:left="640" w:right="739" w:firstLine="307"/>
        <w:spacing w:after="0" w:line="255" w:lineRule="auto"/>
        <w:tabs>
          <w:tab w:leader="none" w:pos="112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3.1(c)</w:t>
      </w:r>
      <w:r>
        <w:rPr>
          <w:rFonts w:ascii="Times New Roman" w:cs="Times New Roman" w:eastAsia="Times New Roman" w:hAnsi="Times New Roman"/>
          <w:sz w:val="13"/>
          <w:szCs w:val="13"/>
          <w:color w:val="auto"/>
        </w:rPr>
        <w:t xml:space="preserve"> of the Obsidian Disclosure Schedule, Obsidian has no Subsidiaries and Obsidian does not directly or indirectly own any capital stock of, or any equity ownership or profit sharing interest of any nature in, or control directly or indirectly, any other Entity. Obsidian is not and has not otherwise been, directly or indirectly, a party to, member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7" w:name="page48"/>
    <w:bookmarkEnd w:id="47"/>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or participant in any partnership, joint venture or similar business entity. Obsidian has not agreed and is not obligated to make, nor is Obsidian bound by any Contract under which it may become obligated to make, any future investment in or capital contribution to any other Entity. Obsidian has not, at any time, been a general partner of, and has not otherwise been liable for any of the debts or other obligations of, any general partnership, limited partnership or other Entity.</w:t>
      </w:r>
    </w:p>
    <w:p>
      <w:pPr>
        <w:spacing w:after="0" w:line="133" w:lineRule="exact"/>
        <w:rPr>
          <w:sz w:val="20"/>
          <w:szCs w:val="20"/>
          <w:color w:val="auto"/>
        </w:rPr>
      </w:pPr>
    </w:p>
    <w:p>
      <w:pPr>
        <w:ind w:left="640" w:right="759" w:firstLine="309"/>
        <w:spacing w:after="0" w:line="309"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Organizational Documents</w:t>
      </w:r>
      <w:r>
        <w:rPr>
          <w:rFonts w:ascii="Times New Roman" w:cs="Times New Roman" w:eastAsia="Times New Roman" w:hAnsi="Times New Roman"/>
          <w:sz w:val="12"/>
          <w:szCs w:val="12"/>
          <w:color w:val="auto"/>
        </w:rPr>
        <w:t>. Obsidian has delivered to Galera accurate and complete copies of Obsidian’s and its Subsidiaries’ Organizational Documents. Neither Obsidian nor any of its Subsidiaries is in breach or violation of its Organizational Documents in any material respect.</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Authority; Binding Nature of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7" w:lineRule="auto"/>
        <w:tabs>
          <w:tab w:leader="none" w:pos="112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Obsidian and its Subsidiaries has all necessary corporate power and authority to enter into and to perform its obligations under this Agreement and to consummate the Contemplated Transactions. The Obsidian Board (at meetings duly called and held) has (i) determined that the Contemplated Transactions are fair to, advisable and in the best interests of Obsidian and its stockholders, (ii) approved and declared advisable this Agreement and the Contemplated Transactions and (iii) determined to recommend the Obsidian Board Recommendation to the stockholders of Obsidian as promptly as practicable after the forms thereof are mutually agreed to by Galera and Obsidian. This Agreement has been duly executed and delivered by Obsidian and assuming the due authorization, execution and delivery by Galera, constitutes the legal, valid and binding obligation of Obsidian, enforceable against Obsidian in accordance with its terms, subject to the Enforceability Exceptions.</w:t>
      </w:r>
    </w:p>
    <w:p>
      <w:pPr>
        <w:spacing w:after="0" w:line="136" w:lineRule="exact"/>
        <w:rPr>
          <w:sz w:val="20"/>
          <w:szCs w:val="20"/>
          <w:color w:val="auto"/>
        </w:rPr>
      </w:pPr>
    </w:p>
    <w:p>
      <w:pPr>
        <w:ind w:left="640" w:right="799" w:firstLine="309"/>
        <w:spacing w:after="0" w:line="279" w:lineRule="auto"/>
        <w:rPr>
          <w:sz w:val="20"/>
          <w:szCs w:val="20"/>
          <w:color w:val="auto"/>
        </w:rPr>
      </w:pPr>
      <w:r>
        <w:rPr>
          <w:rFonts w:ascii="Times New Roman" w:cs="Times New Roman" w:eastAsia="Times New Roman" w:hAnsi="Times New Roman"/>
          <w:sz w:val="12"/>
          <w:szCs w:val="12"/>
          <w:color w:val="auto"/>
        </w:rPr>
        <w:t xml:space="preserve">3.4 </w:t>
      </w:r>
      <w:r>
        <w:rPr>
          <w:rFonts w:ascii="Times New Roman" w:cs="Times New Roman" w:eastAsia="Times New Roman" w:hAnsi="Times New Roman"/>
          <w:sz w:val="12"/>
          <w:szCs w:val="12"/>
          <w:u w:val="single" w:color="auto"/>
          <w:color w:val="auto"/>
        </w:rPr>
        <w:t>Vote Required</w:t>
      </w:r>
      <w:r>
        <w:rPr>
          <w:rFonts w:ascii="Times New Roman" w:cs="Times New Roman" w:eastAsia="Times New Roman" w:hAnsi="Times New Roman"/>
          <w:sz w:val="12"/>
          <w:szCs w:val="12"/>
          <w:color w:val="auto"/>
        </w:rPr>
        <w:t>. The affirmative vote of the holders of at least (i) a majority of the then outstanding shares of Obsidian Common Stock outstanding on the record date for the Obsidian Stockholder Written Consent and (ii) a majority of the then outstanding shares of Obsidian Preferred Stock voting as a single class on an as-converted basis (together, the “</w:t>
      </w:r>
      <w:r>
        <w:rPr>
          <w:rFonts w:ascii="Times New Roman" w:cs="Times New Roman" w:eastAsia="Times New Roman" w:hAnsi="Times New Roman"/>
          <w:sz w:val="12"/>
          <w:szCs w:val="12"/>
          <w:b w:val="1"/>
          <w:bCs w:val="1"/>
          <w:color w:val="auto"/>
        </w:rPr>
        <w:t>Required Obsidian Stockholder Approval</w:t>
      </w:r>
      <w:r>
        <w:rPr>
          <w:rFonts w:ascii="Times New Roman" w:cs="Times New Roman" w:eastAsia="Times New Roman" w:hAnsi="Times New Roman"/>
          <w:sz w:val="12"/>
          <w:szCs w:val="12"/>
          <w:color w:val="auto"/>
        </w:rPr>
        <w:t>”), is the only vote of the holders of any class or series of Obsidian Capital Stock necessary to adopt and approve this Agreement and approve the Contemplated Transactions.</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Non-Contravention;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19" w:firstLine="307"/>
        <w:spacing w:after="0" w:line="255" w:lineRule="auto"/>
        <w:tabs>
          <w:tab w:leader="none" w:pos="1121"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obtaining the Required Obsidian Stockholder Approval and the filing of the Obsidian Certificate of Merger required by Delaware Law, neither (x) the execution, delivery or performance of this Agreement by Obsidian, nor (y) the consummation of the Contemplated Transactions, will directly or indirectly (with or without notice or lapse of time):</w:t>
      </w:r>
    </w:p>
    <w:p>
      <w:pPr>
        <w:spacing w:after="0" w:line="54"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of any of the provisions of the Organizational Documents of Obsidian or its Subsidiaries;</w:t>
      </w:r>
    </w:p>
    <w:p>
      <w:pPr>
        <w:spacing w:after="0" w:line="89" w:lineRule="exact"/>
        <w:rPr>
          <w:rFonts w:ascii="Times New Roman" w:cs="Times New Roman" w:eastAsia="Times New Roman" w:hAnsi="Times New Roman"/>
          <w:sz w:val="12"/>
          <w:szCs w:val="12"/>
          <w:color w:val="auto"/>
        </w:rPr>
      </w:pPr>
    </w:p>
    <w:p>
      <w:pPr>
        <w:jc w:val="both"/>
        <w:ind w:left="940" w:right="759" w:firstLine="304"/>
        <w:spacing w:after="0" w:line="255" w:lineRule="auto"/>
        <w:tabs>
          <w:tab w:leader="none" w:pos="1423"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or give any Governmental Authority or other Person the right to challenge the Contemplated Transactions or to exercise any remedy or obtain any relief under, any Law or any Order to which Obsidian or its Subsidiaries, or any of the assets owned or used by Obsidian or its Subsidiaries, is subject;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48" w:name="page49"/>
    <w:bookmarkEnd w:id="48"/>
    <w:p>
      <w:pPr>
        <w:ind w:left="940" w:right="659" w:firstLine="304"/>
        <w:spacing w:after="0" w:line="255" w:lineRule="auto"/>
        <w:tabs>
          <w:tab w:leader="none" w:pos="1458"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contravene, conflict with or result in a material violation of any of the terms or requirements of, or give any Governmental Authority the right to revoke, withdraw, suspend, cancel, terminate or modify, any Governmental Authorization that is held by Obsidian or its Subsidiaries or that otherwise relates to the business of Obsidian, or any of the assets owned, leased or used by Obsidian;</w:t>
      </w:r>
    </w:p>
    <w:p>
      <w:pPr>
        <w:spacing w:after="0" w:line="54" w:lineRule="exact"/>
        <w:rPr>
          <w:rFonts w:ascii="Times New Roman" w:cs="Times New Roman" w:eastAsia="Times New Roman" w:hAnsi="Times New Roman"/>
          <w:sz w:val="13"/>
          <w:szCs w:val="13"/>
          <w:color w:val="auto"/>
        </w:rPr>
      </w:pPr>
    </w:p>
    <w:p>
      <w:pPr>
        <w:ind w:left="940" w:right="699" w:firstLine="304"/>
        <w:spacing w:after="0" w:line="249" w:lineRule="auto"/>
        <w:tabs>
          <w:tab w:leader="none" w:pos="1451"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or breach of, or result in a default under, any provision of any Obsidian Material Contract, or give any Person the right to: (A) declare a default or exercise any remedy under any Obsidian Material Contract, (B) any material payment, rebate, chargeback, penalty or change in delivery schedule under any such Obsidian Material Contract, (C) accelerate the maturity or performance of any Obsidian Material Contract or (D) cancel, terminate or modify any term of any Obsidian Material Contract, except in the case of any nonmaterial breach, default, penalty or modification; or</w:t>
      </w:r>
    </w:p>
    <w:p>
      <w:pPr>
        <w:spacing w:after="0" w:line="58" w:lineRule="exact"/>
        <w:rPr>
          <w:rFonts w:ascii="Times New Roman" w:cs="Times New Roman" w:eastAsia="Times New Roman" w:hAnsi="Times New Roman"/>
          <w:sz w:val="13"/>
          <w:szCs w:val="13"/>
          <w:color w:val="auto"/>
        </w:rPr>
      </w:pPr>
    </w:p>
    <w:p>
      <w:pPr>
        <w:ind w:left="940" w:right="739" w:firstLine="304"/>
        <w:spacing w:after="0" w:line="267" w:lineRule="auto"/>
        <w:tabs>
          <w:tab w:leader="none" w:pos="1416"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the imposition or creation of any Encumbrance upon or with respect to any asset owned or used by Obsidian or its Subsidiaries (except for Permitted Encumbrances).</w:t>
      </w:r>
    </w:p>
    <w:p>
      <w:pPr>
        <w:spacing w:after="0" w:line="122" w:lineRule="exact"/>
        <w:rPr>
          <w:rFonts w:ascii="Times New Roman" w:cs="Times New Roman" w:eastAsia="Times New Roman" w:hAnsi="Times New Roman"/>
          <w:sz w:val="13"/>
          <w:szCs w:val="13"/>
          <w:color w:val="auto"/>
        </w:rPr>
      </w:pPr>
    </w:p>
    <w:p>
      <w:pPr>
        <w:ind w:left="640" w:right="819" w:firstLine="307"/>
        <w:spacing w:after="0" w:line="248" w:lineRule="auto"/>
        <w:tabs>
          <w:tab w:leader="none" w:pos="112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(i) any Consent set forth on </w:t>
      </w:r>
      <w:r>
        <w:rPr>
          <w:rFonts w:ascii="Times New Roman" w:cs="Times New Roman" w:eastAsia="Times New Roman" w:hAnsi="Times New Roman"/>
          <w:sz w:val="13"/>
          <w:szCs w:val="13"/>
          <w:u w:val="single" w:color="auto"/>
          <w:color w:val="auto"/>
        </w:rPr>
        <w:t>Section 3.5</w:t>
      </w:r>
      <w:r>
        <w:rPr>
          <w:rFonts w:ascii="Times New Roman" w:cs="Times New Roman" w:eastAsia="Times New Roman" w:hAnsi="Times New Roman"/>
          <w:sz w:val="13"/>
          <w:szCs w:val="13"/>
          <w:color w:val="auto"/>
        </w:rPr>
        <w:t xml:space="preserve"> of the Obsidian Disclosure Schedule under any Obsidian Contract, (ii) the Required Obsidian Stockholder Approval, (iii) the filing of the Obsidian Certificate of Merger with the Secretary of State of the State of Delaware pursuant to Delaware Law and (iv) such Consents, waivers, approvals, orders, authorizations, registrations, declarations and filings as may be required under applicable federal and state securities laws, neither Obsidian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Obsidian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7"/>
        <w:spacing w:after="0" w:line="269" w:lineRule="auto"/>
        <w:tabs>
          <w:tab w:leader="none" w:pos="1121"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authorized capital stock of Obsidian consists of (i) 274,320,131 shares of Obsidian Common Stock of which 21,437,128 shares have been issued and are outstanding as of April 9, 2026, and (ii) 215,060,316 shares of Obsidian Preferred Stock of which (a) 32,222,339 shares have been designated Obsidian Series A-1 Preferred Stock of which 26,114,925 shares have been issued and are outstanding as of April 9, 2026, (b) 14,936,323 shares have been designated Obsidian Series A-2 Preferred Stock of which 14,936,323 shares have been issued and are outstanding as of April 9, 2026,</w:t>
      </w:r>
    </w:p>
    <w:p>
      <w:pPr>
        <w:ind w:left="640" w:right="819" w:hanging="3"/>
        <w:spacing w:after="0" w:line="246" w:lineRule="auto"/>
        <w:tabs>
          <w:tab w:leader="none" w:pos="81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6,146,592 shares have been designated Obsidian Series A-3 Preferred Stock of which 6,146,592 shares have been issued and are outstanding as of April 9, 2026, (d) 76,187,917 shares have been designated Obsidian Series B Preferred Stock of which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49" w:name="page50"/>
    <w:bookmarkEnd w:id="49"/>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76,187,917 shares have been issued and are outstanding as of April 9, 2026 and (e) 84,567,145 shares have been designated Obsidian Series C Preferred Stock of which 84,567,145 shares have been issued and are outstanding as of April 9, 2026. As of April 9, 2026, there was one Warrant to Purchase Stock to purchase an aggregate of 22,124 shares of Obsidian Series A-1 Preferred Stock. Obsidian does not hold any shares of its capital stock in its treasury.</w:t>
      </w:r>
    </w:p>
    <w:p>
      <w:pPr>
        <w:spacing w:after="0" w:line="133" w:lineRule="exact"/>
        <w:rPr>
          <w:sz w:val="20"/>
          <w:szCs w:val="20"/>
          <w:color w:val="auto"/>
        </w:rPr>
      </w:pPr>
    </w:p>
    <w:p>
      <w:pPr>
        <w:ind w:left="640" w:right="659" w:firstLine="307"/>
        <w:spacing w:after="0" w:line="271" w:lineRule="auto"/>
        <w:tabs>
          <w:tab w:leader="none" w:pos="112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outstanding shares of Obsidian Common Stock have been duly authorized and validly issued, and are fully paid and nonassessable and are free of any Encumbrances other than under applicable securities Laws. None of the outstanding shares of Obsidian Common Stock is entitled or subject to any preemptive right, right of participation, right of maintenance or any similar right. All of the outstanding shares of Obsidian Common Stock are subject to a right of first refusal in favor of Obsidian. Except as contemplated herein, there is no Obsidian Contract relating to the voting or registration of, or restricting any Person from purchasing, selling, pledging or otherwise disposing of (or granting any option or similar right with respect to), any shares of Obsidian Common Stock. Obsidian is not under any obligation, nor is Obsidian bound by any Contract pursuant to which it may become obligated, to repurchase, redeem or otherwise acquire any outstanding shares of Obsidian Common Stock or other securities.</w:t>
      </w:r>
    </w:p>
    <w:p>
      <w:pPr>
        <w:spacing w:after="0" w:line="122" w:lineRule="exact"/>
        <w:rPr>
          <w:rFonts w:ascii="Times New Roman" w:cs="Times New Roman" w:eastAsia="Times New Roman" w:hAnsi="Times New Roman"/>
          <w:sz w:val="12"/>
          <w:szCs w:val="12"/>
          <w:color w:val="auto"/>
        </w:rPr>
      </w:pPr>
    </w:p>
    <w:p>
      <w:pPr>
        <w:ind w:left="640" w:right="699" w:firstLine="307"/>
        <w:spacing w:after="0" w:line="265" w:lineRule="auto"/>
        <w:tabs>
          <w:tab w:leader="none" w:pos="1121"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the Obsidian Equity Plan and the Obsidian Options granted thereunder, Obsidian does not have any stock incentive plan or any other plan, program, agreement or arrangement providing for any equity or equity-based compensation for any Person and there were no other equity or equity-based awards outstanding as of the date of this Agreement. As of the date of this Agreement, Obsidian has reserved 48,749,161 shares of Obsidian Common Stock for issuance under the Obsidian Equity Plan, of which 6,207,225 shares have been issued and are outstanding pursuant to the exercise of Obsidian Options, 39,255,362 shares are subject to outstanding Obsidian Options, and 3,286,574 shares remain available for future grant pursuant to the Obsidian Equity Plan. </w:t>
      </w:r>
      <w:r>
        <w:rPr>
          <w:rFonts w:ascii="Times New Roman" w:cs="Times New Roman" w:eastAsia="Times New Roman" w:hAnsi="Times New Roman"/>
          <w:sz w:val="12"/>
          <w:szCs w:val="12"/>
          <w:u w:val="single" w:color="auto"/>
          <w:color w:val="auto"/>
        </w:rPr>
        <w:t>Section 3.6(c)</w:t>
      </w:r>
      <w:r>
        <w:rPr>
          <w:rFonts w:ascii="Times New Roman" w:cs="Times New Roman" w:eastAsia="Times New Roman" w:hAnsi="Times New Roman"/>
          <w:sz w:val="12"/>
          <w:szCs w:val="12"/>
          <w:color w:val="auto"/>
        </w:rPr>
        <w:t xml:space="preserve"> of the Obsidian Disclosure Schedule sets forth a true and complete list, as of the date of this Agreement, of each outstanding Obsidian Option, including: (i) the name of the holder, (ii) the number of shares of Obsidian Common Stock subject to such Obsidian Option, (iii) the per share exercise price, (iv) the date of grant, (v) the applicable vesting schedule, including any acceleration provisions, and the number of vested and unvested shares, (vi) the expiration date, and (vii) whether the Obsidian Option is intended to be an “incentive stock option” (as defined in the Code) or a non-qualified stock option. Obsidian has made available to Galera accurate and complete copies of the following:</w:t>
      </w:r>
    </w:p>
    <w:p>
      <w:pPr>
        <w:spacing w:after="0" w:line="5" w:lineRule="exact"/>
        <w:rPr>
          <w:rFonts w:ascii="Times New Roman" w:cs="Times New Roman" w:eastAsia="Times New Roman" w:hAnsi="Times New Roman"/>
          <w:sz w:val="12"/>
          <w:szCs w:val="12"/>
          <w:color w:val="auto"/>
        </w:rPr>
      </w:pPr>
    </w:p>
    <w:p>
      <w:pPr>
        <w:ind w:left="640" w:right="779" w:hanging="3"/>
        <w:spacing w:after="0" w:line="246" w:lineRule="auto"/>
        <w:tabs>
          <w:tab w:leader="none" w:pos="847"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standard form of agreement evidencing Obsidian Options; and (B) each agreement evidencing an Obsidian Option that does not conform in all material respects to the standard form agreement.</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72" w:lineRule="auto"/>
        <w:tabs>
          <w:tab w:leader="none" w:pos="1128"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3.6(c)</w:t>
      </w:r>
      <w:r>
        <w:rPr>
          <w:rFonts w:ascii="Times New Roman" w:cs="Times New Roman" w:eastAsia="Times New Roman" w:hAnsi="Times New Roman"/>
          <w:sz w:val="12"/>
          <w:szCs w:val="12"/>
          <w:color w:val="auto"/>
        </w:rPr>
        <w:t xml:space="preserve"> of the Obsidian Disclosure Schedule, there is no: (i) outstanding subscription, option, call, warrant or right (whether or not currently exercisable) to acquire any shares of the capital stock or other securities of Obsidian, (ii) outstanding security, instrument or obligation that is or may become convertible into or exchangeable for any shares of the capital stock or other securities of Obsidian, (iii) stockholder rights plan (or similar plan commonly referred to as a “poison pill”) or Contract under which Obsidian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Obsidian.</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0" w:name="page51"/>
    <w:bookmarkEnd w:id="50"/>
    <w:p>
      <w:pPr>
        <w:ind w:left="640" w:right="839" w:firstLine="307"/>
        <w:spacing w:after="0" w:line="267" w:lineRule="auto"/>
        <w:tabs>
          <w:tab w:leader="none" w:pos="1121"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outstanding shares of Obsidian Common Stock, and other securities of Obsidian have been issued and granted in compliance with (i) all applicable securities laws and other applicable Law and (ii) all requirements set forth in applicable Contracts.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3.7 </w:t>
      </w:r>
      <w:r>
        <w:rPr>
          <w:rFonts w:ascii="Times New Roman" w:cs="Times New Roman" w:eastAsia="Times New Roman" w:hAnsi="Times New Roman"/>
          <w:sz w:val="13"/>
          <w:szCs w:val="13"/>
          <w:u w:val="single" w:color="auto"/>
          <w:color w:val="auto"/>
        </w:rPr>
        <w:t>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7"/>
        <w:spacing w:after="0" w:line="255" w:lineRule="auto"/>
        <w:tabs>
          <w:tab w:leader="none" w:pos="1121"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3.7(a)</w:t>
      </w:r>
      <w:r>
        <w:rPr>
          <w:rFonts w:ascii="Times New Roman" w:cs="Times New Roman" w:eastAsia="Times New Roman" w:hAnsi="Times New Roman"/>
          <w:sz w:val="13"/>
          <w:szCs w:val="13"/>
          <w:color w:val="auto"/>
        </w:rPr>
        <w:t xml:space="preserve"> of the Obsidian Disclosure Schedule includes true, correct and complete copies of the Obsidian Balance Sheet and the related audited estimated statement of income, cash flow and changes in partners’ capital for the years ended December 31, 2024 and December 31, 2025 (the “</w:t>
      </w:r>
      <w:r>
        <w:rPr>
          <w:rFonts w:ascii="Times New Roman" w:cs="Times New Roman" w:eastAsia="Times New Roman" w:hAnsi="Times New Roman"/>
          <w:sz w:val="13"/>
          <w:szCs w:val="13"/>
          <w:b w:val="1"/>
          <w:bCs w:val="1"/>
          <w:color w:val="auto"/>
        </w:rPr>
        <w:t>Obsidian Financial Statements</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70" w:lineRule="auto"/>
        <w:tabs>
          <w:tab w:leader="none" w:pos="11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Obsidian Financial Statements (i) were prepared in accordance with GAAP applied on a consistent basis unless otherwise noted therein throughout the periods indicated, (ii) fairly present, in all material respects, the financial position of Obsidian as of the respective dates thereof and the results of operations and cash flows of Obsidian for the periods covered thereby and (iii) when delivered by Obsidian for inclusion in the Registration Statement (as defined below) for filing with the SEC following the date of this Agreement in accordance with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shall comply in all material respects with the applicable accounting requirements and with the rules and regulations of the SEC, the Exchange Act and the Securities Act applicable to a registrant, in effect as of the respective dates thereof. Other than as expressly disclosed in the Obsidian Financial Statements, there has been no material change in Obsidian’s accounting methods or principles that would be required to be disclosed in Obsidian’s financial statements in accordance with GAAP. The books of account and other financial records of Obsidian and each of its Subsidiaries are true and complete in all material respects.</w:t>
      </w:r>
    </w:p>
    <w:p>
      <w:pPr>
        <w:spacing w:after="0" w:line="122" w:lineRule="exact"/>
        <w:rPr>
          <w:rFonts w:ascii="Times New Roman" w:cs="Times New Roman" w:eastAsia="Times New Roman" w:hAnsi="Times New Roman"/>
          <w:sz w:val="12"/>
          <w:szCs w:val="12"/>
          <w:color w:val="auto"/>
        </w:rPr>
      </w:pPr>
    </w:p>
    <w:p>
      <w:pPr>
        <w:ind w:left="640" w:right="679" w:firstLine="307"/>
        <w:spacing w:after="0" w:line="255" w:lineRule="auto"/>
        <w:tabs>
          <w:tab w:leader="none" w:pos="1121"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formal internal investigations regarding financial reporting or accounting policies and practices discussed with, reviewed by or initiated at the direction of the chief executive officer, chief financial officer, or general counsel of Obsidian, the Obsidian Board or any committee thereof, other than ordinary course audits or reviews of accounting policies and practices or internal controls.</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Obsidian maintains records that in reasonable detail accurately and fairly reflect Obsidian’s transactions and dispositions of assets, (ii) that transactions are recorded as necessary to permit preparation of financial statements in accordance with GAAP, (iii) that receipts and expenditures are made only in accordance with authorizations of management and the Obsidian Board and (iv) regarding prevention or timely detection of the unauthorized acquisition, use or disposition of Obsidian’s assets that could have a material effect on Obsidian’s financial statements. Obsidian has evaluated the effectiveness of Obsidian’s internal control over financial reporting and, to the extent required by applicable Law, presented its conclusions about the effectiveness of the internal control over financial reporting as of the end of the period covered by such financial reporting based on such evaluation. Obsidian has disclosed to Obsidian’s auditors and the Audit Committee of the Obsidian Board (and made available to Galera a summary of the significant aspects of such disclosure) (A) all significant deficiencies and material weaknesses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1" w:name="page52"/>
    <w:bookmarkEnd w:id="51"/>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design or operation of internal control over financial reporting that are reasonably likely to adversely affect Obsidian’s ability to record, process, summarize and report financial information and (B) any known fraud, whether or not material, that involves management or other employees who have a significant role in Obsidian or its Subsidiaries’ internal control over financial reporting. Except as disclosed in the Obsidian Financial Statements filed prior to the date hereof, Obsidian’s internal control over financial reporting is effective and Obsidian has not identified any material weaknesses in the design or operation of Obsidian’s internal control over financial reporting.</w:t>
      </w:r>
    </w:p>
    <w:p>
      <w:pPr>
        <w:spacing w:after="0" w:line="134" w:lineRule="exact"/>
        <w:rPr>
          <w:sz w:val="20"/>
          <w:szCs w:val="20"/>
          <w:color w:val="auto"/>
        </w:rPr>
      </w:pPr>
    </w:p>
    <w:p>
      <w:pPr>
        <w:ind w:left="640" w:right="699" w:firstLine="307"/>
        <w:spacing w:after="0" w:line="249" w:lineRule="auto"/>
        <w:tabs>
          <w:tab w:leader="none" w:pos="112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Obsidian’s auditor has at all times since the date of enactment of the Sarbanes-Oxley Act been: (i) a registered public accounting firm (as defined in Section 2(a)(12) of the Sarbanes-Oxley Act), (ii) to the Knowledge of Obsidian, “independent” with respect to Obsidian within the meaning of Regulation S-X under the Exchange Act and (iii) to the Knowledge of Obsidian, in compliance with subsections (g) through (l) of Section 10A of the Exchange Act and the rules and regulations promulgated by the SEC and the Public Company Accounting Oversight Board (“</w:t>
      </w:r>
      <w:r>
        <w:rPr>
          <w:rFonts w:ascii="Times New Roman" w:cs="Times New Roman" w:eastAsia="Times New Roman" w:hAnsi="Times New Roman"/>
          <w:sz w:val="13"/>
          <w:szCs w:val="13"/>
          <w:b w:val="1"/>
          <w:bCs w:val="1"/>
          <w:color w:val="auto"/>
        </w:rPr>
        <w:t>PCAOB</w:t>
      </w:r>
      <w:r>
        <w:rPr>
          <w:rFonts w:ascii="Times New Roman" w:cs="Times New Roman" w:eastAsia="Times New Roman" w:hAnsi="Times New Roman"/>
          <w:sz w:val="13"/>
          <w:szCs w:val="13"/>
          <w:color w:val="auto"/>
        </w:rPr>
        <w:t>”) thereunder (such firm, the “</w:t>
      </w:r>
      <w:r>
        <w:rPr>
          <w:rFonts w:ascii="Times New Roman" w:cs="Times New Roman" w:eastAsia="Times New Roman" w:hAnsi="Times New Roman"/>
          <w:sz w:val="13"/>
          <w:szCs w:val="13"/>
          <w:b w:val="1"/>
          <w:bCs w:val="1"/>
          <w:color w:val="auto"/>
        </w:rPr>
        <w:t>PCAOB Auditor</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3.8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of the Obsidian Disclosure Schedule, since January 1, 2026, Obsidian and its Subsidiaries have conducted their business only in the Ordinary Course of Business (except for the execution and performance of this Agreement and the discussions, negotiations and transactions related thereto) and there has not been any (a) Obsidian Material Adverse Effect or (b) action, event or occurrence that would have required Consent of Galera pursuant to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of this Agreement had such action, event or occurrence taken place after the execution and delivery of this Agreement.</w:t>
      </w:r>
    </w:p>
    <w:p>
      <w:pPr>
        <w:spacing w:after="0" w:line="134"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3.9 </w:t>
      </w:r>
      <w:r>
        <w:rPr>
          <w:rFonts w:ascii="Times New Roman" w:cs="Times New Roman" w:eastAsia="Times New Roman" w:hAnsi="Times New Roman"/>
          <w:sz w:val="13"/>
          <w:szCs w:val="13"/>
          <w:u w:val="single" w:color="auto"/>
          <w:color w:val="auto"/>
        </w:rPr>
        <w:t>Absence of Undisclosed Liabilities</w:t>
      </w:r>
      <w:r>
        <w:rPr>
          <w:rFonts w:ascii="Times New Roman" w:cs="Times New Roman" w:eastAsia="Times New Roman" w:hAnsi="Times New Roman"/>
          <w:sz w:val="13"/>
          <w:szCs w:val="13"/>
          <w:color w:val="auto"/>
        </w:rPr>
        <w:t>. Neither Obsidian nor any of its Subsidiaries has any liability, indebtedness, obligation, expense, claim, deficiency, guaranty or endorsement of any kind, whether accrued, absolute, contingent, matured, unmatured or otherwise (each a “</w:t>
      </w:r>
      <w:r>
        <w:rPr>
          <w:rFonts w:ascii="Times New Roman" w:cs="Times New Roman" w:eastAsia="Times New Roman" w:hAnsi="Times New Roman"/>
          <w:sz w:val="13"/>
          <w:szCs w:val="13"/>
          <w:b w:val="1"/>
          <w:bCs w:val="1"/>
          <w:color w:val="auto"/>
        </w:rPr>
        <w:t>Liability</w:t>
      </w:r>
      <w:r>
        <w:rPr>
          <w:rFonts w:ascii="Times New Roman" w:cs="Times New Roman" w:eastAsia="Times New Roman" w:hAnsi="Times New Roman"/>
          <w:sz w:val="13"/>
          <w:szCs w:val="13"/>
          <w:color w:val="auto"/>
        </w:rPr>
        <w:t xml:space="preserve">”), in each case, of a type required to be reflected or reserved for on a balance sheet prepared in accordance with GAAP, except for: (a) Liabilities disclosed, reflected or reserved against in the Obsidian Balance Sheet, (b) normal and recurring current Liabilities that have been incurred by Obsidian or its Subsidiaries since the date of the Obsidian Balance Sheet in the Ordinary Course of Business (none of which relates to any breach of contract, breach of warranty, tort, infringement, or violation of Law), (c) Liabilities for performance of obligations of Obsidian or any of its Subsidiaries under Obsidian Contracts, (d) Liabilities incurred in connection with the Contemplated Transactions and (e) Liabilities listed in </w:t>
      </w:r>
      <w:r>
        <w:rPr>
          <w:rFonts w:ascii="Times New Roman" w:cs="Times New Roman" w:eastAsia="Times New Roman" w:hAnsi="Times New Roman"/>
          <w:sz w:val="13"/>
          <w:szCs w:val="13"/>
          <w:u w:val="single" w:color="auto"/>
          <w:color w:val="auto"/>
        </w:rPr>
        <w:t>Section 3.9</w:t>
      </w:r>
      <w:r>
        <w:rPr>
          <w:rFonts w:ascii="Times New Roman" w:cs="Times New Roman" w:eastAsia="Times New Roman" w:hAnsi="Times New Roman"/>
          <w:sz w:val="13"/>
          <w:szCs w:val="13"/>
          <w:color w:val="auto"/>
        </w:rPr>
        <w:t xml:space="preserve"> of the Obsidian Disclosure Schedule.</w:t>
      </w:r>
    </w:p>
    <w:p>
      <w:pPr>
        <w:spacing w:after="0" w:line="139"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Title to Assets</w:t>
      </w:r>
      <w:r>
        <w:rPr>
          <w:rFonts w:ascii="Times New Roman" w:cs="Times New Roman" w:eastAsia="Times New Roman" w:hAnsi="Times New Roman"/>
          <w:sz w:val="13"/>
          <w:szCs w:val="13"/>
          <w:color w:val="auto"/>
        </w:rPr>
        <w:t>. Each of Obsidian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Obsidian Balance Sheet and (b) all other tangible assets reflected in the books and records of Obsidian as being owned by Obsidian. All of such assets are owned or, in the case of leased assets, leased by Obsidian or any of its Subsidiaries free and clear of any Encumbrances, other than Permitted Encumbrances.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2" w:name="page53"/>
    <w:bookmarkEnd w:id="52"/>
    <w:p>
      <w:pPr>
        <w:ind w:left="640" w:right="839" w:firstLine="30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3.11 </w:t>
      </w:r>
      <w:r>
        <w:rPr>
          <w:rFonts w:ascii="Times New Roman" w:cs="Times New Roman" w:eastAsia="Times New Roman" w:hAnsi="Times New Roman"/>
          <w:sz w:val="13"/>
          <w:szCs w:val="13"/>
          <w:u w:val="single" w:color="auto"/>
          <w:color w:val="auto"/>
        </w:rPr>
        <w:t>Real Property; Leasehold</w:t>
      </w:r>
      <w:r>
        <w:rPr>
          <w:rFonts w:ascii="Times New Roman" w:cs="Times New Roman" w:eastAsia="Times New Roman" w:hAnsi="Times New Roman"/>
          <w:sz w:val="13"/>
          <w:szCs w:val="13"/>
          <w:color w:val="auto"/>
        </w:rPr>
        <w:t>. Neither Obsidian nor any of its Subsidiaries owns or has ever owned any real property. Obsidian has made available to Galera (a) an accurate and complete list of all real properties with respect to which Obsidian directly or indirectly holds a valid leasehold interest as well as any other real estate that is in the possession of or leased by Obsidian or any of its Subsidiaries and (b) copies of all leases under which any such real property is possessed (the “</w:t>
      </w:r>
      <w:r>
        <w:rPr>
          <w:rFonts w:ascii="Times New Roman" w:cs="Times New Roman" w:eastAsia="Times New Roman" w:hAnsi="Times New Roman"/>
          <w:sz w:val="13"/>
          <w:szCs w:val="13"/>
          <w:b w:val="1"/>
          <w:bCs w:val="1"/>
          <w:color w:val="auto"/>
        </w:rPr>
        <w:t>Obsidian Real Estate Leases</w:t>
      </w:r>
      <w:r>
        <w:rPr>
          <w:rFonts w:ascii="Times New Roman" w:cs="Times New Roman" w:eastAsia="Times New Roman" w:hAnsi="Times New Roman"/>
          <w:sz w:val="13"/>
          <w:szCs w:val="13"/>
          <w:color w:val="auto"/>
        </w:rPr>
        <w:t>”), each of which is in full force and effect, with no existing material default thereunder.</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45" w:lineRule="auto"/>
        <w:tabs>
          <w:tab w:leader="none" w:pos="1121"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3.12(a)</w:t>
      </w:r>
      <w:r>
        <w:rPr>
          <w:rFonts w:ascii="Times New Roman" w:cs="Times New Roman" w:eastAsia="Times New Roman" w:hAnsi="Times New Roman"/>
          <w:sz w:val="13"/>
          <w:szCs w:val="13"/>
          <w:color w:val="auto"/>
        </w:rPr>
        <w:t xml:space="preserve"> of the Obsidian Disclosure Schedule is an accurate, true and complete listing of all Obsidian Registered IP, including for each item (i) the record owner(s) (and name of any other Person with an ownership interest in such item of Obsidian Registered IP and the nature of such ownership interest, if any), jurisdiction, status, and registration or application number of each item, as applicable, (ii) all filing, registration, issuance and grant dates and (iii) any actions that are required to be taken within 180 days of the date hereof for any Obsidian Registered IP, including the payment of any registration, maintenance or renewal fees or the filing of or response to any documents, applications or certificates, for the purposes of prosecuting, obtaining, perfecting, maintaining or renewing any Obsidian Registered IP. </w:t>
      </w:r>
      <w:r>
        <w:rPr>
          <w:rFonts w:ascii="Times New Roman" w:cs="Times New Roman" w:eastAsia="Times New Roman" w:hAnsi="Times New Roman"/>
          <w:sz w:val="13"/>
          <w:szCs w:val="13"/>
          <w:u w:val="single" w:color="auto"/>
          <w:color w:val="auto"/>
        </w:rPr>
        <w:t>Section 3.12(a)</w:t>
      </w:r>
      <w:r>
        <w:rPr>
          <w:rFonts w:ascii="Times New Roman" w:cs="Times New Roman" w:eastAsia="Times New Roman" w:hAnsi="Times New Roman"/>
          <w:sz w:val="13"/>
          <w:szCs w:val="13"/>
          <w:color w:val="auto"/>
        </w:rPr>
        <w:t xml:space="preserve"> of the Obsidian Disclosure Schedule also sets forth, as of the date of this Agreement, a list of all internet domain names with respect to which Obsidian or any of its Subsidiaries are the registrant and, with respect to each domain name, the record owner of such domain name and if different, the legal and beneficial owner(s) of such domain name and the applicable domain name registrar. All Obsidian Registered IP is subsisting and in full force and effect and, to Obsidian’s Knowledge, all Obsidian Registered IP (other than pending applications) is valid and enforceable. All fees due to, and all documents, powers and other filings required to be filed with, a Governmental Authority with respect to any such Obsidian Registered IP have been fully and timely paid and filed as necessary for the filing, prosecuting, obtaining grant of and maintaining such item of Obsidian Registered IP.</w:t>
      </w:r>
    </w:p>
    <w:p>
      <w:pPr>
        <w:spacing w:after="0" w:line="139"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8"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is a true, correct and complete listing of all Obsidian Contracts pursuant to which any Obsidian IP Rights are licensed to Obsidian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Obsidian’s or its Subsidiaries’ products or services, (B) any Intellectual Property licensed on a non-exclusive basis ancillary to the purchase or use of equipment, reagents or other materials, (C) any confidential information provided under confidentiality agreements and (D) agreements between Obsidian or its Subsidiaries and their respective employees in Obsidian’s standard form thereof). To the Knowledge of Obsidian, each Obsidian Contract listed in </w:t>
      </w: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is in full force and effect and constitutes a legal, valid, and binding obligation of Obsidian, its Subsidiaries and each other party thereto, and is enforceable against Obsidian, its Subsidiaries and each other party thereto in accordance with its terms. To the Knowledge of Obsidian, neither Obsidian, its Subsidiaries, nor, to the Knowledge of Obsidian, any other party to any Obsidian Contract listed in </w:t>
      </w: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has been or is, or has been or is alleged to be, in material default under, or has provided or received any notice of breach under, or intention to terminate (including by non-renewal), any Obsidian Contract listed in </w:t>
      </w: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except as would not reasonably be expected to have, individually or in the aggregate, an Obsidian Material Adverse Effect.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3" w:name="page54"/>
    <w:bookmarkEnd w:id="53"/>
    <w:p>
      <w:pPr>
        <w:jc w:val="both"/>
        <w:ind w:left="640" w:right="779" w:firstLine="307"/>
        <w:spacing w:after="0" w:line="271" w:lineRule="auto"/>
        <w:tabs>
          <w:tab w:leader="none" w:pos="1121"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3.12(c)</w:t>
      </w:r>
      <w:r>
        <w:rPr>
          <w:rFonts w:ascii="Times New Roman" w:cs="Times New Roman" w:eastAsia="Times New Roman" w:hAnsi="Times New Roman"/>
          <w:sz w:val="12"/>
          <w:szCs w:val="12"/>
          <w:color w:val="auto"/>
        </w:rPr>
        <w:t xml:space="preserve"> of the Obsidian Disclosure Schedule is a true, correct and complete listing of each Obsidian Contract pursuant to which any Person has been granted any license, sublicense, option or covenant not to sue under, or otherwise has received or acquired any right (whether or not currently exercisable) or interest in, any Obsidian IP Rights (other than (i) any confidential information provided under confidentiality agreements and</w:t>
      </w:r>
    </w:p>
    <w:p>
      <w:pPr>
        <w:ind w:left="640" w:right="699" w:hanging="3"/>
        <w:spacing w:after="0" w:line="244" w:lineRule="auto"/>
        <w:tabs>
          <w:tab w:leader="none" w:pos="826"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Obsidian IP Rights non-exclusively licensed to academic collaborators, suppliers or service providers for the sole purpose of enabling such academic collaborator, supplier or service providers to provide services for Obsidian’s or its Subsidiaries’ benefit). To the Knowledge of Obsidian, each Obsidian Contract listed in </w:t>
      </w:r>
      <w:r>
        <w:rPr>
          <w:rFonts w:ascii="Times New Roman" w:cs="Times New Roman" w:eastAsia="Times New Roman" w:hAnsi="Times New Roman"/>
          <w:sz w:val="13"/>
          <w:szCs w:val="13"/>
          <w:u w:val="single" w:color="auto"/>
          <w:color w:val="auto"/>
        </w:rPr>
        <w:t>Section 3.12(c)</w:t>
      </w:r>
      <w:r>
        <w:rPr>
          <w:rFonts w:ascii="Times New Roman" w:cs="Times New Roman" w:eastAsia="Times New Roman" w:hAnsi="Times New Roman"/>
          <w:sz w:val="13"/>
          <w:szCs w:val="13"/>
          <w:color w:val="auto"/>
        </w:rPr>
        <w:t xml:space="preserve"> of the Obsidian Disclosure Schedule is in full force and effect and constitutes a legal, valid, and binding obligation of Obsidian, its Subsidiaries and each other party thereto, and is enforceable against Obsidian, its Subsidiaries and each other party thereto in accordance with its terms. Neither Obsidian, its Subsidiaries nor, to the Knowledge of Obsidian, any other party to any Obsidian Contract listed in </w:t>
      </w:r>
      <w:r>
        <w:rPr>
          <w:rFonts w:ascii="Times New Roman" w:cs="Times New Roman" w:eastAsia="Times New Roman" w:hAnsi="Times New Roman"/>
          <w:sz w:val="13"/>
          <w:szCs w:val="13"/>
          <w:u w:val="single" w:color="auto"/>
          <w:color w:val="auto"/>
        </w:rPr>
        <w:t>Section 3.12(c)</w:t>
      </w:r>
      <w:r>
        <w:rPr>
          <w:rFonts w:ascii="Times New Roman" w:cs="Times New Roman" w:eastAsia="Times New Roman" w:hAnsi="Times New Roman"/>
          <w:sz w:val="13"/>
          <w:szCs w:val="13"/>
          <w:color w:val="auto"/>
        </w:rPr>
        <w:t xml:space="preserve"> of the Obsidian Disclosure Schedule has provided or received any written notice of breach under, or intention to terminate (including by non-renewal), any Obsidian Contract listed in </w:t>
      </w:r>
      <w:r>
        <w:rPr>
          <w:rFonts w:ascii="Times New Roman" w:cs="Times New Roman" w:eastAsia="Times New Roman" w:hAnsi="Times New Roman"/>
          <w:sz w:val="13"/>
          <w:szCs w:val="13"/>
          <w:u w:val="single" w:color="auto"/>
          <w:color w:val="auto"/>
        </w:rPr>
        <w:t>Section 3.12(c)</w:t>
      </w:r>
      <w:r>
        <w:rPr>
          <w:rFonts w:ascii="Times New Roman" w:cs="Times New Roman" w:eastAsia="Times New Roman" w:hAnsi="Times New Roman"/>
          <w:sz w:val="13"/>
          <w:szCs w:val="13"/>
          <w:color w:val="auto"/>
        </w:rPr>
        <w:t xml:space="preserve"> of the Obsidian Disclosure Schedule.</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8"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identified on </w:t>
      </w:r>
      <w:r>
        <w:rPr>
          <w:rFonts w:ascii="Times New Roman" w:cs="Times New Roman" w:eastAsia="Times New Roman" w:hAnsi="Times New Roman"/>
          <w:sz w:val="13"/>
          <w:szCs w:val="13"/>
          <w:u w:val="single" w:color="auto"/>
          <w:color w:val="auto"/>
        </w:rPr>
        <w:t>Section 3.12(d)</w:t>
      </w:r>
      <w:r>
        <w:rPr>
          <w:rFonts w:ascii="Times New Roman" w:cs="Times New Roman" w:eastAsia="Times New Roman" w:hAnsi="Times New Roman"/>
          <w:sz w:val="13"/>
          <w:szCs w:val="13"/>
          <w:color w:val="auto"/>
        </w:rPr>
        <w:t xml:space="preserve"> of the Obsidian Disclosure Schedule, neither Obsidian nor any of its Subsidiaries is bound by, and no Obsidian Owned IP Rights are subject to, and to the Knowledge of Obsidian, no Obsidian Licensed IP Rights are subject to, any Contract containing any covenant or other provision that in any way limits or restricts the ability of Obsidian or any of its Subsidiaries to use, exploit, assert, or enforce any Obsidian IP Rights anywhere in the world.</w:t>
      </w:r>
    </w:p>
    <w:p>
      <w:pPr>
        <w:spacing w:after="0" w:line="132"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1"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Obsidian or one of its Subsidiaries exclusively owns all right, title, and interest to and in the Obsidian IP Rights (other than (A) Obsidian Licensed IP Rights, or co-owned rights each as identified in </w:t>
      </w: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and (B) any non-customized software that (1) is licensed to Obsidian or its Subsidiaries solely in executable or object code form pursuant to a nonexclusive, internal use software license and other Intellectual Property associated with such software and (2) is not incorporated into, or material to the development, manufacturing, or distribution of, any of Obsidian’s or its Subsidiaries’ products or services, (ii) all Obsidian Owned IP Rights and, to the Knowledge of Obsidian, other Obsidian IP Rights that are exclusively licensed to Obsidian are free and clear of any Encumbrances (other than Permitted Encumbrances) and (iii) Obsidian owns, or has a valid and enforceable right pursuant to a binding written Contract to use, all material Obsidian IP Rights currently used or practiced by Obsidian. Without limiting the generality of the foregoing:</w:t>
      </w:r>
    </w:p>
    <w:p>
      <w:pPr>
        <w:spacing w:after="0" w:line="63" w:lineRule="exact"/>
        <w:rPr>
          <w:rFonts w:ascii="Times New Roman" w:cs="Times New Roman" w:eastAsia="Times New Roman" w:hAnsi="Times New Roman"/>
          <w:sz w:val="13"/>
          <w:szCs w:val="13"/>
          <w:color w:val="auto"/>
        </w:rPr>
      </w:pPr>
    </w:p>
    <w:p>
      <w:pPr>
        <w:ind w:left="940" w:right="759" w:firstLine="304"/>
        <w:spacing w:after="0" w:line="247" w:lineRule="auto"/>
        <w:tabs>
          <w:tab w:leader="none" w:pos="1388" w:val="left"/>
        </w:tabs>
        <w:numPr>
          <w:ilvl w:val="2"/>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Obsidian, all documents and instruments necessary to register or apply for or renew registration of Obsidian Registered IP owned by Obsidian, and all documents and instruments necessary to register or apply for or renew registration of Obsidian Registered IP exclusively licensed to Obsidian, have been validly executed, delivered, and filed in a timely manner with the appropriate Governmental Authority. To the Knowledge of Obsidian, Obsidian has filed all statements of use and paid all renewal and maintenance fees, annuities and other fees with respect to the Obsidian Registered IP owned by Obsidian that are due or payable as of the date of this Agreement, and to the Knowledge of Obsidian, all documents and instruments necessary to register or apply for or renew registration of Obsidian Registered IP exclusively licensed to Obsidian.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4" w:name="page55"/>
    <w:bookmarkEnd w:id="54"/>
    <w:p>
      <w:pPr>
        <w:ind w:left="940" w:right="759" w:firstLine="304"/>
        <w:spacing w:after="0" w:line="248" w:lineRule="auto"/>
        <w:tabs>
          <w:tab w:leader="none" w:pos="1423"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for instances that would not reasonably be expected to have, individually or in the aggregate, an Obsidian Material Adverse Effect, to the Knowledge of Obsidian each Person who is or was an employee, contractor or consultant of Obsidian or any of its Subsidiaries and who is or was involved in the creation, discovery, reduction to practice or development of any Intellectual Property for Obsidian or any of its Subsidiaries has signed a valid, enforceable written agreement containing a present assignment of all right, title and interest in and to such Intellectual Property to Obsidian or such Subsidiary and confidentiality provisions protecting trade secrets and confidential information of Obsidian and its Subsidiaries.</w:t>
      </w:r>
    </w:p>
    <w:p>
      <w:pPr>
        <w:spacing w:after="0" w:line="58" w:lineRule="exact"/>
        <w:rPr>
          <w:rFonts w:ascii="Times New Roman" w:cs="Times New Roman" w:eastAsia="Times New Roman" w:hAnsi="Times New Roman"/>
          <w:sz w:val="13"/>
          <w:szCs w:val="13"/>
          <w:color w:val="auto"/>
        </w:rPr>
      </w:pPr>
    </w:p>
    <w:p>
      <w:pPr>
        <w:ind w:left="940" w:right="699" w:firstLine="304"/>
        <w:spacing w:after="0" w:line="248" w:lineRule="auto"/>
        <w:tabs>
          <w:tab w:leader="none" w:pos="145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Obsidian, no current or former member, officer, director, or employee of Obsidian or any of its Subsidiaries has any claim, right (whether or not currently exercisable), or interest to or in any Obsidian IP Rights purported to be owned by Obsidian. To the Knowledge of Obsidian, no employee of Obsidian or any of its Subsidiaries is (A) bound by or otherwise subject to any Contract restricting him or her from performing his or her duties for Obsidian or such Subsidiary or (B) in breach of any Contract with any former employer or other Person concerning Obsidian IP Rights purported to be owned by Obsidian or such Subsidiary or confidentiality provisions protecting trade secrets and confidential information comprising Obsidian IP Rights purported to be owned by Obsidian or such Subsidiary.</w:t>
      </w:r>
    </w:p>
    <w:p>
      <w:pPr>
        <w:spacing w:after="0" w:line="58" w:lineRule="exact"/>
        <w:rPr>
          <w:rFonts w:ascii="Times New Roman" w:cs="Times New Roman" w:eastAsia="Times New Roman" w:hAnsi="Times New Roman"/>
          <w:sz w:val="13"/>
          <w:szCs w:val="13"/>
          <w:color w:val="auto"/>
        </w:rPr>
      </w:pPr>
    </w:p>
    <w:p>
      <w:pPr>
        <w:ind w:left="940" w:right="699" w:firstLine="304"/>
        <w:spacing w:after="0" w:line="248" w:lineRule="auto"/>
        <w:tabs>
          <w:tab w:leader="none" w:pos="145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identified on </w:t>
      </w:r>
      <w:r>
        <w:rPr>
          <w:rFonts w:ascii="Times New Roman" w:cs="Times New Roman" w:eastAsia="Times New Roman" w:hAnsi="Times New Roman"/>
          <w:sz w:val="13"/>
          <w:szCs w:val="13"/>
          <w:u w:val="single" w:color="auto"/>
          <w:color w:val="auto"/>
        </w:rPr>
        <w:t>Section 3.12(e)(iv)</w:t>
      </w:r>
      <w:r>
        <w:rPr>
          <w:rFonts w:ascii="Times New Roman" w:cs="Times New Roman" w:eastAsia="Times New Roman" w:hAnsi="Times New Roman"/>
          <w:sz w:val="13"/>
          <w:szCs w:val="13"/>
          <w:color w:val="auto"/>
        </w:rPr>
        <w:t xml:space="preserve"> of the Obsidian Disclosure Schedule, no funding, facilities, or personnel of any Governmental Authority were used, directly or indirectly, to develop or create, in whole or in part, any Obsidian Owned IP Rights, or, to the Knowledge of Obsidian, any Obsidian Licensed IP Rights. Except as identified on </w:t>
      </w:r>
      <w:r>
        <w:rPr>
          <w:rFonts w:ascii="Times New Roman" w:cs="Times New Roman" w:eastAsia="Times New Roman" w:hAnsi="Times New Roman"/>
          <w:sz w:val="13"/>
          <w:szCs w:val="13"/>
          <w:u w:val="single" w:color="auto"/>
          <w:color w:val="auto"/>
        </w:rPr>
        <w:t>Section 3.12(e)(iv)</w:t>
      </w:r>
      <w:r>
        <w:rPr>
          <w:rFonts w:ascii="Times New Roman" w:cs="Times New Roman" w:eastAsia="Times New Roman" w:hAnsi="Times New Roman"/>
          <w:sz w:val="13"/>
          <w:szCs w:val="13"/>
          <w:color w:val="auto"/>
        </w:rPr>
        <w:t xml:space="preserve"> of the Obsidian Disclosure Schedule, to the Knowledge of Obsidian, no Governmental Authority has any right to (including any “step-in” or “march-in” rights with respect to), ownership of, commercialization of, or right to royalties or other payments for any Obsidian Owned IP Rights, or, to the Knowledge of Obsidian, any Obsidian Licensed IP Rights.</w:t>
      </w:r>
    </w:p>
    <w:p>
      <w:pPr>
        <w:spacing w:after="0" w:line="58" w:lineRule="exact"/>
        <w:rPr>
          <w:rFonts w:ascii="Times New Roman" w:cs="Times New Roman" w:eastAsia="Times New Roman" w:hAnsi="Times New Roman"/>
          <w:sz w:val="13"/>
          <w:szCs w:val="13"/>
          <w:color w:val="auto"/>
        </w:rPr>
      </w:pPr>
    </w:p>
    <w:p>
      <w:pPr>
        <w:ind w:left="940" w:right="839" w:firstLine="304"/>
        <w:spacing w:after="0" w:line="309" w:lineRule="auto"/>
        <w:tabs>
          <w:tab w:leader="none" w:pos="1416"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Obsidian and each of its Subsidiaries has taken reasonable steps to maintain the confidentiality of and otherwise protect, maintain and enforce its rights in all proprietary information that Obsidian or such Subsidiary holds, or purports to hold, as confidential or a trade secret.</w:t>
      </w:r>
    </w:p>
    <w:p>
      <w:pPr>
        <w:spacing w:after="0" w:line="23" w:lineRule="exact"/>
        <w:rPr>
          <w:rFonts w:ascii="Times New Roman" w:cs="Times New Roman" w:eastAsia="Times New Roman" w:hAnsi="Times New Roman"/>
          <w:sz w:val="12"/>
          <w:szCs w:val="12"/>
          <w:color w:val="auto"/>
        </w:rPr>
      </w:pPr>
    </w:p>
    <w:p>
      <w:pPr>
        <w:ind w:left="940" w:right="659" w:firstLine="304"/>
        <w:spacing w:after="0" w:line="267" w:lineRule="auto"/>
        <w:tabs>
          <w:tab w:leader="none" w:pos="145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has assigned or otherwise transferred ownership of, or agreed to assign or otherwise transfer ownership of, any Obsidian IP Rights to any other Person.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5" w:name="page56"/>
    <w:bookmarkEnd w:id="55"/>
    <w:p>
      <w:pPr>
        <w:ind w:left="940" w:right="659" w:firstLine="304"/>
        <w:spacing w:after="0" w:line="248" w:lineRule="auto"/>
        <w:tabs>
          <w:tab w:leader="none" w:pos="1486"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Knowledge of Obsidian, each item of Obsidian IP Right has been duly maintained and is not expired, abandoned or cancelled. To the Knowledge of Obsidian, each of the Patents included in the Obsidian IP Rights identifies each and every inventor of the claims thereof as determined in accordance with the applicable laws of the jurisdiction in which such Patent is issued or pending. To the Knowledge of Obsidian, each of Obsidian and its Subsidiaries and their respective patent counsel have complied with its duty of candor and disclosure and have made no material misrepresentations in the filings submitted to the applicable Governmental Authorities with respect to all Patents included in the Obsidian IP Rights for which Obsidian or any of its Subsidiaries is responsible for prosecuting.</w:t>
      </w:r>
    </w:p>
    <w:p>
      <w:pPr>
        <w:spacing w:after="0" w:line="58" w:lineRule="exact"/>
        <w:rPr>
          <w:rFonts w:ascii="Times New Roman" w:cs="Times New Roman" w:eastAsia="Times New Roman" w:hAnsi="Times New Roman"/>
          <w:sz w:val="13"/>
          <w:szCs w:val="13"/>
          <w:color w:val="auto"/>
        </w:rPr>
      </w:pPr>
    </w:p>
    <w:p>
      <w:pPr>
        <w:jc w:val="both"/>
        <w:ind w:left="940" w:right="919" w:firstLine="304"/>
        <w:spacing w:after="0" w:line="255" w:lineRule="auto"/>
        <w:tabs>
          <w:tab w:leader="none" w:pos="1521"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Obsidian, the Obsidian IP Rights constitute all Intellectual Property material to or necessary for Obsidian to conduct its business as currently conducted or currently proposed to be conducted as of the date hereof; provided, however, that the foregoing representation is not a representation with respect to non-infringement of Intellectual Property.</w:t>
      </w:r>
    </w:p>
    <w:p>
      <w:pPr>
        <w:spacing w:after="0" w:line="130"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has delivered, or made available to Galera, a complete and accurate copy of all material Obsidian IP Rights Agreements.</w:t>
      </w:r>
    </w:p>
    <w:p>
      <w:pPr>
        <w:spacing w:after="0" w:line="153" w:lineRule="exact"/>
        <w:rPr>
          <w:rFonts w:ascii="Times New Roman" w:cs="Times New Roman" w:eastAsia="Times New Roman" w:hAnsi="Times New Roman"/>
          <w:sz w:val="13"/>
          <w:szCs w:val="13"/>
          <w:color w:val="auto"/>
        </w:rPr>
      </w:pPr>
    </w:p>
    <w:p>
      <w:pPr>
        <w:ind w:left="640" w:right="739" w:firstLine="307"/>
        <w:spacing w:after="0" w:line="246" w:lineRule="auto"/>
        <w:tabs>
          <w:tab w:leader="none" w:pos="112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Obsidian, the conduct of the business of Obsidian as has been conducted since January 1, 2023 and as is currently being conducted, including the manufacture, marketing, offering for sale, sale, importation, use or intended use or other disposal of any product as currently sold or under development by Obsidian (i) has not violated, and does not presently violate, any license or agreement between Obsidian or its Subsidiaries and any Person in any material respect, and, (ii) to the Knowledge of Obsidian, has not infringed, misappropriated or otherwise violated, and does not infringe, misappropriate or otherwise violate, any valid and issued Patents or other Intellectual Property of any other Person, which infringement would reasonably be expected to have an Obsidian Material Adverse Effect. To the Knowledge of Obsidian, since January 1, 2023, no Person has engaged in the unauthorized use of, or has infringed, misappropriated or otherwise violated any Patents within the Obsidian IP Rights, or otherwise violating any Obsidian IP Rights Agreement.</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Agreement and since January 1, 2023, neither Obsidian nor any of its Subsidiaries is or has been a party to any, or is the subject of any pending or, to the Knowledge of Obsidian, threatened in writing, Legal Proceeding (including, but not limited to, opposition, interference or other proceeding in any patent or other government office) contesting the validity, enforceability, ownership or right to use, sell, offer for sale, license or dispose of any Obsidian IP Rights. None of the Obsidian Owned IP Rights, and to the Knowledge of Obsidian, any Obsidian Licensed IP Rights, have been adjudged invalid or unenforceable in whole or part, and all Obsidian Owned IP Rights, and to the Knowledge of Obsidian, all Obsidian Licensed IP Rights, are in full force and effect. Neither Obsidian nor any of its Subsidiaries have received any written notice asserting that any Obsidian IP Rights or the proposed use, sale, offer for sale, license or disposition of products, methods, or processes claimed or covered thereunder infringes or misappropriates or violates the rights of any other Person or that Obsidian or any of its Subsidiaries have otherwise infringed, misappropriated or otherwise violated any Intellectual Property of any Person.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6" w:name="page57"/>
    <w:bookmarkEnd w:id="56"/>
    <w:p>
      <w:pPr>
        <w:ind w:left="640" w:right="679" w:firstLine="307"/>
        <w:spacing w:after="0" w:line="248" w:lineRule="auto"/>
        <w:tabs>
          <w:tab w:leader="none" w:pos="11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the Knowledge of Obsidian, no trademark (whether registered or unregistered) or trade name owned, used, or applied for by Obsidian conflicts or interferes with any trademark (whether registered or unregistered) or trade name owned, used, or applied for by any other Person except as would not have an Obsidian Material Adverse Effect. To the Knowledge of Obsidian, none of the goodwill associated with or inherent in any trademark (whether registered or unregistered) in which Obsidian or its Subsidiaries has or purports to have an ownership interest has been impaired as determined by Obsidian in accordance with GAAP. </w:t>
      </w:r>
      <w:r>
        <w:rPr>
          <w:rFonts w:ascii="Times New Roman" w:cs="Times New Roman" w:eastAsia="Times New Roman" w:hAnsi="Times New Roman"/>
          <w:sz w:val="13"/>
          <w:szCs w:val="13"/>
          <w:u w:val="single" w:color="auto"/>
          <w:color w:val="auto"/>
        </w:rPr>
        <w:t>Section 3.12(i)</w:t>
      </w:r>
      <w:r>
        <w:rPr>
          <w:rFonts w:ascii="Times New Roman" w:cs="Times New Roman" w:eastAsia="Times New Roman" w:hAnsi="Times New Roman"/>
          <w:sz w:val="13"/>
          <w:szCs w:val="13"/>
          <w:color w:val="auto"/>
        </w:rPr>
        <w:t xml:space="preserve"> of the Obsidian Disclosure Schedule sets forth all material unregistered trademarks included in the Obsidian IP Rights.</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47" w:lineRule="auto"/>
        <w:tabs>
          <w:tab w:leader="none" w:pos="11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would not reasonably be expected to have an Obsidian Material Adverse Effect, (ii) as may be set forth in </w:t>
      </w:r>
      <w:r>
        <w:rPr>
          <w:rFonts w:ascii="Times New Roman" w:cs="Times New Roman" w:eastAsia="Times New Roman" w:hAnsi="Times New Roman"/>
          <w:sz w:val="13"/>
          <w:szCs w:val="13"/>
          <w:u w:val="single" w:color="auto"/>
          <w:color w:val="auto"/>
        </w:rPr>
        <w:t>Section 3.12(j)</w:t>
      </w:r>
      <w:r>
        <w:rPr>
          <w:rFonts w:ascii="Times New Roman" w:cs="Times New Roman" w:eastAsia="Times New Roman" w:hAnsi="Times New Roman"/>
          <w:sz w:val="13"/>
          <w:szCs w:val="13"/>
          <w:color w:val="auto"/>
        </w:rPr>
        <w:t xml:space="preserve"> of the Obsidian Disclosure Schedule or (iii) as contained in license, distribution or service agreements entered into in the Ordinary Course of Business by Obsidian, to the Knowledge of Obsidian, (A) neither Obsidian nor any of its Subsidiaries is bound by any Contract to indemnify, defend, hold harmless, or reimburse any other Person with respect to any Intellectual Property infringement, misappropriation, or similar claim which is material to Obsidian or any of its Subsidiaries, taken as a whole and (B) neither Obsidian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execution and delivery of this Agreement, the consummation of the transactions contemplated hereby or the performance by Obsidian of its obligations hereunder conflict or will conflict with, alter or impair any of Obsidian’s rights in, to and under any material Obsidian IP Rights or the validity, enforceability, priority, scope or duration of any material Obsidian IP Rights. Without limiting the foregoing, to the Knowledge of Obsidian, neither Obsidian nor any of its Subsidiaries is party to any Contract that, as a result of such execution, delivery and performance of this Agreement, will (i) cause the grant, assignment, or transfer to any other Person of any license or other right to or in any Obsidian IP Rights, (ii) result in breach of, default under or termination of such Contract with respect to any Obsidian IP Rights, (iii) alter, encumber, impair or extinguish, or result in any Encumbrance with respect to the right of Obsidian or the Surviving Corporation and its Subsidiaries to use, sell or license or enforce any Obsidian IP Rights or portion thereof, or (iv) result in Obsidian or any of its Subsidiaries being bound by or subject to any exclusivity obligations, non-compete or other restrictions on the operation or scope of their respective businesses, or to any obligation to grant any rights in or to any Obsidian IP Rights, except, in each of (i), (ii), (iii) and (iv), for the occurrence of any such grant or impairment that would not individually or in the aggregate, reasonably be expected to result in an Obsidian Material Adverse Effect.</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Agreements, Contracts and Commitments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7"/>
        <w:spacing w:after="0" w:line="267" w:lineRule="auto"/>
        <w:tabs>
          <w:tab w:leader="none" w:pos="1121"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3.13(a)</w:t>
      </w:r>
      <w:r>
        <w:rPr>
          <w:rFonts w:ascii="Times New Roman" w:cs="Times New Roman" w:eastAsia="Times New Roman" w:hAnsi="Times New Roman"/>
          <w:sz w:val="13"/>
          <w:szCs w:val="13"/>
          <w:color w:val="auto"/>
        </w:rPr>
        <w:t xml:space="preserve"> of the Obsidian Disclosure Schedule lists the following Obsidian Contracts in effect as of the date of this Agreement (each, a “</w:t>
      </w:r>
      <w:r>
        <w:rPr>
          <w:rFonts w:ascii="Times New Roman" w:cs="Times New Roman" w:eastAsia="Times New Roman" w:hAnsi="Times New Roman"/>
          <w:sz w:val="13"/>
          <w:szCs w:val="13"/>
          <w:b w:val="1"/>
          <w:bCs w:val="1"/>
          <w:color w:val="auto"/>
        </w:rPr>
        <w:t>Obsidian Material Contract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Obsidian Material Contracts</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719" w:firstLine="304"/>
        <w:spacing w:after="0" w:line="267" w:lineRule="auto"/>
        <w:tabs>
          <w:tab w:leader="none" w:pos="1388"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that is a collective bargaining agreement or other agreement or arrangement with any labor union, works council or labor organization;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7" w:name="page58"/>
    <w:bookmarkEnd w:id="57"/>
    <w:p>
      <w:pPr>
        <w:ind w:left="940" w:right="699" w:firstLine="304"/>
        <w:spacing w:after="0" w:line="267" w:lineRule="auto"/>
        <w:tabs>
          <w:tab w:leader="none" w:pos="1423"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Obsidian Contract for the employment or engagement of any individual on an employee, consulting or other basis that provides for annual base compensation in excess of $500,000;</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58"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with any Obsidian Associate that provides for retention, change in control, transaction or other similar payments or benefits, whether or not payable as a result of the Contemplated Transactions;</w:t>
      </w:r>
    </w:p>
    <w:p>
      <w:pPr>
        <w:spacing w:after="0" w:line="4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Obsidian Contract relating to any agreement of indemnification or guaranty not entered into in the Ordinary Course of Business;</w:t>
      </w:r>
    </w:p>
    <w:p>
      <w:pPr>
        <w:spacing w:after="0" w:line="89" w:lineRule="exact"/>
        <w:rPr>
          <w:rFonts w:ascii="Times New Roman" w:cs="Times New Roman" w:eastAsia="Times New Roman" w:hAnsi="Times New Roman"/>
          <w:sz w:val="12"/>
          <w:szCs w:val="12"/>
          <w:color w:val="auto"/>
        </w:rPr>
      </w:pPr>
    </w:p>
    <w:p>
      <w:pPr>
        <w:jc w:val="both"/>
        <w:ind w:left="940" w:right="739" w:firstLine="304"/>
        <w:spacing w:after="0" w:line="255" w:lineRule="auto"/>
        <w:tabs>
          <w:tab w:leader="none" w:pos="1416"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containing (A) any covenant limiting the freedom of Obsidian or any of its Subsidiaries to engage in any line of business or compete with any Person, or limiting the development, manufacture, or distribution of Obsidian’s products or services, (B) any most-favored pricing arrangement, (C) any exclusivity provision or (D) any non-solicitation provision;</w:t>
      </w:r>
    </w:p>
    <w:p>
      <w:pPr>
        <w:spacing w:after="0" w:line="54"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(A) pursuant to which any Person granted Obsidian an exclusive license under any Intellectual Property, or</w:t>
      </w:r>
    </w:p>
    <w:p>
      <w:pPr>
        <w:spacing w:after="0" w:line="15"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which Obsidian granted any Person an exclusive license under any Obsidian IP Rights;</w:t>
      </w:r>
    </w:p>
    <w:p>
      <w:pPr>
        <w:spacing w:after="0" w:line="65" w:lineRule="exact"/>
        <w:rPr>
          <w:rFonts w:ascii="Times New Roman" w:cs="Times New Roman" w:eastAsia="Times New Roman" w:hAnsi="Times New Roman"/>
          <w:sz w:val="13"/>
          <w:szCs w:val="13"/>
          <w:color w:val="auto"/>
        </w:rPr>
      </w:pPr>
    </w:p>
    <w:p>
      <w:pPr>
        <w:ind w:left="940" w:right="759" w:firstLine="304"/>
        <w:spacing w:after="0" w:line="267" w:lineRule="auto"/>
        <w:tabs>
          <w:tab w:leader="none" w:pos="1486"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relating to capital expenditures and requiring payments after the date of this Agreement in excess of $500,000 pursuant to its express terms and not cancelable without penalty;</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521"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relating to the disposition or acquisition of material assets or any ownership interest in any Entity, in each case, involving payments in excess of $500,000 after the date of this Agreement;</w:t>
      </w:r>
    </w:p>
    <w:p>
      <w:pPr>
        <w:spacing w:after="0" w:line="46" w:lineRule="exact"/>
        <w:rPr>
          <w:rFonts w:ascii="Times New Roman" w:cs="Times New Roman" w:eastAsia="Times New Roman" w:hAnsi="Times New Roman"/>
          <w:sz w:val="13"/>
          <w:szCs w:val="13"/>
          <w:color w:val="auto"/>
        </w:rPr>
      </w:pPr>
    </w:p>
    <w:p>
      <w:pPr>
        <w:ind w:left="940" w:right="679" w:firstLine="304"/>
        <w:spacing w:after="0" w:line="255" w:lineRule="auto"/>
        <w:tabs>
          <w:tab w:leader="none" w:pos="1451"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relating to any mortgages, indentures, loans, notes or credit agreements, security agreements or other agreements or instruments relating to the borrowing of money or extension of credit in excess of $500,000 or creating any material Encumbrances with respect to any assets of Obsidian or any loans or debt obligations with officers or directors of Obsidian;</w:t>
      </w:r>
    </w:p>
    <w:p>
      <w:pPr>
        <w:spacing w:after="0" w:line="54" w:lineRule="exact"/>
        <w:rPr>
          <w:rFonts w:ascii="Times New Roman" w:cs="Times New Roman" w:eastAsia="Times New Roman" w:hAnsi="Times New Roman"/>
          <w:sz w:val="13"/>
          <w:szCs w:val="13"/>
          <w:color w:val="auto"/>
        </w:rPr>
      </w:pPr>
    </w:p>
    <w:p>
      <w:pPr>
        <w:ind w:left="940" w:right="679" w:firstLine="304"/>
        <w:spacing w:after="0" w:line="246" w:lineRule="auto"/>
        <w:tabs>
          <w:tab w:leader="none" w:pos="1416"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requiring payment by or to Obsidian after the date of this Agreement in excess of $500,000 pursuant to its express terms relating to: (A) any distribution agreement (identifying any that contain exclusivity provisions), (B) any agreement involving provision of services or products with respect to any pre-clinical or clinical development activities of Obsidian, (C) any dealer, distributor, joint marketing, alliance, joint venture, cooperation, development or other agreement currently in force under which Obsidian or any of its Subsidiaries has continuing obligations to develop or market any product, technology or service, or any agreement pursuant to which Obsidian or any of its Subsidiaries has continuing obligations to develop any Intellectual Property that will not be owned, in whole or in part, by Obsidian or such Subsidiary or (D) any Contract to license any patent, trademark registration, service mark registration, trade name or copyright registration to or from any third party to manufacture or produce any product, service or technology of Obsidian or any of its Subsidiaries or any Contract to sell, distribute or commercialize any products or service of Obsidian or any of its Subsidiaries, in each case, except for Obsidian Contracts entered into in the Ordinary Course of Business;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8" w:name="page59"/>
    <w:bookmarkEnd w:id="58"/>
    <w:p>
      <w:pPr>
        <w:ind w:left="940" w:right="799" w:firstLine="304"/>
        <w:spacing w:after="0" w:line="267" w:lineRule="auto"/>
        <w:tabs>
          <w:tab w:leader="none" w:pos="1451"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Obsidian Contract with any Person, including any financial advisor, broker, finder, investment banker or other Person, providing advisory services to Obsidian in connection with the Contemplated Transactions;</w:t>
      </w:r>
    </w:p>
    <w:p>
      <w:pPr>
        <w:spacing w:after="0" w:line="46" w:lineRule="exact"/>
        <w:rPr>
          <w:rFonts w:ascii="Times New Roman" w:cs="Times New Roman" w:eastAsia="Times New Roman" w:hAnsi="Times New Roman"/>
          <w:sz w:val="13"/>
          <w:szCs w:val="13"/>
          <w:color w:val="auto"/>
        </w:rPr>
      </w:pPr>
    </w:p>
    <w:p>
      <w:pPr>
        <w:ind w:left="940" w:right="679" w:firstLine="304"/>
        <w:spacing w:after="0" w:line="309" w:lineRule="auto"/>
        <w:tabs>
          <w:tab w:leader="none" w:pos="1486"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Obsidian Contract to which Obsidian or any of its Subsidiaries is a party or by which any of their assets and properties is currently bound, which involves annual obligations of payment by, or annual payments to, Obsidian or such Subsidiary in excess of $500,000;</w:t>
      </w:r>
    </w:p>
    <w:p>
      <w:pPr>
        <w:spacing w:after="0" w:line="23" w:lineRule="exact"/>
        <w:rPr>
          <w:rFonts w:ascii="Times New Roman" w:cs="Times New Roman" w:eastAsia="Times New Roman" w:hAnsi="Times New Roman"/>
          <w:sz w:val="12"/>
          <w:szCs w:val="12"/>
          <w:color w:val="auto"/>
        </w:rPr>
      </w:pPr>
    </w:p>
    <w:p>
      <w:pPr>
        <w:ind w:left="1520" w:hanging="276"/>
        <w:spacing w:after="0"/>
        <w:tabs>
          <w:tab w:leader="none" w:pos="152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Obsidian Real Estate Lease;</w:t>
      </w:r>
    </w:p>
    <w:p>
      <w:pPr>
        <w:spacing w:after="0" w:line="77" w:lineRule="exact"/>
        <w:rPr>
          <w:rFonts w:ascii="Times New Roman" w:cs="Times New Roman" w:eastAsia="Times New Roman" w:hAnsi="Times New Roman"/>
          <w:sz w:val="13"/>
          <w:szCs w:val="13"/>
          <w:color w:val="auto"/>
        </w:rPr>
      </w:pPr>
    </w:p>
    <w:p>
      <w:pPr>
        <w:ind w:left="1520" w:hanging="276"/>
        <w:spacing w:after="0"/>
        <w:tabs>
          <w:tab w:leader="none" w:pos="152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Contract disclosed in or required to be disclosed in </w:t>
      </w:r>
      <w:r>
        <w:rPr>
          <w:rFonts w:ascii="Times New Roman" w:cs="Times New Roman" w:eastAsia="Times New Roman" w:hAnsi="Times New Roman"/>
          <w:sz w:val="13"/>
          <w:szCs w:val="13"/>
          <w:u w:val="single" w:color="auto"/>
          <w:color w:val="auto"/>
        </w:rPr>
        <w:t>Section 3.12(a)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or</w:t>
      </w:r>
    </w:p>
    <w:p>
      <w:pPr>
        <w:spacing w:after="0" w:line="77" w:lineRule="exact"/>
        <w:rPr>
          <w:rFonts w:ascii="Times New Roman" w:cs="Times New Roman" w:eastAsia="Times New Roman" w:hAnsi="Times New Roman"/>
          <w:sz w:val="13"/>
          <w:szCs w:val="13"/>
          <w:color w:val="auto"/>
        </w:rPr>
      </w:pPr>
    </w:p>
    <w:p>
      <w:pPr>
        <w:ind w:left="1480" w:hanging="236"/>
        <w:spacing w:after="0"/>
        <w:tabs>
          <w:tab w:leader="none" w:pos="148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Obsidian Contract that is not terminable at will (with no penalty or payment) by Obsidian or any of its Subsidiaries, and</w:t>
      </w:r>
    </w:p>
    <w:p>
      <w:pPr>
        <w:spacing w:after="0" w:line="15" w:lineRule="exact"/>
        <w:rPr>
          <w:rFonts w:ascii="Times New Roman" w:cs="Times New Roman" w:eastAsia="Times New Roman" w:hAnsi="Times New Roman"/>
          <w:sz w:val="13"/>
          <w:szCs w:val="13"/>
          <w:color w:val="auto"/>
        </w:rPr>
      </w:pPr>
    </w:p>
    <w:p>
      <w:pPr>
        <w:jc w:val="both"/>
        <w:ind w:left="940" w:right="899" w:firstLine="7"/>
        <w:spacing w:after="0" w:line="263" w:lineRule="auto"/>
        <w:tabs>
          <w:tab w:leader="none" w:pos="1147"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involves payment or receipt by Obsidian or such Subsidiary after the date of this Agreement under any such agreement, contract or commitment of more than $500,000 in the aggregate, or obligations after the date of this Agreement in excess of $500,000 in the aggregate or</w:t>
      </w:r>
    </w:p>
    <w:p>
      <w:pPr>
        <w:ind w:left="1140" w:hanging="193"/>
        <w:spacing w:after="0"/>
        <w:tabs>
          <w:tab w:leader="none" w:pos="11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is material to the business or operations of Obsidian and its Subsidiaries taken as a whole.</w:t>
      </w:r>
    </w:p>
    <w:p>
      <w:pPr>
        <w:spacing w:after="0" w:line="141" w:lineRule="exact"/>
        <w:rPr>
          <w:sz w:val="20"/>
          <w:szCs w:val="20"/>
          <w:color w:val="auto"/>
        </w:rPr>
      </w:pPr>
    </w:p>
    <w:p>
      <w:pPr>
        <w:ind w:left="640" w:right="659" w:firstLine="307"/>
        <w:spacing w:after="0" w:line="246" w:lineRule="auto"/>
        <w:tabs>
          <w:tab w:leader="none" w:pos="112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has delivered or made available to Galera accurate and complete copies of all Obsidian Material Contracts, including all amendments thereto. There are no Obsidian Material Contracts that are not in written form. Obsidian has not, nor to the Knowledge of Obsidian, as of the date of this Agreement, has any other party to an Obsidian Material Contract, breached, violated or defaulted under, or received notice that it breached, violated or defaulted under, any of the terms or conditions of any Obsidian Material Contract in such manner as would permit any other party to cancel or terminate any such Obsidian Material Contract, or would permit any other party to seek damages which would reasonably be expected to have an Obsidian Material Adverse Effect. As to Obsidian and its Subsidiaries, as of the date of this Agreement, each Obsidian Material Contract is valid, binding, enforceable and in full force and effect, subject to the Enforceability Exceptions. No Person is renegotiating, or has a right pursuant to the terms of any Obsidian Material Contract to change, any material amount paid or payable to Obsidian under any Obsidian Material Contract or any other material term or provision of any Obsidian Material Contract.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3.14 </w:t>
      </w:r>
      <w:r>
        <w:rPr>
          <w:rFonts w:ascii="Times New Roman" w:cs="Times New Roman" w:eastAsia="Times New Roman" w:hAnsi="Times New Roman"/>
          <w:sz w:val="13"/>
          <w:szCs w:val="13"/>
          <w:u w:val="single" w:color="auto"/>
          <w:color w:val="auto"/>
        </w:rPr>
        <w:t>Compliance; Permits; Restrictions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307"/>
        <w:spacing w:after="0" w:line="279" w:lineRule="auto"/>
        <w:tabs>
          <w:tab w:leader="none" w:pos="1121"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Obsidian and each of its Subsidiaries is, and since January 1, 2023 has been, in material compliance with all applicable Laws, including the Federal Food, Drug, and Cosmetic Act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FDCA</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the Public Health Service Act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PHSA</w:t>
      </w:r>
      <w:r>
        <w:rPr>
          <w:rFonts w:ascii="Times New Roman" w:cs="Times New Roman" w:eastAsia="Times New Roman" w:hAnsi="Times New Roman"/>
          <w:sz w:val="12"/>
          <w:szCs w:val="12"/>
          <w:color w:val="auto"/>
        </w:rPr>
        <w:t xml:space="preserve">”), Food and Drug Administration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FDA</w:t>
      </w:r>
      <w:r>
        <w:rPr>
          <w:rFonts w:ascii="Times New Roman" w:cs="Times New Roman" w:eastAsia="Times New Roman" w:hAnsi="Times New Roman"/>
          <w:sz w:val="12"/>
          <w:szCs w:val="12"/>
          <w:color w:val="auto"/>
        </w:rPr>
        <w:t>”) regulations adopted thereunder or any other applicable Law promulgated by the FDA or other Governmental Authority responsible for regulation of the research, development, testing, manufacturing, packaging, processing, storage, labeling, sale, marketing, advertising, distribution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59" w:name="page60"/>
    <w:bookmarkEnd w:id="59"/>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importation or exportation of drug or biologic products (“</w:t>
      </w:r>
      <w:r>
        <w:rPr>
          <w:rFonts w:ascii="Times New Roman" w:cs="Times New Roman" w:eastAsia="Times New Roman" w:hAnsi="Times New Roman"/>
          <w:sz w:val="13"/>
          <w:szCs w:val="13"/>
          <w:b w:val="1"/>
          <w:bCs w:val="1"/>
          <w:color w:val="auto"/>
        </w:rPr>
        <w:t>Drug Regulatory Agency</w:t>
      </w:r>
      <w:r>
        <w:rPr>
          <w:rFonts w:ascii="Times New Roman" w:cs="Times New Roman" w:eastAsia="Times New Roman" w:hAnsi="Times New Roman"/>
          <w:sz w:val="13"/>
          <w:szCs w:val="13"/>
          <w:color w:val="auto"/>
        </w:rPr>
        <w:t>”). No investigation, claim, suit, proceeding, audit, Order, or other action by any Governmental Authority is pending or, to the Knowledge of Obsidian, threatened against Obsidian or any of its Subsidiaries. There is no agreement or Order binding upon Obsidian or any of its Subsidiaries which (i) has or could reasonably be expected to have the effect of prohibiting or materially impairing any business practice of Obsidian or any of its Subsidiaries, any acquisition of material property by Obsidian or any of its Subsidiaries or the conduct of business by Obsidian or any of its Subsidiaries as currently conducted, (ii) is reasonably likely to have an adverse effect on Obsidian’s ability to comply with or perform any covenant or obligation under this Agreement or (iii) is reasonably likely to have the effect of preventing, delaying, making illegal or otherwise interfering with the Contemplated Transactions.</w:t>
      </w:r>
    </w:p>
    <w:p>
      <w:pPr>
        <w:spacing w:after="0" w:line="134" w:lineRule="exact"/>
        <w:rPr>
          <w:sz w:val="20"/>
          <w:szCs w:val="20"/>
          <w:color w:val="auto"/>
        </w:rPr>
      </w:pPr>
    </w:p>
    <w:p>
      <w:pPr>
        <w:ind w:left="640" w:right="779" w:firstLine="307"/>
        <w:spacing w:after="0" w:line="279" w:lineRule="auto"/>
        <w:tabs>
          <w:tab w:leader="none" w:pos="1128"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Obsidian and its Subsidiaries holds all required Governmental Authorizations that are material to the operation of the business of Obsidian as currently conducted (collectively, the “</w:t>
      </w:r>
      <w:r>
        <w:rPr>
          <w:rFonts w:ascii="Times New Roman" w:cs="Times New Roman" w:eastAsia="Times New Roman" w:hAnsi="Times New Roman"/>
          <w:sz w:val="12"/>
          <w:szCs w:val="12"/>
          <w:b w:val="1"/>
          <w:bCs w:val="1"/>
          <w:color w:val="auto"/>
        </w:rPr>
        <w:t>Obsidian Permits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3.14(b)</w:t>
      </w:r>
      <w:r>
        <w:rPr>
          <w:rFonts w:ascii="Times New Roman" w:cs="Times New Roman" w:eastAsia="Times New Roman" w:hAnsi="Times New Roman"/>
          <w:sz w:val="12"/>
          <w:szCs w:val="12"/>
          <w:color w:val="auto"/>
        </w:rPr>
        <w:t xml:space="preserve"> of the Obsidian Disclosure Schedule identifies each Obsidian Permit. Each of Obsidian and its Subsidiaries is in material compliance with the terms of Obsidian Permits. No Legal Proceeding is pending or, to the Knowledge of Obsidian, threatened, which seeks to revoke, substantially limit, suspend, or materially modify any Obsidian Permit.</w:t>
      </w:r>
    </w:p>
    <w:p>
      <w:pPr>
        <w:spacing w:after="0" w:line="116" w:lineRule="exact"/>
        <w:rPr>
          <w:rFonts w:ascii="Times New Roman" w:cs="Times New Roman" w:eastAsia="Times New Roman" w:hAnsi="Times New Roman"/>
          <w:sz w:val="12"/>
          <w:szCs w:val="12"/>
          <w:color w:val="auto"/>
        </w:rPr>
      </w:pPr>
    </w:p>
    <w:p>
      <w:pPr>
        <w:ind w:left="640" w:right="779" w:firstLine="307"/>
        <w:spacing w:after="0" w:line="255" w:lineRule="auto"/>
        <w:tabs>
          <w:tab w:leader="none" w:pos="1121"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Legal Proceedings pending or, to the Knowledge of Obsidian, threatened in writing with respect to an alleged material violation by Obsidian or any of its Subsidiaries of the FDCA, PHSA and FDA regulations adopted thereunder, the Controlled Substances Act or any other applicable Law promulgated by a Drug Regulatory Agency.</w:t>
      </w:r>
    </w:p>
    <w:p>
      <w:pPr>
        <w:spacing w:after="0" w:line="130" w:lineRule="exact"/>
        <w:rPr>
          <w:rFonts w:ascii="Times New Roman" w:cs="Times New Roman" w:eastAsia="Times New Roman" w:hAnsi="Times New Roman"/>
          <w:sz w:val="13"/>
          <w:szCs w:val="13"/>
          <w:color w:val="auto"/>
        </w:rPr>
      </w:pPr>
    </w:p>
    <w:p>
      <w:pPr>
        <w:ind w:left="640" w:right="699" w:firstLine="307"/>
        <w:spacing w:after="0" w:line="266" w:lineRule="auto"/>
        <w:tabs>
          <w:tab w:leader="none" w:pos="1128"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Obsidian and its Subsidiaries holds all required material Governmental Authorizations issuable by any Drug Regulatory Agency necessary for the conduct of the business of Obsidian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cs="Times New Roman" w:eastAsia="Times New Roman" w:hAnsi="Times New Roman"/>
          <w:sz w:val="12"/>
          <w:szCs w:val="12"/>
          <w:b w:val="1"/>
          <w:bCs w:val="1"/>
          <w:color w:val="auto"/>
        </w:rPr>
        <w:t>Obsidian Product Candidates</w:t>
      </w:r>
      <w:r>
        <w:rPr>
          <w:rFonts w:ascii="Times New Roman" w:cs="Times New Roman" w:eastAsia="Times New Roman" w:hAnsi="Times New Roman"/>
          <w:sz w:val="12"/>
          <w:szCs w:val="12"/>
          <w:color w:val="auto"/>
        </w:rPr>
        <w:t>”) (collectively, the “</w:t>
      </w:r>
      <w:r>
        <w:rPr>
          <w:rFonts w:ascii="Times New Roman" w:cs="Times New Roman" w:eastAsia="Times New Roman" w:hAnsi="Times New Roman"/>
          <w:sz w:val="12"/>
          <w:szCs w:val="12"/>
          <w:b w:val="1"/>
          <w:bCs w:val="1"/>
          <w:color w:val="auto"/>
        </w:rPr>
        <w:t>Obsidian Regulatory Permits</w:t>
      </w:r>
      <w:r>
        <w:rPr>
          <w:rFonts w:ascii="Times New Roman" w:cs="Times New Roman" w:eastAsia="Times New Roman" w:hAnsi="Times New Roman"/>
          <w:sz w:val="12"/>
          <w:szCs w:val="12"/>
          <w:color w:val="auto"/>
        </w:rPr>
        <w:t>”) and no such Obsidian Regulatory Permit has been (i) revoked, withdrawn, suspended, cancelled or terminated or (ii) modified in any material, adverse manner, in each case (i) and (ii) by a Drug Regulatory Agency. Obsidian has timely maintained and is in compliance in all material respects with the Obsidian Regulatory Permits and neither Obsidian nor any of its Subsidiaries has, since January 1, 2023, received any written notice or other written communication from any Drug Regulatory Agency regarding (A) any material violation of or failure to comply materially with any term or requirement of any Obsidian Regulatory Permit or</w:t>
      </w:r>
    </w:p>
    <w:p>
      <w:pPr>
        <w:spacing w:after="0" w:line="2"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revocation, withdrawal, suspension, cancellation, termination or material modification of any Obsidian Regulatory Permit.</w:t>
      </w:r>
    </w:p>
    <w:p>
      <w:pPr>
        <w:spacing w:after="0" w:line="140"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21"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Agreement, all clinical, pre-clinical and other studies and tests conducted by or, to the Knowledge of Obsidian, on behalf of, or sponsored by, Obsidian or its Subsidiaries, in which Obsidian or its Subsidiaries or their respective product candidates, including the Obsidian Product Candidates, have participated, were and, if still pending, are being conducted in compliance in all material respects with the applicable regulations of the Drug Regulatory Agencies and other applicable Law, including, without limitation, 21 C.F.R. Parts 50, 54, 56, 58 and 312, 45 C.F.R. Part 46, and all other applicable Laws governing informed consent, institutional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29" w:right="1440" w:bottom="1440" w:gutter="0" w:footer="0" w:header="0"/>
        </w:sectPr>
      </w:pPr>
    </w:p>
    <w:bookmarkStart w:id="60" w:name="page61"/>
    <w:bookmarkEnd w:id="60"/>
    <w:p>
      <w:pPr>
        <w:ind w:left="640" w:right="6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review boards and the protection of human subjects. Neither Obsidian nor any of its Subsidiaries has received any written notices, correspondence, or other communications from any Drug Regulatory Agency requiring or, to the Knowledge of Obsidian, threatening any action to place a clinical hold order on, or otherwise terminate, delay, or suspend any clinical studies conducted by or on behalf of, or sponsored by, Obsidian or any of its Subsidiaries or in which Obsidian or any of its Subsidiaries or its current product candidates, including the Obsidian Product Candidates, have participated.</w:t>
      </w:r>
    </w:p>
    <w:p>
      <w:pPr>
        <w:spacing w:after="0" w:line="116" w:lineRule="exact"/>
        <w:rPr>
          <w:sz w:val="20"/>
          <w:szCs w:val="20"/>
          <w:color w:val="auto"/>
        </w:rPr>
      </w:pPr>
    </w:p>
    <w:p>
      <w:pPr>
        <w:ind w:left="640" w:right="659" w:firstLine="307"/>
        <w:spacing w:after="0" w:line="267" w:lineRule="auto"/>
        <w:tabs>
          <w:tab w:leader="none" w:pos="110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Obsidian nor any of its Subsidiaries, and, to the Knowledge of Obsidian, any contract manufacturer in relation to its activities with respect to any Obsidian Product Candidate, is the subject of any pending or, to the Knowledge of Obsidian,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Obsidian, neither Obsidian nor any of its Subsidiaries nor any contract manufacturer in relation to its activities with respect to any Obsidian Product Candidate has committed any acts, made any statement, or failed to make any statement, in each case in respect of Obsidian’s business or products that would violate the FDA’s “Fraud, Untrue Statements of Material Facts, Bribery, and Illegal Gratuities” Final Policy, and any amendments thereto, or any other applicable Law. None of Obsidian, any of its Subsidiaries, and to the Knowledge of Obsidian, any contract manufacturer in relation to its activities with respect to any Obsidian Product Candidate, or any of their respective officers, employees or agents has been convicted of any crime or engaged in any conduct that could result in a debarment or exclusion under (i) 21 U.S.C. Section 335a, (ii) 42 U.S.C. § 1320a-7, or (iii) any other applicable Law. To the Knowledge of Obsidian, no debarment or exclusionary claims, actions, proceedings or investigations in respect of Obsidian’s and its Subsidiaries’ business or Obsidian Product Candidates are pending or threatened against Obsidian, any of its Subsidiaries, and to the Knowledge of Obsidian, any contract manufacturer in relation to its activities with respect to any Obsidian Product Candidate, or any of its respective officers, employees or agents. Neither Obsidian nor any of its Subsidiaries is a party to or has any reporting obligations under any corporate integrity agreements, monitoring agreements, deferred or non-prosecution agreements, consent decrees, settlement orders, or similar agreements with or imposed by any Governmental Authority.</w:t>
      </w:r>
    </w:p>
    <w:p>
      <w:pPr>
        <w:spacing w:after="0" w:line="123" w:lineRule="exact"/>
        <w:rPr>
          <w:rFonts w:ascii="Times New Roman" w:cs="Times New Roman" w:eastAsia="Times New Roman" w:hAnsi="Times New Roman"/>
          <w:sz w:val="12"/>
          <w:szCs w:val="12"/>
          <w:color w:val="auto"/>
        </w:rPr>
      </w:pPr>
    </w:p>
    <w:p>
      <w:pPr>
        <w:ind w:left="640" w:right="679" w:firstLine="307"/>
        <w:spacing w:after="0" w:line="279" w:lineRule="auto"/>
        <w:tabs>
          <w:tab w:leader="none" w:pos="112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manufacturing operations conducted by, or to the Knowledge of Obsidian, for the benefit of, Obsidian or its Subsidiaries in connection with any Obsidian Product Candidate, since January 1, 2023, have been and are being conducted in compliance in all material respects with applicable Laws, including the FDA’s standards for current good manufacturing practices, including applicable requirements contained in 21 C.F.R. Parts 210, 211, 600-680 and 1271 and the applicable respective counterparts thereof promulgated by Governmental Authorities in countries outside the United States.</w:t>
      </w:r>
    </w:p>
    <w:p>
      <w:pPr>
        <w:spacing w:after="0" w:line="116" w:lineRule="exact"/>
        <w:rPr>
          <w:rFonts w:ascii="Times New Roman" w:cs="Times New Roman" w:eastAsia="Times New Roman" w:hAnsi="Times New Roman"/>
          <w:sz w:val="12"/>
          <w:szCs w:val="12"/>
          <w:color w:val="auto"/>
        </w:rPr>
      </w:pPr>
    </w:p>
    <w:p>
      <w:pPr>
        <w:ind w:left="640" w:right="719" w:firstLine="307"/>
        <w:spacing w:after="0" w:line="275" w:lineRule="auto"/>
        <w:tabs>
          <w:tab w:leader="none" w:pos="112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laboratory or manufacturing site owned by Obsidian or its Subsidiaries, and to the Knowledge of Obsidian, no manufacturing site of a contract manufacturer or laboratory, with respect to any Obsidian Product Candidate, (i) is subject to a Drug Regulatory Agency shutdown or import or export prohibition or (ii) has since January 1, 2023 received any unresolved Form FDA 483, notice of violation, warning letter, untitled letter, or similar correspondence or notice from the FDA or other Governmental Authority alleging or asserting material noncompliance with the FDCA, PHSA or any applicable Law, and, to the Knowledge of Obsidian, neither the FDA nor any other Governmental Authority is considering such action.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1" w:name="page62"/>
    <w:bookmarkEnd w:id="6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3.15 </w:t>
      </w:r>
      <w:r>
        <w:rPr>
          <w:rFonts w:ascii="Times New Roman" w:cs="Times New Roman" w:eastAsia="Times New Roman" w:hAnsi="Times New Roman"/>
          <w:sz w:val="13"/>
          <w:szCs w:val="13"/>
          <w:u w:val="single" w:color="auto"/>
          <w:color w:val="auto"/>
        </w:rPr>
        <w:t>Legal Proceedings;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7"/>
        <w:spacing w:after="0" w:line="251" w:lineRule="auto"/>
        <w:tabs>
          <w:tab w:leader="none" w:pos="1121"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Legal Proceeding and, to the Knowledge of Obsidian, no Person has threatened in writing to commence any Legal Proceeding: (i) that involves Obsidian or any of its Subsidiaries or any Obsidian Associate (in his or her capacity as such) or any of the material assets owned or used by Obsidian or any of its Subsidiaries or (ii) that challenges, or that may have the effect of preventing, delaying, making illegal or otherwise interfering with, the Contemplated Transactions.</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Order to which Obsidian or any of its Subsidiaries, or any of the material assets owned or used by Obsidian or any of its</w:t>
      </w:r>
    </w:p>
    <w:p>
      <w:pPr>
        <w:spacing w:after="0" w:line="15" w:lineRule="exact"/>
        <w:rPr>
          <w:rFonts w:ascii="Times New Roman" w:cs="Times New Roman" w:eastAsia="Times New Roman" w:hAnsi="Times New Roman"/>
          <w:sz w:val="13"/>
          <w:szCs w:val="13"/>
          <w:color w:val="auto"/>
        </w:rPr>
      </w:pPr>
    </w:p>
    <w:p>
      <w:pPr>
        <w:ind w:left="640" w:right="69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Subsidiaries, is subject. To the Knowledge of Obsidian, no officer or other Key Employee of Obsidian or any of its Subsidiaries is subject to any Order that prohibits such officer or employee from engaging in or continuing any conduct, activity or practice relating to the business of Obsidian or any of its Subsidiaries or to any material assets owned or used by Obsidian or any of its Subsidiaries.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3.16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9" w:lineRule="auto"/>
        <w:tabs>
          <w:tab w:leader="none" w:pos="1121"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Obsidian and each of its Subsidiaries has timely filed all income Tax Returns and all other material Tax Returns that were required to be filed by or with respect to it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Obsidian or any of its Subsidiaries does not file a particular type of Tax Return that Obsidian or any of its Subsidiaries is subject to taxation by that jurisdiction that would require the filing of such a Tax Return.</w:t>
      </w:r>
    </w:p>
    <w:p>
      <w:pPr>
        <w:spacing w:after="0" w:line="134" w:lineRule="exact"/>
        <w:rPr>
          <w:rFonts w:ascii="Times New Roman" w:cs="Times New Roman" w:eastAsia="Times New Roman" w:hAnsi="Times New Roman"/>
          <w:sz w:val="13"/>
          <w:szCs w:val="13"/>
          <w:color w:val="auto"/>
        </w:rPr>
      </w:pPr>
    </w:p>
    <w:p>
      <w:pPr>
        <w:ind w:left="640" w:right="819" w:firstLine="307"/>
        <w:spacing w:after="0" w:line="249" w:lineRule="auto"/>
        <w:tabs>
          <w:tab w:leader="none" w:pos="112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amounts of Taxes due and owing by Obsidian and each of its Subsidiaries (whether or not shown on any Tax Return) have been timely paid. The unpaid Taxes of Obsidian and each of its Subsidiaries for periods (or portions thereof) ending on or prior to the date of the Obsidian Balance Sheet do not materially exceed the accruals for current Taxes set forth on the Obsidian Balance Sheet. Since the date of the Obsidian Balance Sheet, neither Obsidian nor any of its Subsidiaries has incurred any material Liability for Taxes outside the Ordinary Course of Business or otherwise inconsistent with past custom and practice.</w:t>
      </w:r>
    </w:p>
    <w:p>
      <w:pPr>
        <w:spacing w:after="0" w:line="134"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21"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Obsidian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30" w:lineRule="exact"/>
        <w:rPr>
          <w:rFonts w:ascii="Times New Roman" w:cs="Times New Roman" w:eastAsia="Times New Roman" w:hAnsi="Times New Roman"/>
          <w:sz w:val="13"/>
          <w:szCs w:val="13"/>
          <w:color w:val="auto"/>
        </w:rPr>
      </w:pPr>
    </w:p>
    <w:p>
      <w:pPr>
        <w:ind w:left="640" w:right="839" w:firstLine="307"/>
        <w:spacing w:after="0" w:line="267" w:lineRule="auto"/>
        <w:tabs>
          <w:tab w:leader="none" w:pos="112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material Taxes (other Encumbrances described in clause (i) of the definition of “Permitted Encumbrances”) upon any of the assets of Obsidian or any of its Subsidiaries.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2" w:name="page63"/>
    <w:bookmarkEnd w:id="62"/>
    <w:p>
      <w:pPr>
        <w:ind w:left="640" w:right="639" w:firstLine="307"/>
        <w:spacing w:after="0" w:line="249" w:lineRule="auto"/>
        <w:tabs>
          <w:tab w:leader="none" w:pos="1121"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deficiencies for a material amount of Taxes with respect to Obsidian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Obsidian or any of its Subsidiaries. Neither Obsidian nor any of its Subsidiaries has waived any statute of limitations in respect of material Taxes or agreed to any extension of time with respect to a material Tax assessment or deficiency.</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55" w:lineRule="auto"/>
        <w:tabs>
          <w:tab w:leader="none" w:pos="110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is a party to any Tax allocation, Tax sharing or similar agreement (including indemnity arrangements), other than customary indemnification provisions in commercial Contracts entered into in the Ordinary Course of Business with vendors, customers, lenders, or landlords (an “</w:t>
      </w:r>
      <w:r>
        <w:rPr>
          <w:rFonts w:ascii="Times New Roman" w:cs="Times New Roman" w:eastAsia="Times New Roman" w:hAnsi="Times New Roman"/>
          <w:sz w:val="13"/>
          <w:szCs w:val="13"/>
          <w:b w:val="1"/>
          <w:bCs w:val="1"/>
          <w:color w:val="auto"/>
        </w:rPr>
        <w:t>Ordinary Course Agreement</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jc w:val="both"/>
        <w:ind w:left="640" w:right="659" w:firstLine="307"/>
        <w:spacing w:after="0" w:line="251" w:lineRule="auto"/>
        <w:tabs>
          <w:tab w:leader="none" w:pos="112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has been a member of an affiliated group filing a consolidated U.S. federal income Tax Return (other than a group the common parent of which is Obsidian). Neither Obsidian nor any of its Subsidiaries has any material Liability for the Taxes of any Person (other than Obsidian) under Treasury Regulations Section 1.1502-6 (or any similar provision of state, local, or foreign law), as a transferee or successor, or by Contract (other than an Ordinary Course Agreement).</w:t>
      </w:r>
    </w:p>
    <w:p>
      <w:pPr>
        <w:spacing w:after="0" w:line="132"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12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22" w:lineRule="exact"/>
        <w:rPr>
          <w:rFonts w:ascii="Times New Roman" w:cs="Times New Roman" w:eastAsia="Times New Roman" w:hAnsi="Times New Roman"/>
          <w:sz w:val="13"/>
          <w:szCs w:val="13"/>
          <w:color w:val="auto"/>
        </w:rPr>
      </w:pPr>
    </w:p>
    <w:p>
      <w:pPr>
        <w:ind w:left="640" w:right="819" w:firstLine="307"/>
        <w:spacing w:after="0" w:line="26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has entered into any transaction identified as a “reportable transaction” for purposes of Treasury Regulations Section 1.6011-4(b)(2).</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will be required to include any item of income or gain in, or exclude any item of deduction or loss from, taxable income for any taxable period (or portion thereof) ending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amount, advance payments or deferred revenue received or accrued on or prior to the Closing Date; or (v) intercompany transaction or excess loss amount described in Treasury Regulations under Section 1502 of the Code (or any corresponding or similar provision of state, local or foreign income Tax Law).</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2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3.16(k)</w:t>
      </w:r>
      <w:r>
        <w:rPr>
          <w:rFonts w:ascii="Times New Roman" w:cs="Times New Roman" w:eastAsia="Times New Roman" w:hAnsi="Times New Roman"/>
          <w:sz w:val="13"/>
          <w:szCs w:val="13"/>
          <w:color w:val="auto"/>
        </w:rPr>
        <w:t xml:space="preserve"> of the Obsidian Disclosure Schedule sets forth the entity classification of Obsidian and each of its Subsidiaries for U.S. federal income tax purposes. Neither Obsidian nor any of its Subsidiaries has made an election or taken any other action to change its federal and state income tax classification from such classification.</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5"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has taken or knowingly failed to take any action, nor to the Knowledge of Obsidian, are there any facts or circumstances, in each case, that would reasonably be expected to prevent or impede the Mergers from qualifying for the Intended Tax Treatment.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3" w:name="page64"/>
    <w:bookmarkEnd w:id="6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3.17 </w:t>
      </w:r>
      <w:r>
        <w:rPr>
          <w:rFonts w:ascii="Times New Roman" w:cs="Times New Roman" w:eastAsia="Times New Roman" w:hAnsi="Times New Roman"/>
          <w:sz w:val="13"/>
          <w:szCs w:val="13"/>
          <w:u w:val="single" w:color="auto"/>
          <w:color w:val="auto"/>
        </w:rPr>
        <w:t>Employee and Labor Matters;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7"/>
        <w:spacing w:after="0" w:line="279" w:lineRule="auto"/>
        <w:tabs>
          <w:tab w:leader="none" w:pos="1121"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3.17(a)</w:t>
      </w:r>
      <w:r>
        <w:rPr>
          <w:rFonts w:ascii="Times New Roman" w:cs="Times New Roman" w:eastAsia="Times New Roman" w:hAnsi="Times New Roman"/>
          <w:sz w:val="12"/>
          <w:szCs w:val="12"/>
          <w:color w:val="auto"/>
        </w:rPr>
        <w:t xml:space="preserve"> of the Obsidian Disclosure Schedule contains a complete and accurate list of all Obsidian employees as of the date of this Agreement, setting forth for each employee: job title; classification as exempt or non-exempt for wage and hour purposes; annual base salary, hourly rate or other rates of compensation; target bonus opportunity; full-time or part-time status; date of hire; business location; status (i.e., active or inactive and if inactive, the type of leave and estimated duration); and any visa or work permit status and the date of expiration, if applicable.</w:t>
      </w:r>
    </w:p>
    <w:p>
      <w:pPr>
        <w:spacing w:after="0" w:line="116" w:lineRule="exact"/>
        <w:rPr>
          <w:rFonts w:ascii="Times New Roman" w:cs="Times New Roman" w:eastAsia="Times New Roman" w:hAnsi="Times New Roman"/>
          <w:sz w:val="12"/>
          <w:szCs w:val="12"/>
          <w:color w:val="auto"/>
        </w:rPr>
      </w:pPr>
    </w:p>
    <w:p>
      <w:pPr>
        <w:ind w:left="640" w:right="699" w:firstLine="307"/>
        <w:spacing w:after="0" w:line="279" w:lineRule="auto"/>
        <w:tabs>
          <w:tab w:leader="none" w:pos="1128"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3.17(b)</w:t>
      </w:r>
      <w:r>
        <w:rPr>
          <w:rFonts w:ascii="Times New Roman" w:cs="Times New Roman" w:eastAsia="Times New Roman" w:hAnsi="Times New Roman"/>
          <w:sz w:val="12"/>
          <w:szCs w:val="12"/>
          <w:color w:val="auto"/>
        </w:rPr>
        <w:t xml:space="preserve"> of the Obsidian Disclosure Schedule contains a complete and accurate list of all of the individual independent contractors, consultants, temporary employees, leased employees or other agents employed or used by Obsidian and classified by Obsidian as other than employees, or compensated other than through wages paid by Obsidian through Obsidian’s payroll department (“</w:t>
      </w:r>
      <w:r>
        <w:rPr>
          <w:rFonts w:ascii="Times New Roman" w:cs="Times New Roman" w:eastAsia="Times New Roman" w:hAnsi="Times New Roman"/>
          <w:sz w:val="12"/>
          <w:szCs w:val="12"/>
          <w:b w:val="1"/>
          <w:bCs w:val="1"/>
          <w:color w:val="auto"/>
        </w:rPr>
        <w:t>Obsidian Contingent Workers</w:t>
      </w:r>
      <w:r>
        <w:rPr>
          <w:rFonts w:ascii="Times New Roman" w:cs="Times New Roman" w:eastAsia="Times New Roman" w:hAnsi="Times New Roman"/>
          <w:sz w:val="12"/>
          <w:szCs w:val="12"/>
          <w:color w:val="auto"/>
        </w:rPr>
        <w:t>”), showing for each Obsidian Contingent Worker such individual’s engagement date, role in the business, work location, and fee or compensation arrangements.</w:t>
      </w:r>
    </w:p>
    <w:p>
      <w:pPr>
        <w:spacing w:after="0" w:line="116" w:lineRule="exact"/>
        <w:rPr>
          <w:rFonts w:ascii="Times New Roman" w:cs="Times New Roman" w:eastAsia="Times New Roman" w:hAnsi="Times New Roman"/>
          <w:sz w:val="12"/>
          <w:szCs w:val="12"/>
          <w:color w:val="auto"/>
        </w:rPr>
      </w:pPr>
    </w:p>
    <w:p>
      <w:pPr>
        <w:ind w:left="640" w:right="699" w:firstLine="307"/>
        <w:spacing w:after="0" w:line="251" w:lineRule="auto"/>
        <w:tabs>
          <w:tab w:leader="none" w:pos="1121"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is a party to, bound by the terms of, or has a duty to bargain under, any collective bargaining agreement or other Contract with a labor union, works council or labor organization representing any Obsidian Associate, and there are no labor unions, works council or labor organizations representing or, to the Knowledge of Obsidian, purporting to represent or seeking to represent any Obsidian Associates, including through the filing of a petition for representation election.</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3.17(d)</w:t>
      </w:r>
      <w:r>
        <w:rPr>
          <w:rFonts w:ascii="Times New Roman" w:cs="Times New Roman" w:eastAsia="Times New Roman" w:hAnsi="Times New Roman"/>
          <w:sz w:val="13"/>
          <w:szCs w:val="13"/>
          <w:color w:val="auto"/>
        </w:rPr>
        <w:t xml:space="preserve"> of the Obsidian Disclosure Schedule lists all material Obsidian Employee Plans.</w:t>
      </w:r>
    </w:p>
    <w:p>
      <w:pPr>
        <w:spacing w:after="0" w:line="153"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applicable with respect to each material Obsidian Employee Plan, Obsidian has made available to Galera, true and complete copies of</w:t>
      </w:r>
    </w:p>
    <w:p>
      <w:pPr>
        <w:spacing w:after="0" w:line="15" w:lineRule="exact"/>
        <w:rPr>
          <w:rFonts w:ascii="Times New Roman" w:cs="Times New Roman" w:eastAsia="Times New Roman" w:hAnsi="Times New Roman"/>
          <w:sz w:val="13"/>
          <w:szCs w:val="13"/>
          <w:color w:val="auto"/>
        </w:rPr>
      </w:pPr>
    </w:p>
    <w:p>
      <w:pPr>
        <w:ind w:left="640" w:right="659" w:hanging="3"/>
        <w:spacing w:after="0" w:line="244" w:lineRule="auto"/>
        <w:tabs>
          <w:tab w:leader="none" w:pos="791"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plan document, including all amendments thereto, and in the case of an unwritten Employee Plan, a written description of all material terms thereof, (ii) 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 reports required to be filed with any Governmental Authority (e.g.,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107"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Obsidian, nothing has occurred that would reasonably be expected to cause the loss of the qualified status of any such Obsidian Employee Plan or the Tax exempt status of any related trust.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4" w:name="page65"/>
    <w:bookmarkEnd w:id="64"/>
    <w:p>
      <w:pPr>
        <w:ind w:left="640" w:right="699" w:firstLine="307"/>
        <w:spacing w:after="0" w:line="248" w:lineRule="auto"/>
        <w:tabs>
          <w:tab w:leader="none" w:pos="112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Obsidian Employee Plan has been established, maintained and operated in compliance, in all material respects, with its terms and all applicable Laws, including, without limitation, the Code and ERISA. No Legal Proceeding (other than those relating to routine claims for benefits) is pending or, to the Knowledge of Obsidian, threatened with respect to any Obsidian Employee Plan. All material payments and/or contributions required to have been made with respect to all Obsidian Employee Plans have been made or accrued on the financial statements of Obsidian in accordance with the terms of the applicable Obsidian Employee Plan and applicable Law and neither Obsidian nor any Obsidian ERISA Affiliate has any material Liability for any such unpaid contributions with respect to any Obsidian Employee Plan.</w:t>
      </w:r>
    </w:p>
    <w:p>
      <w:pPr>
        <w:spacing w:after="0" w:line="134" w:lineRule="exact"/>
        <w:rPr>
          <w:rFonts w:ascii="Times New Roman" w:cs="Times New Roman" w:eastAsia="Times New Roman" w:hAnsi="Times New Roman"/>
          <w:sz w:val="13"/>
          <w:szCs w:val="13"/>
          <w:color w:val="auto"/>
        </w:rPr>
      </w:pPr>
    </w:p>
    <w:p>
      <w:pPr>
        <w:ind w:left="640" w:right="759" w:firstLine="307"/>
        <w:spacing w:after="0" w:line="279" w:lineRule="auto"/>
        <w:tabs>
          <w:tab w:leader="none" w:pos="1128"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Obsidian,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w:t>
      </w:r>
    </w:p>
    <w:p>
      <w:pPr>
        <w:spacing w:after="0" w:line="116" w:lineRule="exact"/>
        <w:rPr>
          <w:rFonts w:ascii="Times New Roman" w:cs="Times New Roman" w:eastAsia="Times New Roman" w:hAnsi="Times New Roman"/>
          <w:sz w:val="12"/>
          <w:szCs w:val="12"/>
          <w:color w:val="auto"/>
        </w:rPr>
      </w:pPr>
    </w:p>
    <w:p>
      <w:pPr>
        <w:jc w:val="both"/>
        <w:ind w:left="640" w:right="679" w:firstLine="307"/>
        <w:spacing w:after="0" w:line="255" w:lineRule="auto"/>
        <w:tabs>
          <w:tab w:leader="none" w:pos="11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Obsidian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w:t>
      </w:r>
    </w:p>
    <w:p>
      <w:pPr>
        <w:spacing w:after="0" w:line="130"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Obsidian Employee Plan is subject to any law of a foreign jurisdiction outside of the United States.</w:t>
      </w:r>
    </w:p>
    <w:p>
      <w:pPr>
        <w:spacing w:after="0" w:line="153" w:lineRule="exact"/>
        <w:rPr>
          <w:rFonts w:ascii="Times New Roman" w:cs="Times New Roman" w:eastAsia="Times New Roman" w:hAnsi="Times New Roman"/>
          <w:sz w:val="13"/>
          <w:szCs w:val="13"/>
          <w:color w:val="auto"/>
        </w:rPr>
      </w:pPr>
    </w:p>
    <w:p>
      <w:pPr>
        <w:ind w:left="640" w:right="799" w:firstLine="307"/>
        <w:spacing w:after="0" w:line="251" w:lineRule="auto"/>
        <w:tabs>
          <w:tab w:leader="none" w:pos="112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Obsidian Associate as a result of the operation of Section 409A of the Code.</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48" w:lineRule="auto"/>
        <w:tabs>
          <w:tab w:leader="none" w:pos="11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and its Subsidiaries are, and since January 1, 2023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an Obsidian Material Adverse Effect, there are no, and since January 1, 2023 there have been no, Legal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5" w:name="page66"/>
    <w:bookmarkEnd w:id="65"/>
    <w:p>
      <w:pPr>
        <w:ind w:left="640" w:right="8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Proceedings pending or, to the Knowledge of Obsidian, threatened against Obsidian or any of its Subsidiaries relating to any labor or employment matters or any Obsidian Associate. Obsidian is not a party to a conciliation agreement, consent decree or other agreement or Order with any federal, state, or local agency or Governmental Authority with respect to employment practices.</w:t>
      </w:r>
    </w:p>
    <w:p>
      <w:pPr>
        <w:spacing w:after="0" w:line="130" w:lineRule="exact"/>
        <w:rPr>
          <w:sz w:val="20"/>
          <w:szCs w:val="20"/>
          <w:color w:val="auto"/>
        </w:rPr>
      </w:pPr>
    </w:p>
    <w:p>
      <w:pPr>
        <w:ind w:left="640" w:right="879" w:firstLine="307"/>
        <w:spacing w:after="0" w:line="279" w:lineRule="auto"/>
        <w:tabs>
          <w:tab w:leader="none" w:pos="1163"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2023, (i) Obsidian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Obsidian or any of its Subsidiaries has been under any requirement or obligation to issue any such notification), or (iii) incurred any Liability or obligation under the WARN Act that remains unsatisfied.</w:t>
      </w:r>
    </w:p>
    <w:p>
      <w:pPr>
        <w:spacing w:after="0" w:line="116" w:lineRule="exact"/>
        <w:rPr>
          <w:rFonts w:ascii="Times New Roman" w:cs="Times New Roman" w:eastAsia="Times New Roman" w:hAnsi="Times New Roman"/>
          <w:sz w:val="12"/>
          <w:szCs w:val="12"/>
          <w:color w:val="auto"/>
        </w:rPr>
      </w:pPr>
    </w:p>
    <w:p>
      <w:pPr>
        <w:ind w:left="640" w:right="779" w:firstLine="307"/>
        <w:spacing w:after="0" w:line="255" w:lineRule="auto"/>
        <w:tabs>
          <w:tab w:leader="none" w:pos="1128"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there has not been, nor to the Knowledge of Obsidian has there been any threat of, any strike, slowdown, work stoppage, lockout, job action, union, organizing activity, question concerning representation or any similar activity or dispute, affecting Obsidian or its Subsidiaries.</w:t>
      </w:r>
    </w:p>
    <w:p>
      <w:pPr>
        <w:spacing w:after="0" w:line="130" w:lineRule="exact"/>
        <w:rPr>
          <w:rFonts w:ascii="Times New Roman" w:cs="Times New Roman" w:eastAsia="Times New Roman" w:hAnsi="Times New Roman"/>
          <w:sz w:val="13"/>
          <w:szCs w:val="13"/>
          <w:color w:val="auto"/>
        </w:rPr>
      </w:pPr>
    </w:p>
    <w:p>
      <w:pPr>
        <w:ind w:left="640" w:right="839" w:firstLine="307"/>
        <w:spacing w:after="0" w:line="255" w:lineRule="auto"/>
        <w:tabs>
          <w:tab w:leader="none" w:pos="1128"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agreement, plan or arrangement to which Obsidian or any of its Subsidiaries is a party or by which it is bound to make any payment or compensate any Obsidian Associate for Taxes incurred pursuant to the Code, including, but not limited to, Section 4999 or Section 409A of the Code.</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74" w:lineRule="auto"/>
        <w:tabs>
          <w:tab w:leader="none" w:pos="1128"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execution and delivery of this Agreement, the shareholder approval of this Agreement, or the consummation of the Contemplated Transactions (either alone or in conjunction with any other event, including without limitation, a termination of employment) could result in any</w:t>
      </w:r>
    </w:p>
    <w:p>
      <w:pPr>
        <w:spacing w:after="0" w:line="1" w:lineRule="exact"/>
        <w:rPr>
          <w:rFonts w:ascii="Times New Roman" w:cs="Times New Roman" w:eastAsia="Times New Roman" w:hAnsi="Times New Roman"/>
          <w:sz w:val="12"/>
          <w:szCs w:val="12"/>
          <w:color w:val="auto"/>
        </w:rPr>
      </w:pPr>
    </w:p>
    <w:p>
      <w:pPr>
        <w:ind w:left="640" w:right="699" w:hanging="3"/>
        <w:spacing w:after="0" w:line="244" w:lineRule="auto"/>
        <w:tabs>
          <w:tab w:leader="none" w:pos="791"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or benefit (including severance, forgiveness of indebtedness or otherwise) becoming due to Obsidian Associate, (ii) increase in any benefits or the compensation payable under any Obsidian Employee Plan, (iii) acceleration of the time of payment, funding or vesting of any such compensation or benefits or any loan forgiveness, (iv) restriction on the right of Obsidian or any of its Subsidiaries or, after the consummation of Contemplated Transactions, the Surviving Corporation, to merge, amend, terminate or transfer any Obsidian Employee Plan, or (v) “parachute payment” (within the meaning of Section 280G of the Code).</w:t>
      </w:r>
    </w:p>
    <w:p>
      <w:pPr>
        <w:spacing w:after="0" w:line="137"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 xml:space="preserve">3.18 </w:t>
      </w:r>
      <w:r>
        <w:rPr>
          <w:rFonts w:ascii="Times New Roman" w:cs="Times New Roman" w:eastAsia="Times New Roman" w:hAnsi="Times New Roman"/>
          <w:sz w:val="12"/>
          <w:szCs w:val="12"/>
          <w:u w:val="single" w:color="auto"/>
          <w:color w:val="auto"/>
        </w:rPr>
        <w:t>Environmental Matters</w:t>
      </w:r>
      <w:r>
        <w:rPr>
          <w:rFonts w:ascii="Times New Roman" w:cs="Times New Roman" w:eastAsia="Times New Roman" w:hAnsi="Times New Roman"/>
          <w:sz w:val="12"/>
          <w:szCs w:val="12"/>
          <w:color w:val="auto"/>
        </w:rPr>
        <w:t>. Since January 1, 2023, Obsidian and each of its Subsidiaries has complied with all applicable Environmental Laws, which compliance includes the possession by Obsidian of all permits and other Governmental Authorizations required under applicable Environmental Laws and compliance with the terms and conditions thereof, except for any failure to be in compliance that, individually or in the aggregate, would not result in an Obsidian Material Adverse Effect. Neither Obsidian nor any of its Subsidiaries has received since January 1, 2023, any written notice or other communication (in writing or otherwise), whether from a Governmental Authority, citizens group, employee or otherwise, that alleges that Obsidian or any of its Subsidiaries is not in compliance with any Environmental Law, and, to the Knowledge of Obsidian, there are no circumstances that may prevent or interfere with Obsidian’s or any of its Subsidiaries’ compliance with any Environmental Law in the future, except where such failure to comply would not reasonably be expected to have an Obsidian Material Adverse Effect. To the Knowledge of Obsidian: (a) no current or prior owner of any property leased or controlled by Obsidian or any of its Subsidiaries has received since January 1, 2023, any written notice or other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6" w:name="page67"/>
    <w:bookmarkEnd w:id="66"/>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communication relating to property owned or leased at any time by Obsidian or any of its Subsidiaries, whether from a Governmental Authority, citizens group, employee or otherwise, that alleges that such current or prior owner or Obsidian or any of its Subsidiaries is not in compliance with or violated any Environmental Law relating to such property and (b) neither Obsidian nor any of its Subsidiaries has any material Liability under any Environmental Law.</w:t>
      </w:r>
    </w:p>
    <w:p>
      <w:pPr>
        <w:spacing w:after="0" w:line="133"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Obsidian has made available to Galera accurate and complete copies of all material insurance policies and all material self-insurance programs and arrangements relating to the business, assets, liabilities and operations of Obsidian and its Subsidiaries. Each of such insurance policies is in full force and effect and Obsidian and its Subsidiaries are in compliance in all material respects with the terms thereof. Other than customary end of policy notifications from insurance carriers, since January 1, 2023, neither Obsidian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Obsidian and its Subsidiaries has provided timely written notice to the appropriate insurance carrier(s) of each Legal Proceeding pending against Obsidian or such Subsidiary for which Obsidian or such Subsidiary has insurance coverage, and no such carrier has issued a denial of coverage or a reservation of rights with respect to any such Legal Proceeding, or informed Obsidian of its intent to do so.</w:t>
      </w:r>
    </w:p>
    <w:p>
      <w:pPr>
        <w:spacing w:after="0" w:line="137"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Transactions with Affiliates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of the Obsidian Disclosure Schedule describes any material transactions or relationships, since January 1, 2023, between, on one hand, Obsidian and, on the other hand, any (a) executive officer or director of Obsidian or any of such executive officer’s or director’s immediate family members, (b) owner of more than five percent of the voting power of the outstanding shares of Obsidian Common Stock or (c) to the Knowledge of Obsidian, any “related person” (within the meaning of Item 404 of Regulation S-K under the Securities Act) of any such officer, director or owner (other than Obsidian) in the case of each of (a), (b) or (c) that is of the type that would be required to be disclosed under Item 404 of Regulation S-K under the Securities Act.</w:t>
      </w:r>
    </w:p>
    <w:p>
      <w:pPr>
        <w:spacing w:after="0" w:line="135" w:lineRule="exact"/>
        <w:rPr>
          <w:sz w:val="20"/>
          <w:szCs w:val="20"/>
          <w:color w:val="auto"/>
        </w:rPr>
      </w:pPr>
    </w:p>
    <w:p>
      <w:pPr>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3.21 </w:t>
      </w:r>
      <w:r>
        <w:rPr>
          <w:rFonts w:ascii="Times New Roman" w:cs="Times New Roman" w:eastAsia="Times New Roman" w:hAnsi="Times New Roman"/>
          <w:sz w:val="13"/>
          <w:szCs w:val="13"/>
          <w:u w:val="single" w:color="auto"/>
          <w:color w:val="auto"/>
        </w:rPr>
        <w:t>No Financial Advisors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of the Obsidian Disclosure Schedule, no broker, finder or investment banker is entitled to any brokerage fee, finder’s fee, opinion fee, success fee, transaction fee or other fee or commission in connection with the Contemplated Transactions based upon arrangements made by or on behalf of Obsidian.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3.22 </w:t>
      </w:r>
      <w:r>
        <w:rPr>
          <w:rFonts w:ascii="Times New Roman" w:cs="Times New Roman" w:eastAsia="Times New Roman" w:hAnsi="Times New Roman"/>
          <w:sz w:val="13"/>
          <w:szCs w:val="13"/>
          <w:u w:val="single" w:color="auto"/>
          <w:color w:val="auto"/>
        </w:rPr>
        <w:t>Privacy and Data Security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7"/>
        <w:spacing w:after="0" w:line="247" w:lineRule="auto"/>
        <w:tabs>
          <w:tab w:leader="none" w:pos="112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and its Subsidiaries have complied with all applicable Privacy Laws and the applicable terms of any Obsidian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Obsidian or any of its Subsidiaries in connection with the operation of Obsidian’s and its Subsidiaries’ business, except for such noncompliance as has not had, and would not reasonably be expected to have, individually or in the aggregate, an Obsidian Material Adverse Effect. To the Knowledge of Obsidian, Obsidian has implemented and maintains reasonable written policies and procedures, satisfying the requirements of applicable Privacy Laws and Obsidian Contracts, concerning the privacy, security,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7" w:name="page68"/>
    <w:bookmarkEnd w:id="67"/>
    <w:p>
      <w:pPr>
        <w:ind w:left="640" w:right="73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collection and use of Personal Information (the “</w:t>
      </w:r>
      <w:r>
        <w:rPr>
          <w:rFonts w:ascii="Times New Roman" w:cs="Times New Roman" w:eastAsia="Times New Roman" w:hAnsi="Times New Roman"/>
          <w:sz w:val="13"/>
          <w:szCs w:val="13"/>
          <w:b w:val="1"/>
          <w:bCs w:val="1"/>
          <w:color w:val="auto"/>
        </w:rPr>
        <w:t>Obsidian Privacy Policies</w:t>
      </w:r>
      <w:r>
        <w:rPr>
          <w:rFonts w:ascii="Times New Roman" w:cs="Times New Roman" w:eastAsia="Times New Roman" w:hAnsi="Times New Roman"/>
          <w:sz w:val="13"/>
          <w:szCs w:val="13"/>
          <w:color w:val="auto"/>
        </w:rPr>
        <w:t>”) and has complied with the same, except for such noncompliance as has not to the Knowledge of Obsidian had, and would not reasonably be expected to have, individually or in the aggregate, an Obsidian Material Adverse Effect. To the Knowledge of Obsidian, as of the date hereof, no claims have been asserted or threatened against Obsidian by any Person alleging a violation of Privacy Laws, Obsidian Privacy Policies and/or the applicable terms of any Obsidian Contracts relating to privacy, security, collection or use of Personal Information of any individuals and Obsidian has not received written notice of any of the same. To the Knowledge of Obsidian, there have been no data security incidents, personal data breaches or other adverse events or incidents related to Personal Information or Obsidian data in the custody or control of Obsidian or any service provider acting on behalf of Obsidian, in each case where such incident, breach or event would result in a notification obligation to any Person under applicable law or pursuant to the terms of any Obsidian Contract.</w:t>
      </w:r>
    </w:p>
    <w:p>
      <w:pPr>
        <w:spacing w:after="0" w:line="134" w:lineRule="exact"/>
        <w:rPr>
          <w:sz w:val="20"/>
          <w:szCs w:val="20"/>
          <w:color w:val="auto"/>
        </w:rPr>
      </w:pPr>
    </w:p>
    <w:p>
      <w:pPr>
        <w:ind w:left="640" w:right="659" w:firstLine="307"/>
        <w:spacing w:after="0" w:line="247" w:lineRule="auto"/>
        <w:tabs>
          <w:tab w:leader="none" w:pos="1128"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technology assets and equipment of Obsidian and its Subsidiaries (collectively, “</w:t>
      </w:r>
      <w:r>
        <w:rPr>
          <w:rFonts w:ascii="Times New Roman" w:cs="Times New Roman" w:eastAsia="Times New Roman" w:hAnsi="Times New Roman"/>
          <w:sz w:val="13"/>
          <w:szCs w:val="13"/>
          <w:b w:val="1"/>
          <w:bCs w:val="1"/>
          <w:color w:val="auto"/>
        </w:rPr>
        <w:t>Obsidian IT Systems</w:t>
      </w:r>
      <w:r>
        <w:rPr>
          <w:rFonts w:ascii="Times New Roman" w:cs="Times New Roman" w:eastAsia="Times New Roman" w:hAnsi="Times New Roman"/>
          <w:sz w:val="13"/>
          <w:szCs w:val="13"/>
          <w:color w:val="auto"/>
        </w:rPr>
        <w:t>”) are adequate for, and operate and perform in all material respects as required in connection with the operation of the business of Obsidian and its Subsidiaries as currently conducted, and to the Knowledge of Obsidian, free and clear of all material bugs, errors, defects, Trojan horses, time bombs, malware and other corruptants. Obsidian and its Subsidiaries have implemented and maintain commercially reasonable physical, technical and administrative safeguards to protect Personal Information processed by or on behalf of Obsidian and its Subsidiaries, any other material confidential information and the integrity and security of Obsidian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w:t>
      </w:r>
    </w:p>
    <w:p>
      <w:pPr>
        <w:spacing w:after="0" w:line="136"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3.23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Obsidian hereby acknowledges and agrees that, except for the representations and warranties contained in this Agreement, neither Galera nor any other person on behalf of Galera makes any express or implied representation or warranty with respect to Galera or with respect to any other information provided to Obsidian, any of its stockholders or any of their respective Affiliates in connection with the Contemplated Transactions, and (subject to the express representations and warranties of Galera set forth in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(in each case as qualified and limited by the Galera Disclosure Schedule)) none of Obsidian, or any of its Representatives or stockholders, has relied on any such information (including the accuracy or completeness thereof).</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GALERA</w:t>
      </w:r>
    </w:p>
    <w:p>
      <w:pPr>
        <w:spacing w:after="0" w:line="139"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Except (i) as set forth in the written disclosure schedule delivered by Galera to Obsidian (the “</w:t>
      </w:r>
      <w:r>
        <w:rPr>
          <w:rFonts w:ascii="Times New Roman" w:cs="Times New Roman" w:eastAsia="Times New Roman" w:hAnsi="Times New Roman"/>
          <w:sz w:val="13"/>
          <w:szCs w:val="13"/>
          <w:b w:val="1"/>
          <w:bCs w:val="1"/>
          <w:color w:val="auto"/>
        </w:rPr>
        <w:t>Galera Disclosure Schedule</w:t>
      </w:r>
      <w:r>
        <w:rPr>
          <w:rFonts w:ascii="Times New Roman" w:cs="Times New Roman" w:eastAsia="Times New Roman" w:hAnsi="Times New Roman"/>
          <w:sz w:val="13"/>
          <w:szCs w:val="13"/>
          <w:color w:val="auto"/>
        </w:rPr>
        <w:t xml:space="preserve">”) or (ii) as disclosed in the Galera SEC Documents filed with the SEC on or before the day that is one (1) Business Day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Galera SEC Documents shall not be deemed disclosed for purposes of </w:t>
      </w:r>
      <w:r>
        <w:rPr>
          <w:rFonts w:ascii="Times New Roman" w:cs="Times New Roman" w:eastAsia="Times New Roman" w:hAnsi="Times New Roman"/>
          <w:sz w:val="13"/>
          <w:szCs w:val="13"/>
          <w:u w:val="single" w:color="auto"/>
          <w:color w:val="auto"/>
        </w:rPr>
        <w:t>Sections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4.3</w:t>
      </w:r>
      <w:r>
        <w:rPr>
          <w:rFonts w:ascii="Times New Roman" w:cs="Times New Roman" w:eastAsia="Times New Roman" w:hAnsi="Times New Roman"/>
          <w:sz w:val="13"/>
          <w:szCs w:val="13"/>
          <w:color w:val="auto"/>
        </w:rPr>
        <w:t>, Galera represents and warrants to Obsidian as follows: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29" w:right="1440" w:bottom="1440" w:gutter="0" w:footer="0" w:header="0"/>
        </w:sectPr>
      </w:pPr>
    </w:p>
    <w:bookmarkStart w:id="68" w:name="page69"/>
    <w:bookmarkEnd w:id="6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 </w:t>
      </w:r>
      <w:r>
        <w:rPr>
          <w:rFonts w:ascii="Times New Roman" w:cs="Times New Roman" w:eastAsia="Times New Roman" w:hAnsi="Times New Roman"/>
          <w:sz w:val="13"/>
          <w:szCs w:val="13"/>
          <w:u w:val="single" w:color="auto"/>
          <w:color w:val="auto"/>
        </w:rPr>
        <w:t>Due Organization;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49" w:lineRule="auto"/>
        <w:tabs>
          <w:tab w:leader="none" w:pos="1121"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Galera’s Subsidiaries are directly or indirectly wholly owned by Galera.</w:t>
      </w:r>
    </w:p>
    <w:p>
      <w:pPr>
        <w:spacing w:after="0" w:line="134" w:lineRule="exact"/>
        <w:rPr>
          <w:rFonts w:ascii="Times New Roman" w:cs="Times New Roman" w:eastAsia="Times New Roman" w:hAnsi="Times New Roman"/>
          <w:sz w:val="13"/>
          <w:szCs w:val="13"/>
          <w:color w:val="auto"/>
        </w:rPr>
      </w:pPr>
    </w:p>
    <w:p>
      <w:pPr>
        <w:ind w:left="640" w:right="999" w:firstLine="307"/>
        <w:spacing w:after="0" w:line="251" w:lineRule="auto"/>
        <w:tabs>
          <w:tab w:leader="none" w:pos="112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Galera Material Adverse Effect.</w:t>
      </w:r>
    </w:p>
    <w:p>
      <w:pPr>
        <w:spacing w:after="0" w:line="132" w:lineRule="exact"/>
        <w:rPr>
          <w:rFonts w:ascii="Times New Roman" w:cs="Times New Roman" w:eastAsia="Times New Roman" w:hAnsi="Times New Roman"/>
          <w:sz w:val="13"/>
          <w:szCs w:val="13"/>
          <w:color w:val="auto"/>
        </w:rPr>
      </w:pPr>
    </w:p>
    <w:p>
      <w:pPr>
        <w:jc w:val="both"/>
        <w:ind w:left="640" w:right="779" w:firstLine="307"/>
        <w:spacing w:after="0" w:line="271" w:lineRule="auto"/>
        <w:tabs>
          <w:tab w:leader="none" w:pos="1121"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4.1(c)</w:t>
      </w:r>
      <w:r>
        <w:rPr>
          <w:rFonts w:ascii="Times New Roman" w:cs="Times New Roman" w:eastAsia="Times New Roman" w:hAnsi="Times New Roman"/>
          <w:sz w:val="12"/>
          <w:szCs w:val="12"/>
          <w:color w:val="auto"/>
        </w:rPr>
        <w:t xml:space="preserve"> of the Galera Disclosure Schedule, Galera has no Subsidiaries and Galera does not directly or indirectly own any capital stock of, or any equity ownership or profit sharing interest of any nature in, or control directly or indirectly, any other Entity. Galera is not and has not otherwise been, directly or indirectly, a party to, member of or participant in any partnership, joint venture or similar business entity.</w:t>
      </w:r>
    </w:p>
    <w:p>
      <w:pPr>
        <w:ind w:left="640" w:right="69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Galera has not agreed and is not obligated to make, nor is Galera bound by any Contract under which it may become obligated to make, any future investment in or capital contribution to any other Entity. Galera has not, at any time, been a general partner of, and has not otherwise been liable for any of the debts or other obligations of, any general partnership, limited partnership or other Entity.</w:t>
      </w:r>
    </w:p>
    <w:p>
      <w:pPr>
        <w:spacing w:after="0" w:line="136"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Organizational Documents</w:t>
      </w:r>
      <w:r>
        <w:rPr>
          <w:rFonts w:ascii="Times New Roman" w:cs="Times New Roman" w:eastAsia="Times New Roman" w:hAnsi="Times New Roman"/>
          <w:sz w:val="13"/>
          <w:szCs w:val="13"/>
          <w:color w:val="auto"/>
        </w:rPr>
        <w:t>. Galera has delivered to Obsidian accurate and complete copies of the Organizational Documents of Galera and its Subsidiaries. Neither Galera nor any of its Subsidiaries is in breach or violation of its Organizational Documents in any material respect.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Authority; Binding Nature of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71" w:lineRule="auto"/>
        <w:tabs>
          <w:tab w:leader="none" w:pos="1121"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Galera and its Subsidiaries has all necessary corporate power and authority to enter into and to perform its obligations under this Agreement and to consummate the Contemplated Transactions. The Galera Board (at meetings duly called and held or by written consent in lieu thereof in accordance with the Organizational Documents of Galera) has: (i) determined that the Contemplated Transactions are fair to, advisable and in the best interests of Galera and its stockholders, (ii) approved and declared advisable this Agreement and the Contemplated Transactions, and (iii) determined to recommend, upon the terms and subject to the conditions set forth in this Agreement, that the stockholders of Galera vote to approve the Galera Merger. This Agreement has been duly executed and delivered by Galera, and assuming the due authorization, execution and delivery by Obsidian, constitutes the legal, valid and binding obligation of Galera, enforceable against Galera, in accordance with its terms, subject to the Enforceability Exceptions.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69" w:name="page70"/>
    <w:bookmarkEnd w:id="69"/>
    <w:p>
      <w:pPr>
        <w:ind w:left="640" w:right="1099" w:firstLine="307"/>
        <w:spacing w:after="0" w:line="274" w:lineRule="auto"/>
        <w:tabs>
          <w:tab w:leader="none" w:pos="1128"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Parent Board has (i) determined that the Contemplated Transactions are fair to, advisable and in the best interests of Parent and its stockholders, (ii) approved and declared advisable this Agreement and the Contemplated Transactions, including the Stock Issuance, and</w:t>
      </w:r>
    </w:p>
    <w:p>
      <w:pPr>
        <w:spacing w:after="0" w:line="1" w:lineRule="exact"/>
        <w:rPr>
          <w:rFonts w:ascii="Times New Roman" w:cs="Times New Roman" w:eastAsia="Times New Roman" w:hAnsi="Times New Roman"/>
          <w:sz w:val="12"/>
          <w:szCs w:val="12"/>
          <w:color w:val="auto"/>
        </w:rPr>
      </w:pPr>
    </w:p>
    <w:p>
      <w:pPr>
        <w:ind w:left="860" w:hanging="223"/>
        <w:spacing w:after="0"/>
        <w:tabs>
          <w:tab w:leader="none" w:pos="86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to recommend, upon the terms and subject to the conditions set forth in this Agreement, that the sole stockholder of Parent vote to</w:t>
      </w:r>
    </w:p>
    <w:p>
      <w:pPr>
        <w:spacing w:after="0" w:line="2" w:lineRule="exact"/>
        <w:rPr>
          <w:rFonts w:ascii="Times New Roman" w:cs="Times New Roman" w:eastAsia="Times New Roman" w:hAnsi="Times New Roman"/>
          <w:sz w:val="13"/>
          <w:szCs w:val="13"/>
          <w:color w:val="auto"/>
        </w:rPr>
      </w:pPr>
    </w:p>
    <w:p>
      <w:pPr>
        <w:ind w:left="640" w:right="819" w:hanging="3"/>
        <w:spacing w:after="0" w:line="245" w:lineRule="auto"/>
        <w:tabs>
          <w:tab w:leader="none" w:pos="812"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 the Stock Issuance and (b) adopt this Agreement and thereby approve the Contemplated Transactions. This Agreement has been duly executed and delivered by Parent, and assuming the due authorization, execution and delivery by Galera and Obsidian, constitutes the legal, valid and binding obligation of Parent, enforceable against Parent, in accordance with its terms, subject to the Enforceability Exceptions.</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71" w:lineRule="auto"/>
        <w:tabs>
          <w:tab w:leader="none" w:pos="1121"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Obsidian Merger Sub Board and the Galera Merger Sub Board has each (i) determined that the Contemplated Transactions are fair to, advisable and in the best interests of its sole stockholder and Obsidian Merger Sub and Galera Merger Sub, respectively, (ii) approved and declared advisable this Agreement and the Contemplated Transactions, and (iii) determined to recommend, upon the terms and subject to the conditions set forth in this Agreement, that the sole stockholder of Obsidian Merger Sub and Galera Merger Sub, respectively, adopt this Agreement and thereby approve the Contemplated Transactions. This Agreement has been duly executed and delivered by Obsidian Merger Sub and Galera Merger Sub, and assuming the due authorization, execution and delivery by Parent, Galera and Obsidian, constitutes the legal, valid and binding obligation of Obsidian Merger Sub and Galera Merger Sub, respectively, enforceable against Parent, in accordance with its terms, subject to the Enforceability Exceptions.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49" w:lineRule="auto"/>
        <w:tabs>
          <w:tab w:leader="none" w:pos="111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Assuming the effectiveness of the Annual Meeting Galera Stockholder Vote, the affirmative vote (or written consent) of the holders of a majority of the shares of Galera Common Stock outstanding on the record date for the Galera Stockholder Written Consents (including, for the avoidance of doubt, any issued and outstanding Galera Common Stock after giving effect to the Galera Preferred Stock Conversion) and entitled to vote thereon, voting as a single class, is the only vote (or written consent) of the holders of any class or series of Galera capital stock necessary to adopt and approve this Agreement and approve the Contemplated Transactions (the “</w:t>
      </w:r>
      <w:r>
        <w:rPr>
          <w:rFonts w:ascii="Times New Roman" w:cs="Times New Roman" w:eastAsia="Times New Roman" w:hAnsi="Times New Roman"/>
          <w:sz w:val="13"/>
          <w:szCs w:val="13"/>
          <w:b w:val="1"/>
          <w:bCs w:val="1"/>
          <w:color w:val="auto"/>
        </w:rPr>
        <w:t>Required Galera Stockholder Approval</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1039" w:firstLine="307"/>
        <w:spacing w:after="0" w:line="255" w:lineRule="auto"/>
        <w:tabs>
          <w:tab w:leader="none" w:pos="112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vote or Consent of Parent as the sole stockholder of Obsidian Merger Sub and Galera Merger Sub is the only vote or consent of the holders of any class or series of capital stock of Obsidian Merger Sub and Galera Merger Sub necessary to approve the Mergers and adopt this Agreement, which Consent shall be given immediately following the execution of this Agreement.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0" w:name="page71"/>
    <w:bookmarkEnd w:id="7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4.5 </w:t>
      </w:r>
      <w:r>
        <w:rPr>
          <w:rFonts w:ascii="Times New Roman" w:cs="Times New Roman" w:eastAsia="Times New Roman" w:hAnsi="Times New Roman"/>
          <w:sz w:val="13"/>
          <w:szCs w:val="13"/>
          <w:u w:val="single" w:color="auto"/>
          <w:color w:val="auto"/>
        </w:rPr>
        <w:t>Non-Contravention;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7"/>
        <w:spacing w:after="0" w:line="255" w:lineRule="auto"/>
        <w:tabs>
          <w:tab w:leader="none" w:pos="1121"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obtaining the Required Galera Stockholder Approval and the filing of the Galera Certificate of Merger required by Delaware Law, neither (x) the execution, delivery or performance of this Agreement by Galera, nor (y) the consummation of the Contemplated Transactions, will directly or indirectly (with or without notice or lapse of time):</w:t>
      </w:r>
    </w:p>
    <w:p>
      <w:pPr>
        <w:spacing w:after="0" w:line="54"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of any of the provisions of the Organizational Documents of Galera or its Subsidiaries;</w:t>
      </w:r>
    </w:p>
    <w:p>
      <w:pPr>
        <w:spacing w:after="0" w:line="89" w:lineRule="exact"/>
        <w:rPr>
          <w:rFonts w:ascii="Times New Roman" w:cs="Times New Roman" w:eastAsia="Times New Roman" w:hAnsi="Times New Roman"/>
          <w:sz w:val="12"/>
          <w:szCs w:val="12"/>
          <w:color w:val="auto"/>
        </w:rPr>
      </w:pPr>
    </w:p>
    <w:p>
      <w:pPr>
        <w:ind w:left="940" w:right="739" w:firstLine="304"/>
        <w:spacing w:after="0" w:line="255" w:lineRule="auto"/>
        <w:tabs>
          <w:tab w:leader="none" w:pos="1423"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or give any Governmental Authority or other Person the right to challenge the Contemplated Transactions or to exercise any remedy or obtain any relief under, any Law or any Order to which Galera or its Subsidiaries, or any of the assets owned or used by Galera or its Subsidiaries, is subject;</w:t>
      </w:r>
    </w:p>
    <w:p>
      <w:pPr>
        <w:spacing w:after="0" w:line="54" w:lineRule="exact"/>
        <w:rPr>
          <w:rFonts w:ascii="Times New Roman" w:cs="Times New Roman" w:eastAsia="Times New Roman" w:hAnsi="Times New Roman"/>
          <w:sz w:val="13"/>
          <w:szCs w:val="13"/>
          <w:color w:val="auto"/>
        </w:rPr>
      </w:pPr>
    </w:p>
    <w:p>
      <w:pPr>
        <w:ind w:left="940" w:right="659" w:firstLine="304"/>
        <w:spacing w:after="0" w:line="255" w:lineRule="auto"/>
        <w:tabs>
          <w:tab w:leader="none" w:pos="1458"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any of the terms or requirements of, or give any Governmental Authority the right to revoke, withdraw, suspend, cancel, terminate or modify, any Governmental Authorization that is held by Galera or its Subsidiaries or that otherwise relates to the business of Galera, or any of the assets owned, leased or used by Galera;</w:t>
      </w:r>
    </w:p>
    <w:p>
      <w:pPr>
        <w:spacing w:after="0" w:line="54" w:lineRule="exact"/>
        <w:rPr>
          <w:rFonts w:ascii="Times New Roman" w:cs="Times New Roman" w:eastAsia="Times New Roman" w:hAnsi="Times New Roman"/>
          <w:sz w:val="13"/>
          <w:szCs w:val="13"/>
          <w:color w:val="auto"/>
        </w:rPr>
      </w:pPr>
    </w:p>
    <w:p>
      <w:pPr>
        <w:ind w:left="940" w:right="679" w:firstLine="304"/>
        <w:spacing w:after="0" w:line="249" w:lineRule="auto"/>
        <w:tabs>
          <w:tab w:leader="none" w:pos="1451"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or breach of, or result in a default under, any provision of any Galera Material Contract, or give any Person the right to: (A) declare a default or exercise any remedy under any Galera Material Contract, (B) any material payment, rebate, chargeback, penalty or change in delivery schedule under any such Galera Material Contract, (C) accelerate the maturity or performance of any Galera Material Contract or (D) cancel, terminate or modify any term of any Galera Material Contract, except in the case of any nonmaterial breach, default, penalty or modification; or</w:t>
      </w:r>
    </w:p>
    <w:p>
      <w:pPr>
        <w:spacing w:after="0" w:line="58" w:lineRule="exact"/>
        <w:rPr>
          <w:rFonts w:ascii="Times New Roman" w:cs="Times New Roman" w:eastAsia="Times New Roman" w:hAnsi="Times New Roman"/>
          <w:sz w:val="13"/>
          <w:szCs w:val="13"/>
          <w:color w:val="auto"/>
        </w:rPr>
      </w:pPr>
    </w:p>
    <w:p>
      <w:pPr>
        <w:ind w:left="940" w:right="859" w:firstLine="304"/>
        <w:spacing w:after="0" w:line="267" w:lineRule="auto"/>
        <w:tabs>
          <w:tab w:leader="none" w:pos="1416"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the imposition or creation of any Encumbrance upon or with respect to any asset owned or used by Galera or its Subsidiaries (except for Permitted Encumbrances).</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128"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(i) any Consent set forth on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xml:space="preserve"> of the Galera Disclosure Schedule under any Galera Contract, (ii) the Required Galera Stockholder Approval, (iii) the filing of the Galera Certificate of Merger with the Secretary of State of the State of Delaware pursuant to Delaware Law and (iv) such Consents, waivers, approvals, orders, authorizations, registrations, declarations and filings as may be required under applicable federal and state securities laws, neither Galera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121"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Galera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1" w:name="page72"/>
    <w:bookmarkEnd w:id="7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307"/>
        <w:spacing w:after="0" w:line="274" w:lineRule="auto"/>
        <w:tabs>
          <w:tab w:leader="none" w:pos="1121"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hereof, the authorized capital stock of Galera consists of (i) 200,000,000 shares of common stock, par value $0.001 per share (“</w:t>
      </w:r>
      <w:r>
        <w:rPr>
          <w:rFonts w:ascii="Times New Roman" w:cs="Times New Roman" w:eastAsia="Times New Roman" w:hAnsi="Times New Roman"/>
          <w:sz w:val="12"/>
          <w:szCs w:val="12"/>
          <w:b w:val="1"/>
          <w:bCs w:val="1"/>
          <w:color w:val="auto"/>
        </w:rPr>
        <w:t>Galera Common Stock</w:t>
      </w:r>
      <w:r>
        <w:rPr>
          <w:rFonts w:ascii="Times New Roman" w:cs="Times New Roman" w:eastAsia="Times New Roman" w:hAnsi="Times New Roman"/>
          <w:sz w:val="12"/>
          <w:szCs w:val="12"/>
          <w:color w:val="auto"/>
        </w:rPr>
        <w:t>”), of which 160,429,783 shares have been issued and are outstanding as of April 9, 2026 (the “</w:t>
      </w:r>
      <w:r>
        <w:rPr>
          <w:rFonts w:ascii="Times New Roman" w:cs="Times New Roman" w:eastAsia="Times New Roman" w:hAnsi="Times New Roman"/>
          <w:sz w:val="12"/>
          <w:szCs w:val="12"/>
          <w:b w:val="1"/>
          <w:bCs w:val="1"/>
          <w:color w:val="auto"/>
        </w:rPr>
        <w:t>Capitalization Date</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26"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10,000,000 shares of Galera Preferred Stock, par value $0.001 per share, of which (A) 200,000 shares have been designated Galera Series A Preferred Stock, of which no shares are issued and are outstanding as of the Capitalization Date, and (B) 119,318.285 shares have been designated Galera Series B Preferred Stock, of which 42,839.11 shares are issued and are outstanding as of the Capitalization Date. Galera does not hold any shares of its capital stock in its treasury. Upon receipt of, and subject in all respects to, approval of the Galera stockholders and filing of the necessary amendment to the Certificate of Incorporation with the Secretary of State of the State of Delaware, the authorized capital stock of Galera shall be increased to 400,000,000 shares of Galera Common Stock, with no change to the amount of authorized Galera Preferred Stock (the “</w:t>
      </w:r>
      <w:r>
        <w:rPr>
          <w:rFonts w:ascii="Times New Roman" w:cs="Times New Roman" w:eastAsia="Times New Roman" w:hAnsi="Times New Roman"/>
          <w:sz w:val="13"/>
          <w:szCs w:val="13"/>
          <w:b w:val="1"/>
          <w:bCs w:val="1"/>
          <w:color w:val="auto"/>
        </w:rPr>
        <w:t>Galera Authorized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Common Stock Increase</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28"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outstanding shares of Galera Common Stock have been duly authorized and validly issued, and are fully paid and nonassessable and are free of any Encumbrances other than under applicable securities Laws. None of the outstanding shares of Galera Common Stock is entitled or subject to any preemptive right, right of participation, right of maintenance or any similar right. None of the outstanding shares of Galera Common Stock is subject to any right of first refusal in favor of Galera. Except as contemplated herein, there is no Galera Contract relating to the voting or registration of, or restricting any Person from purchasing, selling, pledging or otherwise disposing of (or granting any option or similar right with respect to), any shares of Galera Common Stock. Galera is not under any obligation, nor is it bound by any Contract pursuant to which it may become obligated, to repurchase, redeem or otherwise acquire any outstanding shares of Galera Common Stock or other securities.</w:t>
      </w:r>
    </w:p>
    <w:p>
      <w:pPr>
        <w:spacing w:after="0" w:line="136" w:lineRule="exact"/>
        <w:rPr>
          <w:rFonts w:ascii="Times New Roman" w:cs="Times New Roman" w:eastAsia="Times New Roman" w:hAnsi="Times New Roman"/>
          <w:sz w:val="13"/>
          <w:szCs w:val="13"/>
          <w:color w:val="auto"/>
        </w:rPr>
      </w:pPr>
    </w:p>
    <w:p>
      <w:pPr>
        <w:ind w:left="640" w:right="699" w:firstLine="307"/>
        <w:spacing w:after="0" w:line="268" w:lineRule="auto"/>
        <w:tabs>
          <w:tab w:leader="none" w:pos="1121"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the Galera Equity Plans and the Galera Options granted thereunder and the Galera ESPP, Galera does not have any stock incentive plan or any other plan, program, agreement or arrangement providing for any equity or equity-based compensation for any Person and there were no other equity or equity-based awards outstanding as of the date of this Agreement. As of the Capitalization Date, Galera has reserved 16,487,209 shares of Galera Common Stock for issuance under the Galera Equity Plans, of which 10,599,059 shares are subject to outstanding Galera Options and 5,888,150 shares remain available for future grant pursuant to the Galera Equity Plans. </w:t>
      </w:r>
      <w:r>
        <w:rPr>
          <w:rFonts w:ascii="Times New Roman" w:cs="Times New Roman" w:eastAsia="Times New Roman" w:hAnsi="Times New Roman"/>
          <w:sz w:val="12"/>
          <w:szCs w:val="12"/>
          <w:u w:val="single" w:color="auto"/>
          <w:color w:val="auto"/>
        </w:rPr>
        <w:t>Section 4.6(c)</w:t>
      </w:r>
      <w:r>
        <w:rPr>
          <w:rFonts w:ascii="Times New Roman" w:cs="Times New Roman" w:eastAsia="Times New Roman" w:hAnsi="Times New Roman"/>
          <w:sz w:val="12"/>
          <w:szCs w:val="12"/>
          <w:color w:val="auto"/>
        </w:rPr>
        <w:t xml:space="preserve"> of the Galera Disclosure Schedule sets forth a true and complete list, as of April 9, 2026, of each outstanding Galera Option, including: (i) the name of the holder, (ii) the number of shares of Galera Common Stock subject to such Galera Option, (iii) the exercise price per share, as applicable, (iv) the date of grant, (v) the applicable vesting schedule, including any acceleration provisions and the number of vested and unvested shares, (vi) the expiration date, as applicable, and (vii) for Galera Options, whether the Galera Option is intended to be an “incentive stock option” (as defined in the Code) or a non-qualified stock option. Galera has made available to Obsidian accurate and complete copies of the following: (A) the standard form of agreement evidencing Galera Options; and (B) each agreement evidencing a Galera Option that does not conform in all material respects to the standard form agreement.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2" w:name="page73"/>
    <w:bookmarkEnd w:id="72"/>
    <w:p>
      <w:pPr>
        <w:ind w:left="640" w:right="679" w:firstLine="307"/>
        <w:spacing w:after="0" w:line="272" w:lineRule="auto"/>
        <w:tabs>
          <w:tab w:leader="none" w:pos="112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on </w:t>
      </w:r>
      <w:r>
        <w:rPr>
          <w:rFonts w:ascii="Times New Roman" w:cs="Times New Roman" w:eastAsia="Times New Roman" w:hAnsi="Times New Roman"/>
          <w:sz w:val="12"/>
          <w:szCs w:val="12"/>
          <w:u w:val="single" w:color="auto"/>
          <w:color w:val="auto"/>
        </w:rPr>
        <w:t>Section 4.6(c)</w:t>
      </w:r>
      <w:r>
        <w:rPr>
          <w:rFonts w:ascii="Times New Roman" w:cs="Times New Roman" w:eastAsia="Times New Roman" w:hAnsi="Times New Roman"/>
          <w:sz w:val="12"/>
          <w:szCs w:val="12"/>
          <w:color w:val="auto"/>
        </w:rPr>
        <w:t xml:space="preserve"> of the Galera Disclosure Schedule, there is no: (i) outstanding subscription, option, call, warrant or right (whether or not currently exercisable) to acquire any shares of the capital stock or other securities of Galera, (ii) outstanding security, instrument or obligation that is or may become convertible into or exchangeable for any shares of the capital stock or other securities of Galera, (iii) stockholder rights plan (or similar plan commonly referred to as a “poison pill”) or Contract under which Galera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Galera.</w:t>
      </w:r>
    </w:p>
    <w:p>
      <w:pPr>
        <w:spacing w:after="0" w:line="123" w:lineRule="exact"/>
        <w:rPr>
          <w:rFonts w:ascii="Times New Roman" w:cs="Times New Roman" w:eastAsia="Times New Roman" w:hAnsi="Times New Roman"/>
          <w:sz w:val="12"/>
          <w:szCs w:val="12"/>
          <w:color w:val="auto"/>
        </w:rPr>
      </w:pPr>
    </w:p>
    <w:p>
      <w:pPr>
        <w:ind w:left="640" w:right="659" w:firstLine="307"/>
        <w:spacing w:after="0" w:line="267" w:lineRule="auto"/>
        <w:tabs>
          <w:tab w:leader="none" w:pos="1114"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outstanding shares of Galera Common Stock and other securities of Galera have been issued and granted in material compliance with (i) all applicable securities laws and other applicable Law and (ii) all requirements set forth in applicable Contracts.</w:t>
      </w:r>
    </w:p>
    <w:p>
      <w:pPr>
        <w:spacing w:after="0" w:line="122" w:lineRule="exact"/>
        <w:rPr>
          <w:rFonts w:ascii="Times New Roman" w:cs="Times New Roman" w:eastAsia="Times New Roman" w:hAnsi="Times New Roman"/>
          <w:sz w:val="13"/>
          <w:szCs w:val="13"/>
          <w:color w:val="auto"/>
        </w:rPr>
      </w:pPr>
    </w:p>
    <w:p>
      <w:pPr>
        <w:ind w:left="640" w:right="699" w:firstLine="307"/>
        <w:spacing w:after="0" w:line="309" w:lineRule="auto"/>
        <w:tabs>
          <w:tab w:leader="none" w:pos="1107"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Parent, Obsidian Merger Sub or Galera Merger Sub owns any shares of Obsidian Capital Stock. None of Parent, Obsidian Merger Sub or Galera Merger Sub nor any of their respective Affiliates is an “interested stockholder” of Obsidian as defined in Section 203(c) of Delaware Law.</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SEC Filings; 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66" w:lineRule="auto"/>
        <w:tabs>
          <w:tab w:leader="none" w:pos="1121"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has filed or furnished, as applicable, on a timely basis all forms, statements, certifications, reports and documents required to be filed or furnished by it with the SEC under the Exchange Act or the Securities Act, or, in the case of any such filing not made on a timely basis, has otherwise complied with the applicable requirements of Rule 12b-25 under the Exchange Act and subsequently made such filing, since January 1, 2023 (the “</w:t>
      </w:r>
      <w:r>
        <w:rPr>
          <w:rFonts w:ascii="Times New Roman" w:cs="Times New Roman" w:eastAsia="Times New Roman" w:hAnsi="Times New Roman"/>
          <w:sz w:val="12"/>
          <w:szCs w:val="12"/>
          <w:b w:val="1"/>
          <w:bCs w:val="1"/>
          <w:color w:val="auto"/>
        </w:rPr>
        <w:t>Galera SEC Documents</w:t>
      </w:r>
      <w:r>
        <w:rPr>
          <w:rFonts w:ascii="Times New Roman" w:cs="Times New Roman" w:eastAsia="Times New Roman" w:hAnsi="Times New Roman"/>
          <w:sz w:val="12"/>
          <w:szCs w:val="12"/>
          <w:color w:val="auto"/>
        </w:rPr>
        <w:t>”). As of the time it was filed with the SEC (or, if amended or superseded by a filing prior to the date of this Agreement, then on the date of such filing), each of the Galera SEC Documents complied in all material respects with the applicable requirements of the Securities Act or the Exchange Act (as the case may be) and as of the time they were filed, none of the Galera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w:t>
      </w:r>
    </w:p>
    <w:p>
      <w:pPr>
        <w:spacing w:after="0" w:line="2" w:lineRule="exact"/>
        <w:rPr>
          <w:rFonts w:ascii="Times New Roman" w:cs="Times New Roman" w:eastAsia="Times New Roman" w:hAnsi="Times New Roman"/>
          <w:sz w:val="12"/>
          <w:szCs w:val="12"/>
          <w:color w:val="auto"/>
        </w:rPr>
      </w:pPr>
    </w:p>
    <w:p>
      <w:pPr>
        <w:jc w:val="both"/>
        <w:ind w:left="640" w:right="859" w:hanging="3"/>
        <w:spacing w:after="0" w:line="275" w:lineRule="auto"/>
        <w:tabs>
          <w:tab w:leader="none" w:pos="826"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 U.S.C. §1350 (Section 906 of the Sarbanes-Oxley Act) relating to the Galera SEC Documents (collectively, the “</w:t>
      </w:r>
      <w:r>
        <w:rPr>
          <w:rFonts w:ascii="Times New Roman" w:cs="Times New Roman" w:eastAsia="Times New Roman" w:hAnsi="Times New Roman"/>
          <w:sz w:val="12"/>
          <w:szCs w:val="12"/>
          <w:b w:val="1"/>
          <w:bCs w:val="1"/>
          <w:color w:val="auto"/>
        </w:rPr>
        <w:t>Galera Certifications</w:t>
      </w:r>
      <w:r>
        <w:rPr>
          <w:rFonts w:ascii="Times New Roman" w:cs="Times New Roman" w:eastAsia="Times New Roman" w:hAnsi="Times New Roman"/>
          <w:sz w:val="12"/>
          <w:szCs w:val="12"/>
          <w:color w:val="auto"/>
        </w:rPr>
        <w:t xml:space="preserve">”) are accurate and complete and comply as to form and content with all applicable Laws. As used in this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the term “file” and variations thereof shall be broadly construed to include any manner in which a document or information is furnished, supplied or otherwise made available to the SEC.</w:t>
      </w:r>
    </w:p>
    <w:p>
      <w:pPr>
        <w:spacing w:after="0" w:line="119" w:lineRule="exact"/>
        <w:rPr>
          <w:rFonts w:ascii="Times New Roman" w:cs="Times New Roman" w:eastAsia="Times New Roman" w:hAnsi="Times New Roman"/>
          <w:sz w:val="12"/>
          <w:szCs w:val="12"/>
          <w:color w:val="auto"/>
        </w:rPr>
      </w:pPr>
    </w:p>
    <w:p>
      <w:pPr>
        <w:ind w:left="640" w:right="679" w:firstLine="307"/>
        <w:spacing w:after="0" w:line="249" w:lineRule="auto"/>
        <w:tabs>
          <w:tab w:leader="none" w:pos="1128"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statements (including any related notes) contained or incorporated by reference in the Galera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are subject to normal and recurring year-end adjustments that are not reasonably expected to be material in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3" w:name="page74"/>
    <w:bookmarkEnd w:id="73"/>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amount) applied on a consistent basis unless otherwise noted therein throughout the periods indicated and (iii) fairly present, in all material respects, the financial position of Galera as of the respective dates thereof and the results of operations and cash flows of Galera for the periods covered thereby. Other than as expressly disclosed in the Galera SEC Documents filed prior to the date hereof, there has been no material change in Galera’s accounting methods or principles that would be required to be disclosed in Galera’s financial statements in accordance with GAAP. The books of account and other financial records of Galera and each of its Subsidiaries are true and complete in all material respects.</w:t>
      </w:r>
    </w:p>
    <w:p>
      <w:pPr>
        <w:spacing w:after="0" w:line="134" w:lineRule="exact"/>
        <w:rPr>
          <w:sz w:val="20"/>
          <w:szCs w:val="20"/>
          <w:color w:val="auto"/>
        </w:rPr>
      </w:pPr>
    </w:p>
    <w:p>
      <w:pPr>
        <w:jc w:val="both"/>
        <w:ind w:left="640" w:right="679" w:firstLine="307"/>
        <w:spacing w:after="0" w:line="251" w:lineRule="auto"/>
        <w:tabs>
          <w:tab w:leader="none" w:pos="112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Galera’s auditor has at all times since the date of enactment of the Sarbanes-Oxley Act been: (i) a registered public accounting firm (as defined in Section 2(a)(12) of the Sarbanes-Oxley Act), (ii) to the Knowledge of Galera, “independent” with respect to Galera within the meaning of Regulation S-X under the Exchange Act and (iii) to the Knowledge of Galera, in compliance with subsections (g) through (l) of Section 10A of the Exchange Act and the rules and regulations promulgated by the SEC and the PCAOB thereunder.</w:t>
      </w:r>
    </w:p>
    <w:p>
      <w:pPr>
        <w:spacing w:after="0" w:line="132" w:lineRule="exact"/>
        <w:rPr>
          <w:rFonts w:ascii="Times New Roman" w:cs="Times New Roman" w:eastAsia="Times New Roman" w:hAnsi="Times New Roman"/>
          <w:sz w:val="13"/>
          <w:szCs w:val="13"/>
          <w:color w:val="auto"/>
        </w:rPr>
      </w:pPr>
    </w:p>
    <w:p>
      <w:pPr>
        <w:jc w:val="both"/>
        <w:ind w:left="640" w:right="739" w:firstLine="307"/>
        <w:spacing w:after="0" w:line="255" w:lineRule="auto"/>
        <w:tabs>
          <w:tab w:leader="none" w:pos="1128"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4.7(d)</w:t>
      </w:r>
      <w:r>
        <w:rPr>
          <w:rFonts w:ascii="Times New Roman" w:cs="Times New Roman" w:eastAsia="Times New Roman" w:hAnsi="Times New Roman"/>
          <w:sz w:val="13"/>
          <w:szCs w:val="13"/>
          <w:color w:val="auto"/>
        </w:rPr>
        <w:t xml:space="preserve"> of the Galera Disclosure Schedule, Galera has not received any comment letter from the SEC or the staff thereof or any correspondence from OTCQB Market or the staff thereof relating to the delisting or maintenance of listing of Galera Common Stock on the OTCQB Market. Galera has not disclosed any unresolved comments in the Galera SEC Documents.</w:t>
      </w:r>
    </w:p>
    <w:p>
      <w:pPr>
        <w:spacing w:after="0" w:line="130" w:lineRule="exact"/>
        <w:rPr>
          <w:rFonts w:ascii="Times New Roman" w:cs="Times New Roman" w:eastAsia="Times New Roman" w:hAnsi="Times New Roman"/>
          <w:sz w:val="13"/>
          <w:szCs w:val="13"/>
          <w:color w:val="auto"/>
        </w:rPr>
      </w:pPr>
    </w:p>
    <w:p>
      <w:pPr>
        <w:ind w:left="640" w:right="759" w:firstLine="307"/>
        <w:spacing w:after="0" w:line="286" w:lineRule="auto"/>
        <w:tabs>
          <w:tab w:leader="none" w:pos="1121"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have been no formal internal investigations regarding financial reporting or accounting policies and practices discussed with, reviewed by or initiated at the direction of the chief executive officer, chief financial officer, or general counsel of Galera, the Galera Board or any committee thereof, other than ordinary course audits or reviews of accounting policies and practices or internal controls required by the Sarbanes-Oxley Act.</w:t>
      </w:r>
    </w:p>
    <w:p>
      <w:pPr>
        <w:spacing w:after="0" w:line="113" w:lineRule="exact"/>
        <w:rPr>
          <w:rFonts w:ascii="Times New Roman" w:cs="Times New Roman" w:eastAsia="Times New Roman" w:hAnsi="Times New Roman"/>
          <w:sz w:val="12"/>
          <w:szCs w:val="12"/>
          <w:color w:val="auto"/>
        </w:rPr>
      </w:pPr>
    </w:p>
    <w:p>
      <w:pPr>
        <w:ind w:left="640" w:right="919" w:firstLine="307"/>
        <w:spacing w:after="0" w:line="309" w:lineRule="auto"/>
        <w:tabs>
          <w:tab w:leader="none" w:pos="110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4.7(f)</w:t>
      </w:r>
      <w:r>
        <w:rPr>
          <w:rFonts w:ascii="Times New Roman" w:cs="Times New Roman" w:eastAsia="Times New Roman" w:hAnsi="Times New Roman"/>
          <w:sz w:val="12"/>
          <w:szCs w:val="12"/>
          <w:color w:val="auto"/>
        </w:rPr>
        <w:t xml:space="preserve"> of the Galera Disclosure Schedule, Galera is in compliance in all material respects with the applicable provisions of the Sarbanes-Oxley Act, the Exchange Act and the applicable listing and governance rules and regulations of the OTCQB Market.</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69" w:lineRule="auto"/>
        <w:tabs>
          <w:tab w:leader="none" w:pos="112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maintains a system of internal control over financial reporting (as defined in Rules 13a-15(f) and 15d-l5(f)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Galera maintains records that in reasonable detail accurately and fairly reflect Galera’s transactions and dispositions of assets, (ii) that transactions are recorded as necessary to permit preparation of financial statements in accordance with GAAP, (iii) that receipts and expenditures are made only in accordance with authorizations of management and the Galera Board and (iv) regarding prevention or timely detection of the unauthorized acquisition, use or disposition of Galera’s assets that could have a material effect on Galera’s financial statements. Galera has evaluated the effectiveness of Galera’s internal control over financial reporting and, to the extent required by applicable Law, presented in any applicable Galera SEC Document that is a report on Form 10-K or Form 10-Q (or any amendment thereto) its conclusions about the effectiveness of the internal control over financial reporting as of the end of the period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4" w:name="page75"/>
    <w:bookmarkEnd w:id="74"/>
    <w:p>
      <w:pPr>
        <w:ind w:left="640" w:right="6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covered by such report or amendment based on such evaluation. Galera has disclosed to Galera’s auditors and the Audit Committee of the Galera Board (and made available to Galera a summary of the significant aspects of such disclosure) (A) all significant deficiencies and material weaknesses in the design or operation of internal control over financial reporting that are reasonably likely to adversely affect Galera’s ability to record, process, summarize and report financial information and (B) any known fraud, whether or not material, that involves management or other employees who have a significant role in Galera or its Subsidiaries’ internal control over financial reporting. Except as disclosed in the Galera SEC Documents filed prior to the date hereof, Galera’s internal control over financial reporting is effective and Galera has not identified any material weaknesses in the design or operation of Galera’s internal control over financial reporting.</w:t>
      </w:r>
    </w:p>
    <w:p>
      <w:pPr>
        <w:spacing w:after="0" w:line="136" w:lineRule="exact"/>
        <w:rPr>
          <w:sz w:val="20"/>
          <w:szCs w:val="20"/>
          <w:color w:val="auto"/>
        </w:rPr>
      </w:pPr>
    </w:p>
    <w:p>
      <w:pPr>
        <w:ind w:left="640" w:right="719" w:firstLine="307"/>
        <w:spacing w:after="0" w:line="248" w:lineRule="auto"/>
        <w:tabs>
          <w:tab w:leader="none" w:pos="112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Galera’s “disclosure controls and procedures” (as defined in Rules 13a-15(e) and 15d-15(e) of the Exchange Act) are designed to ensure that all information (both financial and nonfinancial) required to be disclosed by Galera in the reports that it files or submits under the Exchange Act is recorded, processed, summarized and reported within the time periods specified in the rules and forms of the SEC, and that all such information is accumulated and communicated to Galera’s principal executive officer and principal financial officer as appropriate to allow timely decisions regarding required disclosure and to make the Galera Certifications and such disclosure controls and procedures are effective. Galera has carried out evaluation of the effectiveness of its disclosure controls and procedures as required by Rule 13a-l5 of the Exchange Act.</w:t>
      </w:r>
    </w:p>
    <w:p>
      <w:pPr>
        <w:spacing w:after="0" w:line="134"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has not been and is not currently a “shell company” as defined under Section 12b-2 of the Exchange Act.</w:t>
      </w:r>
    </w:p>
    <w:p>
      <w:pPr>
        <w:spacing w:after="0" w:line="154"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 xml:space="preserve"> of the Galera Disclosure Schedule, since January 1, 2026, Galera and its Subsidiaries have conducted its business only in the Ordinary Course of Business (except for the execution and performance of this Agreement and the discussions, negotiations and transactions related thereto) and there has not been any (a) Galera Material Adverse Effect or (b) action, event or occurrence that would have required Consent of Obsidian pursuant to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of this Agreement had such action, event or occurrence taken place after the execution and delivery of this Agreement.</w:t>
      </w:r>
    </w:p>
    <w:p>
      <w:pPr>
        <w:spacing w:after="0" w:line="134" w:lineRule="exact"/>
        <w:rPr>
          <w:sz w:val="20"/>
          <w:szCs w:val="20"/>
          <w:color w:val="auto"/>
        </w:rPr>
      </w:pPr>
    </w:p>
    <w:p>
      <w:pPr>
        <w:ind w:left="640" w:right="679" w:firstLine="309"/>
        <w:spacing w:after="0" w:line="274" w:lineRule="auto"/>
        <w:rPr>
          <w:sz w:val="20"/>
          <w:szCs w:val="20"/>
          <w:color w:val="auto"/>
        </w:rPr>
      </w:pPr>
      <w:r>
        <w:rPr>
          <w:rFonts w:ascii="Times New Roman" w:cs="Times New Roman" w:eastAsia="Times New Roman" w:hAnsi="Times New Roman"/>
          <w:sz w:val="12"/>
          <w:szCs w:val="12"/>
          <w:color w:val="auto"/>
        </w:rPr>
        <w:t xml:space="preserve">4.9 </w:t>
      </w:r>
      <w:r>
        <w:rPr>
          <w:rFonts w:ascii="Times New Roman" w:cs="Times New Roman" w:eastAsia="Times New Roman" w:hAnsi="Times New Roman"/>
          <w:sz w:val="12"/>
          <w:szCs w:val="12"/>
          <w:u w:val="single" w:color="auto"/>
          <w:color w:val="auto"/>
        </w:rPr>
        <w:t>Absence of Undisclosed Liabilities</w:t>
      </w:r>
      <w:r>
        <w:rPr>
          <w:rFonts w:ascii="Times New Roman" w:cs="Times New Roman" w:eastAsia="Times New Roman" w:hAnsi="Times New Roman"/>
          <w:sz w:val="12"/>
          <w:szCs w:val="12"/>
          <w:color w:val="auto"/>
        </w:rPr>
        <w:t>. Neither Galera nor any of its Subsidiaries has any Liability of a type required to be reflected or reserved for on a balance sheet prepared in accordance with GAAP, except for: (a) Liabilities disclosed, reflected or reserved against in the Galera Balance Sheet,</w:t>
      </w:r>
    </w:p>
    <w:p>
      <w:pPr>
        <w:spacing w:after="0" w:line="1" w:lineRule="exact"/>
        <w:rPr>
          <w:sz w:val="20"/>
          <w:szCs w:val="20"/>
          <w:color w:val="auto"/>
        </w:rPr>
      </w:pPr>
    </w:p>
    <w:p>
      <w:pPr>
        <w:ind w:left="640" w:right="679" w:hanging="3"/>
        <w:spacing w:after="0" w:line="244" w:lineRule="auto"/>
        <w:tabs>
          <w:tab w:leader="none" w:pos="819"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normal and recurring current Liabilities that have been incurred by Galera or its Subsidiaries since the date of the Galera Balance Sheet in the Ordinary Course of Business (none of which relates to any breach of contract, breach of warranty, tort, infringement, or violation of Law), (c) Liabilities for performance of obligations of Galera or any of its Subsidiaries under Galera Contracts, (d) Liabilities incurred in connection with the Contemplated Transactions and the Securities Purchase Agreement and (e) Liabilities listed in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of the Galera Disclosure Schedule.</w:t>
      </w:r>
    </w:p>
    <w:p>
      <w:pPr>
        <w:spacing w:after="0" w:line="137"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Title to Assets</w:t>
      </w:r>
      <w:r>
        <w:rPr>
          <w:rFonts w:ascii="Times New Roman" w:cs="Times New Roman" w:eastAsia="Times New Roman" w:hAnsi="Times New Roman"/>
          <w:sz w:val="13"/>
          <w:szCs w:val="13"/>
          <w:color w:val="auto"/>
        </w:rPr>
        <w:t>. Each of Galera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Galera Balance Sheet and (b) all other tangible assets reflected in the books and records of Galera as being owned by Galera. All of such assets are owned or, in the case of leased assets, leased by Galera or any of its Subsidiaries free and clear of any Encumbrances, other than Permitted Encumbrances.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5" w:name="page76"/>
    <w:bookmarkEnd w:id="75"/>
    <w:p>
      <w:pPr>
        <w:ind w:left="640" w:right="67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4.11 </w:t>
      </w:r>
      <w:r>
        <w:rPr>
          <w:rFonts w:ascii="Times New Roman" w:cs="Times New Roman" w:eastAsia="Times New Roman" w:hAnsi="Times New Roman"/>
          <w:sz w:val="12"/>
          <w:szCs w:val="12"/>
          <w:u w:val="single" w:color="auto"/>
          <w:color w:val="auto"/>
        </w:rPr>
        <w:t>Real Property; Leasehold</w:t>
      </w:r>
      <w:r>
        <w:rPr>
          <w:rFonts w:ascii="Times New Roman" w:cs="Times New Roman" w:eastAsia="Times New Roman" w:hAnsi="Times New Roman"/>
          <w:sz w:val="12"/>
          <w:szCs w:val="12"/>
          <w:color w:val="auto"/>
        </w:rPr>
        <w:t>. Neither Galera nor any of its Subsidiaries owns or has ever owned any real property. Galera has made available to Obsidian (a) an accurate and complete list of all real properties with respect to which Galera directly or indirectly holds a valid leasehold interest as well as any other real estate that is in the possession of or leased by Galera or any of its Subsidiaries and (b) copies of all leases under which any such real property is possessed (the “</w:t>
      </w:r>
      <w:r>
        <w:rPr>
          <w:rFonts w:ascii="Times New Roman" w:cs="Times New Roman" w:eastAsia="Times New Roman" w:hAnsi="Times New Roman"/>
          <w:sz w:val="12"/>
          <w:szCs w:val="12"/>
          <w:b w:val="1"/>
          <w:bCs w:val="1"/>
          <w:color w:val="auto"/>
        </w:rPr>
        <w:t>Galera Real Estate Leases</w:t>
      </w:r>
      <w:r>
        <w:rPr>
          <w:rFonts w:ascii="Times New Roman" w:cs="Times New Roman" w:eastAsia="Times New Roman" w:hAnsi="Times New Roman"/>
          <w:sz w:val="12"/>
          <w:szCs w:val="12"/>
          <w:color w:val="auto"/>
        </w:rPr>
        <w:t>”), each of which is in full force and effect, with no existing material default thereunder.</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120" w:hanging="173"/>
        <w:spacing w:after="0"/>
        <w:tabs>
          <w:tab w:leader="none" w:pos="1120"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Galera Disclosure Schedule is an accurate, true and complete listing of all Galera Registered IP, including for each item</w:t>
      </w:r>
    </w:p>
    <w:p>
      <w:pPr>
        <w:spacing w:after="0" w:line="26" w:lineRule="exact"/>
        <w:rPr>
          <w:rFonts w:ascii="Times New Roman" w:cs="Times New Roman" w:eastAsia="Times New Roman" w:hAnsi="Times New Roman"/>
          <w:sz w:val="12"/>
          <w:szCs w:val="12"/>
          <w:color w:val="auto"/>
        </w:rPr>
      </w:pPr>
    </w:p>
    <w:p>
      <w:pPr>
        <w:ind w:left="640" w:right="679" w:hanging="3"/>
        <w:spacing w:after="0" w:line="243" w:lineRule="auto"/>
        <w:tabs>
          <w:tab w:leader="none" w:pos="791"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record owner(s) (and name of any other Person with an ownership interest in such item of Galera Registered IP and the nature of such ownership interest, if any), jurisdiction, status, and registration or application number of each item, as applicable, (ii) all filing, registration, issuance and grant dates and (iii) any actions that are required to be taken within 180 days of the date hereof for any Galera Registered IP, including the payment of any registration, maintenance or renewal fees or the filing of or response to any documents, applications or certificates, for the purposes of prosecuting, obtaining, perfecting, maintaining or renewing any Galera Registered IP. </w:t>
      </w:r>
      <w:r>
        <w:rPr>
          <w:rFonts w:ascii="Times New Roman" w:cs="Times New Roman" w:eastAsia="Times New Roman" w:hAnsi="Times New Roman"/>
          <w:sz w:val="13"/>
          <w:szCs w:val="13"/>
          <w:u w:val="single" w:color="auto"/>
          <w:color w:val="auto"/>
        </w:rPr>
        <w:t>Section 4.12(a)</w:t>
      </w:r>
      <w:r>
        <w:rPr>
          <w:rFonts w:ascii="Times New Roman" w:cs="Times New Roman" w:eastAsia="Times New Roman" w:hAnsi="Times New Roman"/>
          <w:sz w:val="13"/>
          <w:szCs w:val="13"/>
          <w:color w:val="auto"/>
        </w:rPr>
        <w:t xml:space="preserve"> of the Galera Disclosure Schedule also sets forth, as of the date of this Agreement, a list of all internet domain names with respect to which Galera or any of its Subsidiaries are the registrant and, with respect to each domain name, the record owner of such domain name and if different, the legal and beneficial owner(s) of such domain name and the applicable domain name registrar. All Galera Registered IP is subsisting and in full force and effect and, to the Knowledge of Galera, all Galera Registered IP (other than pending applications) is valid and enforceable. All fees due to, and all documents, powers and other filings required to be filed with, a Governmental Authority with respect to any such Galera Registered IP have been fully and timely paid and filed as necessary for the filing, prosecuting, obtaining grant of and maintaining such item of Galera Registered IP.</w:t>
      </w:r>
    </w:p>
    <w:p>
      <w:pPr>
        <w:spacing w:after="0" w:line="141" w:lineRule="exact"/>
        <w:rPr>
          <w:rFonts w:ascii="Times New Roman" w:cs="Times New Roman" w:eastAsia="Times New Roman" w:hAnsi="Times New Roman"/>
          <w:sz w:val="13"/>
          <w:szCs w:val="13"/>
          <w:color w:val="auto"/>
        </w:rPr>
      </w:pPr>
    </w:p>
    <w:p>
      <w:pPr>
        <w:ind w:left="640" w:right="679" w:firstLine="307"/>
        <w:spacing w:after="0" w:line="269" w:lineRule="auto"/>
        <w:tabs>
          <w:tab w:leader="none" w:pos="1128"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4.12(b)</w:t>
      </w:r>
      <w:r>
        <w:rPr>
          <w:rFonts w:ascii="Times New Roman" w:cs="Times New Roman" w:eastAsia="Times New Roman" w:hAnsi="Times New Roman"/>
          <w:sz w:val="12"/>
          <w:szCs w:val="12"/>
          <w:color w:val="auto"/>
        </w:rPr>
        <w:t xml:space="preserve"> of the Galera Disclosure Schedule is a true, correct and complete listing of all Galera Contracts pursuant to which any Galera IP Rights are licensed to Galera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Galera’s or its Subsidiaries’ products or services, (B) any Intellectual Property licensed on a nonexclusive basis ancillary to the purchase or use of equipment, reagents or other materials, (C) any confidential information provided under confidentiality agreements and (D) agreements between Galera or its Subsidiaries and their respective employees in Galera’s standard form thereof). To the Knowledge of Galera, each Galera Contract listed in </w:t>
      </w:r>
      <w:r>
        <w:rPr>
          <w:rFonts w:ascii="Times New Roman" w:cs="Times New Roman" w:eastAsia="Times New Roman" w:hAnsi="Times New Roman"/>
          <w:sz w:val="12"/>
          <w:szCs w:val="12"/>
          <w:u w:val="single" w:color="auto"/>
          <w:color w:val="auto"/>
        </w:rPr>
        <w:t>Section 4.12(b)</w:t>
      </w:r>
      <w:r>
        <w:rPr>
          <w:rFonts w:ascii="Times New Roman" w:cs="Times New Roman" w:eastAsia="Times New Roman" w:hAnsi="Times New Roman"/>
          <w:sz w:val="12"/>
          <w:szCs w:val="12"/>
          <w:color w:val="auto"/>
        </w:rPr>
        <w:t xml:space="preserve"> of the Galera Disclosure Schedule is in full force and effect and constitutes a legal, valid, and binding obligation of Galera, its Subsidiaries and each other party thereto, and is enforceable against Galera, its Subsidiaries and each other party thereto in accordance with its terms. To the Knowledge of Galera, neither Galera, its Subsidiaries, nor, to the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6" w:name="page77"/>
    <w:bookmarkEnd w:id="76"/>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Knowledge of Galera, any other party to any Galera Contract listed in </w:t>
      </w: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of the Galera Disclosure Schedule has been or is, or has been or is alleged to be, in material default under, or has provided or received any notice of breach under, or intention to terminate (including by non-renewal), any Galera Contract listed in </w:t>
      </w: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of the Galera Disclosure Schedule, except as would not reasonably be expected to have, individually or in the aggregate, a Galera Material Adverse Effect.</w:t>
      </w:r>
    </w:p>
    <w:p>
      <w:pPr>
        <w:spacing w:after="0" w:line="133" w:lineRule="exact"/>
        <w:rPr>
          <w:sz w:val="20"/>
          <w:szCs w:val="20"/>
          <w:color w:val="auto"/>
        </w:rPr>
      </w:pPr>
    </w:p>
    <w:p>
      <w:pPr>
        <w:ind w:left="640" w:right="719" w:firstLine="307"/>
        <w:spacing w:after="0" w:line="246" w:lineRule="auto"/>
        <w:tabs>
          <w:tab w:leader="none" w:pos="112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 is a true, correct and complete listing of each Galera Contract pursuant to which any Person has been granted any license, sublicense, option or covenant not to sue under, or otherwise has received or acquired any right (whether or not currently exercisable) or interest in, any Galera IP Rights (other than (i) any confidential information provided under confidentiality agreements and (ii) any Galera IP Rights nonexclusively licensed to academic collaborators, suppliers or service providers for the sole purpose of enabling such academic collaborator, supplier or service providers to provide services for Galera’s or its Subsidiaries’ benefit). To the Knowledge of Galera, each Galera Contract listed in </w:t>
      </w: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 is in full force and effect and constitutes a legal, valid, and binding obligation of Galera, its Subsidiaries and each other party thereto, and is enforceable against Galera, its Subsidiaries and each other party thereto in accordance with its terms. Neither Galera, its Subsidiaries nor, to the Knowledge of Galera, any other party to any Galera Contract listed in </w:t>
      </w: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 has provided or received any written notice of breach under, or intention to terminate (including by non-renewal), any Galera Contract listed in </w:t>
      </w: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w:t>
      </w:r>
    </w:p>
    <w:p>
      <w:pPr>
        <w:spacing w:after="0" w:line="135" w:lineRule="exact"/>
        <w:rPr>
          <w:rFonts w:ascii="Times New Roman" w:cs="Times New Roman" w:eastAsia="Times New Roman" w:hAnsi="Times New Roman"/>
          <w:sz w:val="13"/>
          <w:szCs w:val="13"/>
          <w:color w:val="auto"/>
        </w:rPr>
      </w:pPr>
    </w:p>
    <w:p>
      <w:pPr>
        <w:jc w:val="both"/>
        <w:ind w:left="640" w:right="699" w:firstLine="307"/>
        <w:spacing w:after="0" w:line="251" w:lineRule="auto"/>
        <w:tabs>
          <w:tab w:leader="none" w:pos="1128"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identified on </w:t>
      </w:r>
      <w:r>
        <w:rPr>
          <w:rFonts w:ascii="Times New Roman" w:cs="Times New Roman" w:eastAsia="Times New Roman" w:hAnsi="Times New Roman"/>
          <w:sz w:val="13"/>
          <w:szCs w:val="13"/>
          <w:u w:val="single" w:color="auto"/>
          <w:color w:val="auto"/>
        </w:rPr>
        <w:t>Section 4.12(d)</w:t>
      </w:r>
      <w:r>
        <w:rPr>
          <w:rFonts w:ascii="Times New Roman" w:cs="Times New Roman" w:eastAsia="Times New Roman" w:hAnsi="Times New Roman"/>
          <w:sz w:val="13"/>
          <w:szCs w:val="13"/>
          <w:color w:val="auto"/>
        </w:rPr>
        <w:t xml:space="preserve"> of the Galera Disclosure Schedule, neither Galera nor any of its Subsidiaries is bound by, and no Galera Owned IP Rights are subject to, and to the Knowledge of Galera, no Galera Licensed IP Rights are subject to, any Contract containing any covenant or other provision that in any way limits or restricts the ability of Galera or any of its Subsidiaries to use, exploit, assert, or enforce any Galera IP Rights anywhere in the world.</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Galera or one of its Subsidiaries exclusively owns all right, title, and interest to and in the Galera IP Rights (other than (A) Galera Licensed IP Rights, or co-owned rights each as identified in </w:t>
      </w: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 and (B) any non-customized software that (1) is licensed to Galera or its Subsidiaries solely in executable or object code form pursuant to a nonexclusive, internal use software license and other Intellectual Property associated with such software and (2) is not incorporated into, or material to the development, manufacturing, or distribution of, any of Galera’s or its Subsidiaries’ products or services), (ii) all Galera Owned IP Rights and, to the Knowledge of Galera, other Galera IP Rights that are exclusively licensed to Galera are free and clear of any Encumbrances (other than Permitted Encumbrances) and (iii) Galera owns, or has a valid and enforceable right pursuant to a binding written Contract to use, all material Galera IP Rights currently used or practiced by Galera. Without limiting the generality of the foregoing:</w:t>
      </w:r>
    </w:p>
    <w:p>
      <w:pPr>
        <w:spacing w:after="0" w:line="63" w:lineRule="exact"/>
        <w:rPr>
          <w:rFonts w:ascii="Times New Roman" w:cs="Times New Roman" w:eastAsia="Times New Roman" w:hAnsi="Times New Roman"/>
          <w:sz w:val="13"/>
          <w:szCs w:val="13"/>
          <w:color w:val="auto"/>
        </w:rPr>
      </w:pPr>
    </w:p>
    <w:p>
      <w:pPr>
        <w:ind w:left="940" w:right="739" w:firstLine="304"/>
        <w:spacing w:after="0" w:line="251" w:lineRule="auto"/>
        <w:tabs>
          <w:tab w:leader="none" w:pos="1388"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Galera, all documents and instruments necessary to register or apply for or renew registration of Galera Registered IP owned by Galera, and all documents and instruments necessary to register or apply for or renew registration of Galera Registered IP exclusively licensed to Galera, have been validly executed, delivered, and filed in a timely manner with the appropriate Governmental Authority. To the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7" w:name="page78"/>
    <w:bookmarkEnd w:id="77"/>
    <w:p>
      <w:pPr>
        <w:ind w:left="9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Knowledge of Galera, Galera has filed all statements of use and paid all renewal and maintenance fees, annuities and other fees with respect to the Galera Registered IP that are due or payable as of the date of this Agreement owned by Galera, and to the Knowledge of Galera, all documents and instruments necessary to register or apply for or renew registration of Galera Registered IP exclusively licensed to Galera.</w:t>
      </w:r>
    </w:p>
    <w:p>
      <w:pPr>
        <w:spacing w:after="0" w:line="54" w:lineRule="exact"/>
        <w:rPr>
          <w:sz w:val="20"/>
          <w:szCs w:val="20"/>
          <w:color w:val="auto"/>
        </w:rPr>
      </w:pPr>
    </w:p>
    <w:p>
      <w:pPr>
        <w:ind w:left="940" w:right="659" w:firstLine="304"/>
        <w:spacing w:after="0" w:line="275" w:lineRule="auto"/>
        <w:tabs>
          <w:tab w:leader="none" w:pos="1423"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instances that would not reasonably be expected to have, individually or in the aggregate, a Galera Material Adverse Effect, to the Knowledge of Galera each Person who is or was an employee, contractor or consultant of Galera or any of its Subsidiaries and who is or was involved in the creation, discovery, reduction to practice or development of any Intellectual Property for Galera or any of its Subsidiaries has signed a valid, enforceable written agreement containing a present assignment of all right, title and interest in and to such Intellectual Property to Galera or such Subsidiary and confidentiality provisions protecting trade secrets and confidential information of Galera and its Subsidiaries.</w:t>
      </w:r>
    </w:p>
    <w:p>
      <w:pPr>
        <w:spacing w:after="0" w:line="43" w:lineRule="exact"/>
        <w:rPr>
          <w:rFonts w:ascii="Times New Roman" w:cs="Times New Roman" w:eastAsia="Times New Roman" w:hAnsi="Times New Roman"/>
          <w:sz w:val="12"/>
          <w:szCs w:val="12"/>
          <w:color w:val="auto"/>
        </w:rPr>
      </w:pPr>
    </w:p>
    <w:p>
      <w:pPr>
        <w:ind w:left="940" w:right="659" w:firstLine="304"/>
        <w:spacing w:after="0" w:line="248" w:lineRule="auto"/>
        <w:tabs>
          <w:tab w:leader="none" w:pos="1458"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Galera, no current or former member, officer, director, or employee of Galera or any of its Subsidiaries has any claim, right (whether or not currently exercisable), or interest to or in any Galera IP Rights purported to be owned by Galera. To the Knowledge of Galera, no employee of Galera or any of its Subsidiaries is (A) bound by or otherwise subject to any Contract restricting him or her from performing his or her duties for Galera or such Subsidiary or (B) in breach of any Contract with any former employer or other Person concerning Galera IP Rights purported to be owned by Galera or such Subsidiary or confidentiality provisions protecting trade secrets and confidential information comprising Galera IP Rights purported to be owned by Galera or such Subsidiary.</w:t>
      </w:r>
    </w:p>
    <w:p>
      <w:pPr>
        <w:spacing w:after="0" w:line="58" w:lineRule="exact"/>
        <w:rPr>
          <w:rFonts w:ascii="Times New Roman" w:cs="Times New Roman" w:eastAsia="Times New Roman" w:hAnsi="Times New Roman"/>
          <w:sz w:val="13"/>
          <w:szCs w:val="13"/>
          <w:color w:val="auto"/>
        </w:rPr>
      </w:pPr>
    </w:p>
    <w:p>
      <w:pPr>
        <w:jc w:val="both"/>
        <w:ind w:left="940" w:right="679" w:firstLine="304"/>
        <w:spacing w:after="0" w:line="251" w:lineRule="auto"/>
        <w:tabs>
          <w:tab w:leader="none" w:pos="1451"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funding, facilities, or personnel of any Governmental Authority were used, directly or indirectly, to develop or create, in whole or in part, any Galera Owned IP Rights, or, to the Knowledge of Galera, any Galera Licensed IP Rights. To the Knowledge of Galera, no Governmental Authority has any right to (including any “step-in” or “march-in” rights with respect to), ownership of, commercialization of, or right to royalties or other payments for any Galera Owned IP Rights, or, to the Knowledge of Galera, any Galera Licensed IP Rights.</w:t>
      </w:r>
    </w:p>
    <w:p>
      <w:pPr>
        <w:spacing w:after="0" w:line="56" w:lineRule="exact"/>
        <w:rPr>
          <w:rFonts w:ascii="Times New Roman" w:cs="Times New Roman" w:eastAsia="Times New Roman" w:hAnsi="Times New Roman"/>
          <w:sz w:val="13"/>
          <w:szCs w:val="13"/>
          <w:color w:val="auto"/>
        </w:rPr>
      </w:pPr>
    </w:p>
    <w:p>
      <w:pPr>
        <w:ind w:left="940" w:right="959" w:firstLine="304"/>
        <w:spacing w:after="0" w:line="309" w:lineRule="auto"/>
        <w:tabs>
          <w:tab w:leader="none" w:pos="1416"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and each of its Subsidiaries has taken reasonable steps to maintain the confidentiality of and otherwise protect, maintain and enforce its rights in all proprietary information that Galera or such Subsidiary holds, or purports to hold, as confidential or a trade secret.</w:t>
      </w:r>
    </w:p>
    <w:p>
      <w:pPr>
        <w:spacing w:after="0" w:line="23" w:lineRule="exact"/>
        <w:rPr>
          <w:rFonts w:ascii="Times New Roman" w:cs="Times New Roman" w:eastAsia="Times New Roman" w:hAnsi="Times New Roman"/>
          <w:sz w:val="12"/>
          <w:szCs w:val="12"/>
          <w:color w:val="auto"/>
        </w:rPr>
      </w:pPr>
    </w:p>
    <w:p>
      <w:pPr>
        <w:ind w:left="940" w:right="779" w:firstLine="304"/>
        <w:spacing w:after="0" w:line="267" w:lineRule="auto"/>
        <w:tabs>
          <w:tab w:leader="none" w:pos="1451"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has assigned or otherwise transferred ownership of, or agreed to assign or otherwise transfer ownership of, any Galera IP Rights to any other Person.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8" w:name="page79"/>
    <w:bookmarkEnd w:id="78"/>
    <w:p>
      <w:pPr>
        <w:ind w:left="940" w:right="699" w:firstLine="304"/>
        <w:spacing w:after="0" w:line="248" w:lineRule="auto"/>
        <w:tabs>
          <w:tab w:leader="none" w:pos="1486"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Knowledge of Galera, each item of Galera IP Right has been duly maintained and is not expired, abandoned or cancelled. To the Knowledge of Galera, each of the Patents included in the Galera IP Rights identifies each and every inventor of the claims thereof as determined in accordance with the applicable laws of the jurisdiction in which such Patent is issued or pending. To the Knowledge of Galera, each of Galera and its Subsidiaries and their respective patent counsel have complied with its duty of candor and disclosure and have made no material misrepresentations in the filings submitted to the applicable Governmental Authorities with respect to all Patents included in the Galera IP Rights for which Galera or any of its Subsidiaries is responsible for prosecuting.</w:t>
      </w:r>
    </w:p>
    <w:p>
      <w:pPr>
        <w:spacing w:after="0" w:line="58" w:lineRule="exact"/>
        <w:rPr>
          <w:rFonts w:ascii="Times New Roman" w:cs="Times New Roman" w:eastAsia="Times New Roman" w:hAnsi="Times New Roman"/>
          <w:sz w:val="13"/>
          <w:szCs w:val="13"/>
          <w:color w:val="auto"/>
        </w:rPr>
      </w:pPr>
    </w:p>
    <w:p>
      <w:pPr>
        <w:jc w:val="both"/>
        <w:ind w:left="940" w:right="719" w:firstLine="304"/>
        <w:spacing w:after="0" w:line="255" w:lineRule="auto"/>
        <w:tabs>
          <w:tab w:leader="none" w:pos="1521"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Galera, the Galera IP Rights constitute all Intellectual Property material to or necessary for Galera to conduct its business as currently conducted or currently proposed to be conducted as of the date hereof; provided, however, that the foregoing representation is not a representation with respect to non-infringement of Intellectual Property.</w:t>
      </w:r>
    </w:p>
    <w:p>
      <w:pPr>
        <w:spacing w:after="0" w:line="130"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has delivered, or made available to Obsidian, a complete and accurate copy of all material Galera IP Rights Agreements.</w:t>
      </w:r>
    </w:p>
    <w:p>
      <w:pPr>
        <w:spacing w:after="0" w:line="153"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28"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Galera, the conduct of the business of Galera as has been conducted since January 1, 2023 and as is currently being conducted, including the manufacture, marketing, offering for sale, sale, importation, use or intended use or other disposal of any product as currently sold or under development by Galera, (i) has not violated and does not presently violate, any license or agreement between Galera or its Subsidiaries and any Person in any material respect, and (ii) to the Knowledge of Galera, has not infringed, misappropriated, or otherwise violated, and does not infringe, misappropriate or otherwise violate any valid and issued Patents or other Intellectual Property of any other Person, which infringement would reasonably be expected to have a Galera Material Adverse Effect. To the Knowledge of Galera, since January 1, 2023, no Person has engaged in the unauthorized use of, or has infringed, misappropriated, or otherwise violated any Patents within the Galera IP Rights, or otherwise violating any Galera IP Rights Agreement.</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Agreement and since January 1, 2023, neither Galera nor any of its Subsidiaries is or has been a party to any, or is the subject of any pending or, to the Knowledge of Galera, threatened in writing, Legal Proceeding (including, but not limited to, opposition, interference or other proceeding in any patent or other government office) contesting the validity, enforceability, ownership or right to use, sell, offer for sale, license or dispose of any Galera IP Rights. None of the Galera Owned IP Rights, and to the Knowledge of Galera, any Galera Licensed IP Rights, have been adjudged invalid or unenforceable in whole or part, and all Galera Owned IP Rights, and to the Knowledge of Galera, all Galera Licensed IP Rights, are in full force and effect. Neither Galera nor any of its Subsidiaries have received any written notice asserting that any Galera IP Rights or the proposed use, sale, offer for sale, license or disposition of products, methods, or processes claimed or covered thereunder infringes or misappropriates or violates the rights of any other Person or that Galera or any of its Subsidiaries have otherwise infringed, misappropriated or otherwise violated any Intellectual Property of any Person.</w:t>
      </w:r>
    </w:p>
    <w:p>
      <w:pPr>
        <w:spacing w:after="0" w:line="137" w:lineRule="exact"/>
        <w:rPr>
          <w:rFonts w:ascii="Times New Roman" w:cs="Times New Roman" w:eastAsia="Times New Roman" w:hAnsi="Times New Roman"/>
          <w:sz w:val="13"/>
          <w:szCs w:val="13"/>
          <w:color w:val="auto"/>
        </w:rPr>
      </w:pPr>
    </w:p>
    <w:p>
      <w:pPr>
        <w:ind w:left="640" w:right="699" w:firstLine="307"/>
        <w:spacing w:after="0" w:line="255" w:lineRule="auto"/>
        <w:tabs>
          <w:tab w:leader="none" w:pos="11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Galera, no trademark (whether registered or unregistered) or trade name owned, used, or applied for by Galera conflicts or interferes with any trademark (whether registered or unregistered) or trade name owned, used, or applied for by any other Person except as would not have a Galera Material Adverse Effect. To the Knowledge of Galera, none 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79" w:name="page80"/>
    <w:bookmarkEnd w:id="79"/>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goodwill associated with or inherent in any trademark (whether registered or unregistered) in which Galera or its Subsidiaries has or purports to have an ownership interest has been impaired as determined by Galera in accordance with GAAP. </w:t>
      </w:r>
      <w:r>
        <w:rPr>
          <w:rFonts w:ascii="Times New Roman" w:cs="Times New Roman" w:eastAsia="Times New Roman" w:hAnsi="Times New Roman"/>
          <w:sz w:val="13"/>
          <w:szCs w:val="13"/>
          <w:u w:val="single" w:color="auto"/>
          <w:color w:val="auto"/>
        </w:rPr>
        <w:t>Section 4.12(i)</w:t>
      </w:r>
      <w:r>
        <w:rPr>
          <w:rFonts w:ascii="Times New Roman" w:cs="Times New Roman" w:eastAsia="Times New Roman" w:hAnsi="Times New Roman"/>
          <w:sz w:val="13"/>
          <w:szCs w:val="13"/>
          <w:color w:val="auto"/>
        </w:rPr>
        <w:t xml:space="preserve"> of the Galera Disclosure Schedule sets forth all material unregistered trademarks included in the Galera IP Rights.</w:t>
      </w:r>
    </w:p>
    <w:p>
      <w:pPr>
        <w:spacing w:after="0" w:line="130" w:lineRule="exact"/>
        <w:rPr>
          <w:sz w:val="20"/>
          <w:szCs w:val="20"/>
          <w:color w:val="auto"/>
        </w:rPr>
      </w:pPr>
    </w:p>
    <w:p>
      <w:pPr>
        <w:ind w:left="640" w:right="679" w:firstLine="307"/>
        <w:spacing w:after="0" w:line="247" w:lineRule="auto"/>
        <w:tabs>
          <w:tab w:leader="none" w:pos="1100"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would not reasonably be expected to have a Galera Material Adverse Effect, (ii) as may be set forth in </w:t>
      </w:r>
      <w:r>
        <w:rPr>
          <w:rFonts w:ascii="Times New Roman" w:cs="Times New Roman" w:eastAsia="Times New Roman" w:hAnsi="Times New Roman"/>
          <w:sz w:val="13"/>
          <w:szCs w:val="13"/>
          <w:u w:val="single" w:color="auto"/>
          <w:color w:val="auto"/>
        </w:rPr>
        <w:t>Section 4.12(j)</w:t>
      </w:r>
      <w:r>
        <w:rPr>
          <w:rFonts w:ascii="Times New Roman" w:cs="Times New Roman" w:eastAsia="Times New Roman" w:hAnsi="Times New Roman"/>
          <w:sz w:val="13"/>
          <w:szCs w:val="13"/>
          <w:color w:val="auto"/>
        </w:rPr>
        <w:t xml:space="preserve"> of the Galera Disclosure Schedule or (iii) as contained in license, distribution or service agreements entered into in the Ordinary Course of Business by Galera, to the Knowledge of Galera, (A) neither Galera nor any of its Subsidiaries is bound by any Contract to indemnify, defend, hold harmless, or reimburse any other Person with respect to any Intellectual Property infringement, misappropriation, or similar claim which is material to Galera or any of its Subsidiaries, taken as a whole and (B) neither Galera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36" w:lineRule="exact"/>
        <w:rPr>
          <w:rFonts w:ascii="Times New Roman" w:cs="Times New Roman" w:eastAsia="Times New Roman" w:hAnsi="Times New Roman"/>
          <w:sz w:val="13"/>
          <w:szCs w:val="13"/>
          <w:color w:val="auto"/>
        </w:rPr>
      </w:pPr>
    </w:p>
    <w:p>
      <w:pPr>
        <w:ind w:left="640" w:right="779" w:firstLine="307"/>
        <w:spacing w:after="0" w:line="269" w:lineRule="auto"/>
        <w:tabs>
          <w:tab w:leader="none" w:pos="1128"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execution and delivery of this Agreement, the consummation of the transactions contemplated hereby or the performance by Galera of its obligations hereunder conflict or will conflict with, alter or impair any of Galera’s rights in, to and under any material Galera IP Rights or the validity, enforceability, priority, scope or duration of any material Galera IP Rights. Without limiting the foregoing, to the Knowledge of Galera, neither Galera nor any of its Subsidiaries is party to any Contract that, as a result of such execution, delivery and performance of this Agreement, will</w:t>
      </w:r>
    </w:p>
    <w:p>
      <w:pPr>
        <w:ind w:left="640" w:right="659" w:hanging="3"/>
        <w:spacing w:after="0" w:line="244" w:lineRule="auto"/>
        <w:tabs>
          <w:tab w:leader="none" w:pos="791"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the grant, assignment or transfer to any other Person of any license or other right to or in any Galera IP Rights, (ii) result in breach of, default under or termination of such Contract with respect to any Galera IP Rights, (iii) alter, encumber impair or extinguish, or result in any Encumbrance with respect to the right of Galera or the Surviving Corporation and its Subsidiaries to use, sell or license or enforce any Galera IP Rights or portion thereof or (iv) result in Galera or any of its Subsidiaries being bound by or subject to any exclusivity obligations, non-compete or other restrictions on the operation or scope of their respective businesses, or to any obligation to grant any rights in or to any Galera IP Rights, except, in each of (i), (ii), (iii) and (iv), for the occurrence of any such grant or impairment that would not individually or in the aggregate, reasonably be expected to result in a Galera Material Adverse Effect.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Agreements, Contracts and Commitments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307"/>
        <w:spacing w:after="0" w:line="267" w:lineRule="auto"/>
        <w:tabs>
          <w:tab w:leader="none" w:pos="1121"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Galera Disclosure Schedule lists the following Galera Contracts in effect as of the date of this Agreement other than the Securities Purchase Agreement (each, a “</w:t>
      </w:r>
      <w:r>
        <w:rPr>
          <w:rFonts w:ascii="Times New Roman" w:cs="Times New Roman" w:eastAsia="Times New Roman" w:hAnsi="Times New Roman"/>
          <w:sz w:val="13"/>
          <w:szCs w:val="13"/>
          <w:b w:val="1"/>
          <w:bCs w:val="1"/>
          <w:color w:val="auto"/>
        </w:rPr>
        <w:t>Galera Material Contract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Galera Material Contracts</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67" w:lineRule="auto"/>
        <w:tabs>
          <w:tab w:leader="none" w:pos="1388"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that is a collective bargaining agreement or other agreement or arrangement with any labor union, works council or labor organization;</w:t>
      </w:r>
    </w:p>
    <w:p>
      <w:pPr>
        <w:spacing w:after="0" w:line="46" w:lineRule="exact"/>
        <w:rPr>
          <w:rFonts w:ascii="Times New Roman" w:cs="Times New Roman" w:eastAsia="Times New Roman" w:hAnsi="Times New Roman"/>
          <w:sz w:val="13"/>
          <w:szCs w:val="13"/>
          <w:color w:val="auto"/>
        </w:rPr>
      </w:pPr>
    </w:p>
    <w:p>
      <w:pPr>
        <w:ind w:left="940" w:right="819" w:firstLine="304"/>
        <w:spacing w:after="0" w:line="267" w:lineRule="auto"/>
        <w:tabs>
          <w:tab w:leader="none" w:pos="1423"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for the employment or engagement of any individual on an employee, consulting or other basis that provides for annual base compensation in excess of $250,000;</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0" w:name="page81"/>
    <w:bookmarkEnd w:id="80"/>
    <w:p>
      <w:pPr>
        <w:ind w:left="940" w:right="759" w:firstLine="304"/>
        <w:spacing w:after="0" w:line="267" w:lineRule="auto"/>
        <w:tabs>
          <w:tab w:leader="none" w:pos="1458"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Galera Contract with any Galera Associate that provides for retention, change in control, transaction or other similar payments or benefits, whether or not payable as a result of the Contemplated Transactions;</w:t>
      </w:r>
    </w:p>
    <w:p>
      <w:pPr>
        <w:spacing w:after="0" w:line="4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Galera Contract relating to any agreement of indemnification or guaranty not entered into in the Ordinary Course of Business;</w:t>
      </w:r>
    </w:p>
    <w:p>
      <w:pPr>
        <w:spacing w:after="0" w:line="89" w:lineRule="exact"/>
        <w:rPr>
          <w:rFonts w:ascii="Times New Roman" w:cs="Times New Roman" w:eastAsia="Times New Roman" w:hAnsi="Times New Roman"/>
          <w:sz w:val="12"/>
          <w:szCs w:val="12"/>
          <w:color w:val="auto"/>
        </w:rPr>
      </w:pPr>
    </w:p>
    <w:p>
      <w:pPr>
        <w:ind w:left="940" w:right="859" w:firstLine="304"/>
        <w:spacing w:after="0" w:line="255" w:lineRule="auto"/>
        <w:tabs>
          <w:tab w:leader="none" w:pos="1416"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containing (A) any covenant limiting the freedom of Galera or any of its Subsidiaries to engage in any line of business or compete with any Person, or limiting the development, manufacture, or distribution of Galera’s products or services, (B) any most-favored pricing arrangement, (C) any exclusivity provision or (D) any non-solicitation provision;</w:t>
      </w:r>
    </w:p>
    <w:p>
      <w:pPr>
        <w:spacing w:after="0" w:line="54"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(A) pursuant to which any Person granted Galera an exclusive license under any Intellectual Property, or</w:t>
      </w:r>
    </w:p>
    <w:p>
      <w:pPr>
        <w:spacing w:after="0" w:line="15"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which Galera granted any Person an exclusive license under any Galera IP Rights;</w:t>
      </w:r>
    </w:p>
    <w:p>
      <w:pPr>
        <w:spacing w:after="0" w:line="65" w:lineRule="exact"/>
        <w:rPr>
          <w:rFonts w:ascii="Times New Roman" w:cs="Times New Roman" w:eastAsia="Times New Roman" w:hAnsi="Times New Roman"/>
          <w:sz w:val="13"/>
          <w:szCs w:val="13"/>
          <w:color w:val="auto"/>
        </w:rPr>
      </w:pPr>
    </w:p>
    <w:p>
      <w:pPr>
        <w:ind w:left="940" w:right="879" w:firstLine="304"/>
        <w:spacing w:after="0" w:line="267" w:lineRule="auto"/>
        <w:tabs>
          <w:tab w:leader="none" w:pos="1486"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relating to capital expenditures and requiring payments after the date of this Agreement in excess of $250,000 pursuant to its express terms and not cancelable without penalty;</w:t>
      </w:r>
    </w:p>
    <w:p>
      <w:pPr>
        <w:spacing w:after="0" w:line="46" w:lineRule="exact"/>
        <w:rPr>
          <w:rFonts w:ascii="Times New Roman" w:cs="Times New Roman" w:eastAsia="Times New Roman" w:hAnsi="Times New Roman"/>
          <w:sz w:val="13"/>
          <w:szCs w:val="13"/>
          <w:color w:val="auto"/>
        </w:rPr>
      </w:pPr>
    </w:p>
    <w:p>
      <w:pPr>
        <w:ind w:left="940" w:right="779" w:firstLine="304"/>
        <w:spacing w:after="0" w:line="267" w:lineRule="auto"/>
        <w:tabs>
          <w:tab w:leader="none" w:pos="1521"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relating to the disposition or acquisition of material assets or any ownership interest in any Entity, in each case, involving payments in excess of $250,000 after the date of this Agreement;</w:t>
      </w:r>
    </w:p>
    <w:p>
      <w:pPr>
        <w:spacing w:after="0" w:line="46" w:lineRule="exact"/>
        <w:rPr>
          <w:rFonts w:ascii="Times New Roman" w:cs="Times New Roman" w:eastAsia="Times New Roman" w:hAnsi="Times New Roman"/>
          <w:sz w:val="13"/>
          <w:szCs w:val="13"/>
          <w:color w:val="auto"/>
        </w:rPr>
      </w:pPr>
    </w:p>
    <w:p>
      <w:pPr>
        <w:ind w:left="940" w:right="759" w:firstLine="304"/>
        <w:spacing w:after="0" w:line="255" w:lineRule="auto"/>
        <w:tabs>
          <w:tab w:leader="none" w:pos="1451"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Galera or any loans or debt obligations with officers or directors of Galera;</w:t>
      </w:r>
    </w:p>
    <w:p>
      <w:pPr>
        <w:spacing w:after="0" w:line="54" w:lineRule="exact"/>
        <w:rPr>
          <w:rFonts w:ascii="Times New Roman" w:cs="Times New Roman" w:eastAsia="Times New Roman" w:hAnsi="Times New Roman"/>
          <w:sz w:val="13"/>
          <w:szCs w:val="13"/>
          <w:color w:val="auto"/>
        </w:rPr>
      </w:pPr>
    </w:p>
    <w:p>
      <w:pPr>
        <w:ind w:left="940" w:right="799" w:firstLine="304"/>
        <w:spacing w:after="0" w:line="246" w:lineRule="auto"/>
        <w:tabs>
          <w:tab w:leader="none" w:pos="1416"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requiring payment by or to Galera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Galera, (C) any dealer, distributor, joint marketing, alliance, joint venture, cooperation, development or other agreement currently in force under which Galera or any of its Subsidiaries has continuing obligations to develop or market any product, technology or service, or any agreement pursuant to which Galera or any of its Subsidiaries has continuing obligations to develop any Intellectual Property that will not be owned, in whole or in part, by Galera or such Subsidiary or (D) any Contract to license any patent, trademark registration, service mark registration, trade name or copyright registration to or from any third party to manufacture or produce any product, service or technology of Galera or any of its Subsidiaries or any Contract to sell, distribute or commercialize any products or service of Galera or any of its Subsidiaries, in each case, except for Galera Contracts entered into in the Ordinary Course of Business;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81" w:name="page82"/>
    <w:bookmarkEnd w:id="81"/>
    <w:p>
      <w:pPr>
        <w:ind w:left="940" w:right="919" w:firstLine="304"/>
        <w:spacing w:after="0" w:line="267" w:lineRule="auto"/>
        <w:tabs>
          <w:tab w:leader="none" w:pos="1451"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Galera Contract with any Person, including any financial advisor, broker, finder, investment banker or other Person, providing advisory services to Galera in connection with the Contemplated Transactions;</w:t>
      </w:r>
    </w:p>
    <w:p>
      <w:pPr>
        <w:spacing w:after="0" w:line="46" w:lineRule="exact"/>
        <w:rPr>
          <w:rFonts w:ascii="Times New Roman" w:cs="Times New Roman" w:eastAsia="Times New Roman" w:hAnsi="Times New Roman"/>
          <w:sz w:val="13"/>
          <w:szCs w:val="13"/>
          <w:color w:val="auto"/>
        </w:rPr>
      </w:pPr>
    </w:p>
    <w:p>
      <w:pPr>
        <w:ind w:left="940" w:right="919" w:firstLine="304"/>
        <w:spacing w:after="0" w:line="309" w:lineRule="auto"/>
        <w:tabs>
          <w:tab w:leader="none" w:pos="1486"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Galera Contract to which Galera or any of its Subsidiaries is a party or by which any of their assets and properties is currently bound, which involves annual obligations of payment by, or annual payments to, Galera or such Subsidiary in excess of $250,000;</w:t>
      </w:r>
    </w:p>
    <w:p>
      <w:pPr>
        <w:spacing w:after="0" w:line="23" w:lineRule="exact"/>
        <w:rPr>
          <w:rFonts w:ascii="Times New Roman" w:cs="Times New Roman" w:eastAsia="Times New Roman" w:hAnsi="Times New Roman"/>
          <w:sz w:val="12"/>
          <w:szCs w:val="12"/>
          <w:color w:val="auto"/>
        </w:rPr>
      </w:pPr>
    </w:p>
    <w:p>
      <w:pPr>
        <w:ind w:left="1520" w:hanging="276"/>
        <w:spacing w:after="0"/>
        <w:tabs>
          <w:tab w:leader="none" w:pos="152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Galera Real Estate Lease;</w:t>
      </w:r>
    </w:p>
    <w:p>
      <w:pPr>
        <w:spacing w:after="0" w:line="77" w:lineRule="exact"/>
        <w:rPr>
          <w:rFonts w:ascii="Times New Roman" w:cs="Times New Roman" w:eastAsia="Times New Roman" w:hAnsi="Times New Roman"/>
          <w:sz w:val="13"/>
          <w:szCs w:val="13"/>
          <w:color w:val="auto"/>
        </w:rPr>
      </w:pPr>
    </w:p>
    <w:p>
      <w:pPr>
        <w:ind w:left="1520" w:hanging="276"/>
        <w:spacing w:after="0"/>
        <w:tabs>
          <w:tab w:leader="none" w:pos="152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Contract disclosed in or required to be disclosed in </w:t>
      </w: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 or</w:t>
      </w:r>
    </w:p>
    <w:p>
      <w:pPr>
        <w:spacing w:after="0" w:line="77" w:lineRule="exact"/>
        <w:rPr>
          <w:rFonts w:ascii="Times New Roman" w:cs="Times New Roman" w:eastAsia="Times New Roman" w:hAnsi="Times New Roman"/>
          <w:sz w:val="13"/>
          <w:szCs w:val="13"/>
          <w:color w:val="auto"/>
        </w:rPr>
      </w:pPr>
    </w:p>
    <w:p>
      <w:pPr>
        <w:ind w:left="940" w:right="659" w:firstLine="304"/>
        <w:spacing w:after="0" w:line="251" w:lineRule="auto"/>
        <w:tabs>
          <w:tab w:leader="none" w:pos="1479"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Galera Contract that is not terminable at will (with no penalty or payment) by Galera or any of its Subsidiaries, and (A) which involves payment or receipt by Galera or such Subsidiary after the date of this Agreement under any such agreement, contract or commitment of more than $250,000 in the aggregate, or obligations after the date of this Agreement in excess of $250,000 in the aggregate or (B) that is material to the business or operations of Galera and its Subsidiaries taken as a whole.</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70" w:lineRule="auto"/>
        <w:tabs>
          <w:tab w:leader="none" w:pos="1128"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has delivered or made available to Obsidian accurate and complete copies of all Galera Material Contracts, including all amendments thereto. There are no Galera Material Contracts that are not in written form. Galera has not, nor, to Galera’s Knowledge as of the date of this Agreement, has any other party to a Galera Material Contract, breached, violated or defaulted under, or received notice that it breached, violated or defaulted under, any of the terms or conditions of any Galera Material Contract in such manner as would permit any other party to cancel or terminate any such Galera Material Contract, or would permit any other party to seek damages which would reasonably be expected to have a Galera Material Adverse Effect. As to Galera and its Subsidiaries, as of the date of this Agreement, each Galera Material Contract is valid, binding, enforceable and in full force and effect, subject to the Enforceability Exceptions. No Person is renegotiating, or has a right pursuant to the terms of any Galera Material Contract to change, any material amount paid or payable to Galera under any Galera Material Contract or any other material term or provision of any Galera Material Contract.</w:t>
      </w:r>
    </w:p>
    <w:p>
      <w:pPr>
        <w:spacing w:after="0" w:line="123" w:lineRule="exact"/>
        <w:rPr>
          <w:sz w:val="20"/>
          <w:szCs w:val="20"/>
          <w:color w:val="auto"/>
        </w:rPr>
      </w:pPr>
    </w:p>
    <w:p>
      <w:pPr>
        <w:ind w:left="640" w:right="73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Absence of Certain Agreements</w:t>
      </w:r>
      <w:r>
        <w:rPr>
          <w:rFonts w:ascii="Times New Roman" w:cs="Times New Roman" w:eastAsia="Times New Roman" w:hAnsi="Times New Roman"/>
          <w:sz w:val="13"/>
          <w:szCs w:val="13"/>
          <w:color w:val="auto"/>
        </w:rPr>
        <w:t>. As of the date hereof, neither Parent, Obsidian Merger Sub and Galera Merger Sub nor any of their respective Affiliates has entered into any agreement, arrangement or understanding (in each case, whether oral or written), or authorized, committed or agreed to enter into any agreement, arrangement or understanding (in each case, whether oral or written), (i) pursuant to which any stockholder of Galera would be entitled to receive, in respect of any share of Parent Common Stock, consideration of a different amount or nature than the Galera Merger Shares or pursuant to which any stockholder of Galera has agreed to vote to adopt this Agreement or has agreed to vote against any Superior Offer or (ii) pursuant to which any stockholder of Galera or any of its Subsidiaries has agreed to make an investment in, or contribution to, Parent, Obsidian Merger Sub and Galera Merger Sub in connection with the transactions contemplated by this Agreement. As of the date hereof, other than the Galera Stockholder Support Agreements and the Obsidian Stockholder Support Agreements, there are no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2" w:name="page83"/>
    <w:bookmarkEnd w:id="82"/>
    <w:p>
      <w:pPr>
        <w:ind w:left="640" w:right="6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agreements, arrangements or understandings (in each case, whether oral or written) between Galera, Parent, Obsidian Merger Sub and Galera Merger Sub or any of their respective Affiliates, on the one hand, and any member of the Galera’s management or directors, on the other hand, that relate in any way to, or are in connection with, the transactions contemplated by this Agreement or the operations of Parent, Galera or any of their Subsidiaries or, following the Galera Effective Time, the Galera Surviving Corporation or any of its Subsidiaries. None of Parent, Obsidian Merger Sub and Galera Merger Sub (or any of their respective Affiliates) has entered into any Contract with any Person prohibiting or seeking to prohibit such Person from providing or seeking to provide debt financing to any Person in connection with a transaction involving the Galera or any of its Subsidiaries in connection with the Mergers.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Compliance; Permits; Restrictions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46" w:lineRule="auto"/>
        <w:tabs>
          <w:tab w:leader="none" w:pos="112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and each of its Subsidiaries is, and since January 1, 2023, has been in material compliance with all applicable Laws, including the FDCA, the PHSA, FDA regulations adopted thereunder or any other applicable Law promulgated by the FDA or other Drug Regulatory Agency. No investigation, claim, suit, proceeding, audit, Order, or other action by any Governmental Authority is pending or, to the Knowledge of Galera, threatened against Galera or any of its Subsidiaries. There is no agreement or Order binding upon Galera or any of its Subsidiaries which (i) has or could reasonably be expected to have the effect of prohibiting or materially impairing any business practice of Galera or any of its Subsidiaries, any acquisition of material property by Galera or any of its Subsidiaries or the conduct of business by Galera or any of its Subsidiaries as currently conducted, (ii) is reasonably likely to have an adverse effect on Galera’s ability to comply with or perform any covenant or obligation under this Agreement or (iii) is reasonably likely to have the effect of preventing, delaying, making illegal or otherwise interfering with the Contemplated Transactions.</w:t>
      </w:r>
    </w:p>
    <w:p>
      <w:pPr>
        <w:spacing w:after="0" w:line="137" w:lineRule="exact"/>
        <w:rPr>
          <w:rFonts w:ascii="Times New Roman" w:cs="Times New Roman" w:eastAsia="Times New Roman" w:hAnsi="Times New Roman"/>
          <w:sz w:val="13"/>
          <w:szCs w:val="13"/>
          <w:color w:val="auto"/>
        </w:rPr>
      </w:pPr>
    </w:p>
    <w:p>
      <w:pPr>
        <w:ind w:left="640" w:right="699" w:firstLine="307"/>
        <w:spacing w:after="0" w:line="251" w:lineRule="auto"/>
        <w:tabs>
          <w:tab w:leader="none" w:pos="112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its Subsidiaries holds all required Governmental Authorizations that are material to the operation of the business of Galera as currently conducted (collectively, the “</w:t>
      </w:r>
      <w:r>
        <w:rPr>
          <w:rFonts w:ascii="Times New Roman" w:cs="Times New Roman" w:eastAsia="Times New Roman" w:hAnsi="Times New Roman"/>
          <w:sz w:val="13"/>
          <w:szCs w:val="13"/>
          <w:b w:val="1"/>
          <w:bCs w:val="1"/>
          <w:color w:val="auto"/>
        </w:rPr>
        <w:t>Galera Permits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4.15(b)</w:t>
      </w:r>
      <w:r>
        <w:rPr>
          <w:rFonts w:ascii="Times New Roman" w:cs="Times New Roman" w:eastAsia="Times New Roman" w:hAnsi="Times New Roman"/>
          <w:sz w:val="13"/>
          <w:szCs w:val="13"/>
          <w:color w:val="auto"/>
        </w:rPr>
        <w:t xml:space="preserve"> of the Galera Disclosure Schedule identifies each Galera Permit. Each of Galera and its Subsidiaries is in material compliance with the terms of the Galera Permits. No Legal Proceeding is pending or, to the Knowledge of Galera, threatened, which seeks to revoke, substantially limit, suspend, or materially modify any Galera Permit.</w:t>
      </w:r>
    </w:p>
    <w:p>
      <w:pPr>
        <w:spacing w:after="0" w:line="132" w:lineRule="exact"/>
        <w:rPr>
          <w:rFonts w:ascii="Times New Roman" w:cs="Times New Roman" w:eastAsia="Times New Roman" w:hAnsi="Times New Roman"/>
          <w:sz w:val="13"/>
          <w:szCs w:val="13"/>
          <w:color w:val="auto"/>
        </w:rPr>
      </w:pPr>
    </w:p>
    <w:p>
      <w:pPr>
        <w:jc w:val="both"/>
        <w:ind w:left="640" w:right="739" w:firstLine="307"/>
        <w:spacing w:after="0" w:line="255" w:lineRule="auto"/>
        <w:tabs>
          <w:tab w:leader="none" w:pos="112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Legal Proceedings pending or, to the Knowledge of Galera, threatened in writing with respect to an alleged material violation by Galera or any of its Subsidiaries of the FDCA, PHSA, FDA regulations adopted thereunder, the Controlled Substances Act or any other applicable Law promulgated by a Drug Regulatory Agency.</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its Subsidiaries holds all required material Governmental Authorizations issuable by any Drug Regulatory Agency necessary for the conduct of the business of Galera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cs="Times New Roman" w:eastAsia="Times New Roman" w:hAnsi="Times New Roman"/>
          <w:sz w:val="13"/>
          <w:szCs w:val="13"/>
          <w:b w:val="1"/>
          <w:bCs w:val="1"/>
          <w:color w:val="auto"/>
        </w:rPr>
        <w:t>Galera Product Candidates</w:t>
      </w:r>
      <w:r>
        <w:rPr>
          <w:rFonts w:ascii="Times New Roman" w:cs="Times New Roman" w:eastAsia="Times New Roman" w:hAnsi="Times New Roman"/>
          <w:sz w:val="13"/>
          <w:szCs w:val="13"/>
          <w:color w:val="auto"/>
        </w:rPr>
        <w:t>”) (collectively, the “</w:t>
      </w:r>
      <w:r>
        <w:rPr>
          <w:rFonts w:ascii="Times New Roman" w:cs="Times New Roman" w:eastAsia="Times New Roman" w:hAnsi="Times New Roman"/>
          <w:sz w:val="13"/>
          <w:szCs w:val="13"/>
          <w:b w:val="1"/>
          <w:bCs w:val="1"/>
          <w:color w:val="auto"/>
        </w:rPr>
        <w:t>Galera Regulatory Permits</w:t>
      </w:r>
      <w:r>
        <w:rPr>
          <w:rFonts w:ascii="Times New Roman" w:cs="Times New Roman" w:eastAsia="Times New Roman" w:hAnsi="Times New Roman"/>
          <w:sz w:val="13"/>
          <w:szCs w:val="13"/>
          <w:color w:val="auto"/>
        </w:rPr>
        <w:t>”) and no such Galera Regulatory Permit has been (i) revoked, withdrawn, suspended, cancelled or terminated or (ii) modified in any material, adverse manner, in the case of each of (i) and (ii) by a Drug</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3" w:name="page84"/>
    <w:bookmarkEnd w:id="83"/>
    <w:p>
      <w:pPr>
        <w:ind w:left="640" w:right="81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Regulatory Agency. Galera has timely maintained and is in compliance in all material respects with the Galera Regulatory Permits and neither Galera nor any of its Subsidiaries has, since January 1, 2023, received any written notice or other written communication from any Drug Regulatory Agency regarding (A) any material violation of or failure to comply materially with any term or requirement of any Galera Regulatory Permit or (B) any revocation, withdrawal, suspension, cancellation, termination or material modification of any Galera Regulatory Permit.</w:t>
      </w:r>
    </w:p>
    <w:p>
      <w:pPr>
        <w:spacing w:after="0" w:line="116" w:lineRule="exact"/>
        <w:rPr>
          <w:sz w:val="20"/>
          <w:szCs w:val="20"/>
          <w:color w:val="auto"/>
        </w:rPr>
      </w:pPr>
    </w:p>
    <w:p>
      <w:pPr>
        <w:ind w:left="640" w:right="779" w:firstLine="307"/>
        <w:spacing w:after="0" w:line="269" w:lineRule="auto"/>
        <w:tabs>
          <w:tab w:leader="none" w:pos="1121"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of the date of this Agreement, all clinical, pre-clinical and other studies and tests conducted by or on behalf of, or sponsored by, Galera or its Subsidiaries, in which Galera or its Subsidiaries or their respective product candidates, including the Galera Product Candidates, have participated, were and, if still pending, are being conducted in compliance in all material respects with the applicable regulations of the Drug Regulatory Agencies and other applicable Law, including, without limitation, 21 C.F.R. Parts 50, 54, 56, 58 and 312, 45 C.F.R. Part 46, and all other applicable Laws governing informed consent, institutional review boards, and the protection of human subjects. Other than as set forth on </w:t>
      </w:r>
      <w:r>
        <w:rPr>
          <w:rFonts w:ascii="Times New Roman" w:cs="Times New Roman" w:eastAsia="Times New Roman" w:hAnsi="Times New Roman"/>
          <w:sz w:val="12"/>
          <w:szCs w:val="12"/>
          <w:u w:val="single" w:color="auto"/>
          <w:color w:val="auto"/>
        </w:rPr>
        <w:t>Section 4.15(e)</w:t>
      </w:r>
      <w:r>
        <w:rPr>
          <w:rFonts w:ascii="Times New Roman" w:cs="Times New Roman" w:eastAsia="Times New Roman" w:hAnsi="Times New Roman"/>
          <w:sz w:val="12"/>
          <w:szCs w:val="12"/>
          <w:color w:val="auto"/>
        </w:rPr>
        <w:t xml:space="preserve"> of the Galera Disclosure Schedule, neither Galera nor any of its Subsidiaries has received any written notices, correspondence, or other communications from any Drug Regulatory Agency requiring, or, to the Knowledge of Galera, threatening any action to place a clinical hold order on, or otherwise terminate, delay, or suspend any clinical studies conducted by or on behalf of, or sponsored by, Galera or any of its Subsidiaries or in which Galera or any of its Subsidiaries or its current product candidates, including the Galera Product Candidates, have participated.</w:t>
      </w:r>
    </w:p>
    <w:p>
      <w:pPr>
        <w:spacing w:after="0" w:line="124" w:lineRule="exact"/>
        <w:rPr>
          <w:rFonts w:ascii="Times New Roman" w:cs="Times New Roman" w:eastAsia="Times New Roman" w:hAnsi="Times New Roman"/>
          <w:sz w:val="12"/>
          <w:szCs w:val="12"/>
          <w:color w:val="auto"/>
        </w:rPr>
      </w:pPr>
    </w:p>
    <w:p>
      <w:pPr>
        <w:ind w:left="640" w:right="659" w:firstLine="307"/>
        <w:spacing w:after="0" w:line="267" w:lineRule="auto"/>
        <w:tabs>
          <w:tab w:leader="none" w:pos="1107"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Galera nor any of its Subsidiaries, and, to the Knowledge of Galera, any contract manufacturer in relation to its activities with respect to any Galera Product Candidate, is the subject of any pending or, to the Knowledge of Galera,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Galera, neither Galera nor any of its Subsidiaries nor any contract manufacturer in relation to its activities with respect to any Galera Product Candidate has committed any acts, made any statement, or failed to make any statement, in each case in respect of Galera’s business or products that would violate the FDA’s “Fraud, Untrue Statements of Material Facts, Bribery, and Illegal Gratuities” Final Policy, and any amendments thereto, or any other applicable Law. None of Galera, any of its Subsidiaries, and to the Knowledge of Galera, any contract manufacturer in relation to its activities with respect to any Galera Product Candidate, or any of their respective officers, employees or agents has been convicted of any crime or engaged in any conduct that could result in a debarment or exclusion under (i) 21 U.S.C. Section 335a (ii) 42 U.S.C. § 1320a-7, or (iii) any other applicable Law. To the Knowledge of Galera, no debarment or exclusionary claims, actions, proceedings or investigations in respect of Galera’s or its Subsidiaries’ business or Galera Product Candidates are pending or threatened against Galera, any of its Subsidiaries, and to the Knowledge of Galera, any contract manufacturer in relation to its activities with respect to any Galera Product Candidate, or any of its respective officers, employees or agents. Neither Galera nor any of its Subsidiaries is a party to or has any reporting obligations under any corporate integrity agreements, monitoring agreements, deferred or non-prosecution agreements, consent decrees, settlement orders, or similar agreements with or imposed by any Governmental Authority.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4" w:name="page85"/>
    <w:bookmarkEnd w:id="84"/>
    <w:p>
      <w:pPr>
        <w:ind w:left="640" w:right="659" w:firstLine="307"/>
        <w:spacing w:after="0" w:line="271" w:lineRule="auto"/>
        <w:tabs>
          <w:tab w:leader="none" w:pos="112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manufacturing operations conducted by, or to the Knowledge of Galera, for the benefit of, Galera or its Subsidiaries in connection with any Galera Product Candidate, since January 1, 2023, have been and are being conducted in compliance in all material respects with applicable Laws, including the FDA’s standards for current good manufacturing practices, including applicable requirements contained in 21 C.F.R. Parts 210, 211,</w:t>
      </w: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600-680 and 1271, and the applicable respective counterparts thereof promulgated by Governmental Authorities in countries outside the United States.</w:t>
      </w:r>
    </w:p>
    <w:p>
      <w:pPr>
        <w:spacing w:after="0" w:line="152" w:lineRule="exact"/>
        <w:rPr>
          <w:rFonts w:ascii="Times New Roman" w:cs="Times New Roman" w:eastAsia="Times New Roman" w:hAnsi="Times New Roman"/>
          <w:sz w:val="12"/>
          <w:szCs w:val="12"/>
          <w:color w:val="auto"/>
        </w:rPr>
      </w:pPr>
    </w:p>
    <w:p>
      <w:pPr>
        <w:ind w:left="640" w:right="739" w:firstLine="307"/>
        <w:spacing w:after="0" w:line="275" w:lineRule="auto"/>
        <w:tabs>
          <w:tab w:leader="none" w:pos="112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laboratory or manufacturing site owned by Galera or its Subsidiaries, and to the Knowledge of Galera, no manufacturing site of a contract manufacturer or laboratory, with respect to any Galera Product Candidate, (i) is subject to a Drug Regulatory Agency shutdown or import or export prohibition or (ii) has since January 1, 2023, received any unresolved Form FDA 483, notice of violation, warning letter, untitled letter, or similar correspondence or notice from the FDA or other Governmental Authority alleging or asserting material noncompliance with the FDCA, PHSA or any applicable Law, and, to the Knowledge of Galera, neither the FDA nor any other Governmental Authority is considering such action.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4.16 </w:t>
      </w:r>
      <w:r>
        <w:rPr>
          <w:rFonts w:ascii="Times New Roman" w:cs="Times New Roman" w:eastAsia="Times New Roman" w:hAnsi="Times New Roman"/>
          <w:sz w:val="13"/>
          <w:szCs w:val="13"/>
          <w:u w:val="single" w:color="auto"/>
          <w:color w:val="auto"/>
        </w:rPr>
        <w:t>Legal Proceedings;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7"/>
        <w:spacing w:after="0" w:line="251" w:lineRule="auto"/>
        <w:tabs>
          <w:tab w:leader="none" w:pos="1121"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4.16</w:t>
      </w:r>
      <w:r>
        <w:rPr>
          <w:rFonts w:ascii="Times New Roman" w:cs="Times New Roman" w:eastAsia="Times New Roman" w:hAnsi="Times New Roman"/>
          <w:sz w:val="13"/>
          <w:szCs w:val="13"/>
          <w:color w:val="auto"/>
        </w:rPr>
        <w:t xml:space="preserve"> of the Galera Disclosure Schedule, there is no pending Legal Proceeding and, to the Knowledge of Galera, no Person has threatened in writing to commence any Legal Proceeding: (i) that involves Galera or any of its Subsidiaries or any Galera Associate (in his or her capacity as such) or any of the material assets owned or used by Galera or any of its Subsidiaries or (ii) that challenges, or that may have the effect of preventing, delaying, making illegal or otherwise interfering with, the Contemplated Transactions.</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8"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Order to which Galera or any of its Subsidiaries, or any of the material assets owned or used by Galera or any of its Subsidiaries is subject. To the Knowledge of Galera, no officer or other Key Employee of Galera or any of its Subsidiaries is subject to any Order that prohibits such officer or employee from engaging in or continuing any conduct, activity or practice relating to the business of Galera or any of its Subsidiaries or to any material assets owned or used by Galera or any of its Subsidiaries.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4.17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9" w:lineRule="auto"/>
        <w:tabs>
          <w:tab w:leader="none" w:pos="1121"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each of its Subsidiaries has timely filed all income Tax Returns and all other material Tax Returns that were required to be filed by or with respect to it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Galera or any of its Subsidiaries does not file a particular type of Tax Return that Galera or any of its Subsidiaries is subject to taxation by that jurisdiction that would require the filing of such a Tax Return.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5" w:name="page86"/>
    <w:bookmarkEnd w:id="85"/>
    <w:p>
      <w:pPr>
        <w:ind w:left="640" w:right="659" w:firstLine="307"/>
        <w:spacing w:after="0" w:line="249" w:lineRule="auto"/>
        <w:tabs>
          <w:tab w:leader="none" w:pos="112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material amounts of Taxes due and owing by Galera and each of its Subsidiaries (whether or not shown on any Tax Return) have been timely paid. The unpaid Taxes of Galera and each of its Subsidiaries for periods (or portions thereof) ending on or prior to the date of the Galera Balance Sheet do not materially exceed the accruals for current Taxes set forth on the Galera Balance Sheet. Since the date of the Galera Balance Sheet, neither Galera nor any of its Subsidiaries has incurred any material Liability for Taxes outside the Ordinary Course of Business or otherwise inconsistent with past custom and practice.</w:t>
      </w:r>
    </w:p>
    <w:p>
      <w:pPr>
        <w:spacing w:after="0" w:line="134" w:lineRule="exact"/>
        <w:rPr>
          <w:rFonts w:ascii="Times New Roman" w:cs="Times New Roman" w:eastAsia="Times New Roman" w:hAnsi="Times New Roman"/>
          <w:sz w:val="13"/>
          <w:szCs w:val="13"/>
          <w:color w:val="auto"/>
        </w:rPr>
      </w:pPr>
    </w:p>
    <w:p>
      <w:pPr>
        <w:jc w:val="both"/>
        <w:ind w:left="640" w:right="879" w:firstLine="307"/>
        <w:spacing w:after="0" w:line="255" w:lineRule="auto"/>
        <w:tabs>
          <w:tab w:leader="none" w:pos="1121"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30" w:lineRule="exact"/>
        <w:rPr>
          <w:rFonts w:ascii="Times New Roman" w:cs="Times New Roman" w:eastAsia="Times New Roman" w:hAnsi="Times New Roman"/>
          <w:sz w:val="13"/>
          <w:szCs w:val="13"/>
          <w:color w:val="auto"/>
        </w:rPr>
      </w:pPr>
    </w:p>
    <w:p>
      <w:pPr>
        <w:ind w:left="640" w:right="839" w:firstLine="307"/>
        <w:spacing w:after="0" w:line="267" w:lineRule="auto"/>
        <w:tabs>
          <w:tab w:leader="none" w:pos="112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material Taxes (other Encumbrances described in clause (i) of the definition of “Permitted Encumbrances”) upon any of the assets of Galera or any of its Subsidiaries.</w:t>
      </w:r>
    </w:p>
    <w:p>
      <w:pPr>
        <w:spacing w:after="0" w:line="122" w:lineRule="exact"/>
        <w:rPr>
          <w:rFonts w:ascii="Times New Roman" w:cs="Times New Roman" w:eastAsia="Times New Roman" w:hAnsi="Times New Roman"/>
          <w:sz w:val="13"/>
          <w:szCs w:val="13"/>
          <w:color w:val="auto"/>
        </w:rPr>
      </w:pPr>
    </w:p>
    <w:p>
      <w:pPr>
        <w:jc w:val="both"/>
        <w:ind w:left="640" w:right="699" w:firstLine="307"/>
        <w:spacing w:after="0" w:line="249" w:lineRule="auto"/>
        <w:tabs>
          <w:tab w:leader="none" w:pos="1121"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deficiencies for a material amount of Taxes with respect to Galera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Galera or any of its Subsidiaries. Neither Galera nor any of its Subsidiaries has waived any statute of limitations in respect of material Taxes or agreed to any extension of time with respect to a material Tax assessment or deficiency.</w:t>
      </w:r>
    </w:p>
    <w:p>
      <w:pPr>
        <w:spacing w:after="0" w:line="134" w:lineRule="exact"/>
        <w:rPr>
          <w:rFonts w:ascii="Times New Roman" w:cs="Times New Roman" w:eastAsia="Times New Roman" w:hAnsi="Times New Roman"/>
          <w:sz w:val="13"/>
          <w:szCs w:val="13"/>
          <w:color w:val="auto"/>
        </w:rPr>
      </w:pPr>
    </w:p>
    <w:p>
      <w:pPr>
        <w:ind w:left="640" w:right="1399" w:firstLine="307"/>
        <w:spacing w:after="0" w:line="267" w:lineRule="auto"/>
        <w:tabs>
          <w:tab w:leader="none" w:pos="1107"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is a party to any Tax allocation, Tax sharing or similar agreement (including indemnity arrangements), other than Ordinary Course Agreements.</w:t>
      </w:r>
    </w:p>
    <w:p>
      <w:pPr>
        <w:spacing w:after="0" w:line="122"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has been a member of an affiliated group filing a consolidated U.S. federal income Tax Return (other than a group the common parent of which is Galera). Neither Galera nor any of its Subsidiaries has any material Liability for the Taxes of any Person (other than Galera) under Treasury Regulations Section 1.1502-6 (or any similar provision of state, local, or foreign law), as a transferee or successor, or by Contract (other than an Ordinary Course Agreement).</w:t>
      </w:r>
    </w:p>
    <w:p>
      <w:pPr>
        <w:spacing w:after="0" w:line="132" w:lineRule="exact"/>
        <w:rPr>
          <w:rFonts w:ascii="Times New Roman" w:cs="Times New Roman" w:eastAsia="Times New Roman" w:hAnsi="Times New Roman"/>
          <w:sz w:val="13"/>
          <w:szCs w:val="13"/>
          <w:color w:val="auto"/>
        </w:rPr>
      </w:pPr>
    </w:p>
    <w:p>
      <w:pPr>
        <w:ind w:left="640" w:right="999" w:firstLine="307"/>
        <w:spacing w:after="0" w:line="267" w:lineRule="auto"/>
        <w:tabs>
          <w:tab w:leader="none" w:pos="112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22" w:lineRule="exact"/>
        <w:rPr>
          <w:rFonts w:ascii="Times New Roman" w:cs="Times New Roman" w:eastAsia="Times New Roman" w:hAnsi="Times New Roman"/>
          <w:sz w:val="13"/>
          <w:szCs w:val="13"/>
          <w:color w:val="auto"/>
        </w:rPr>
      </w:pPr>
    </w:p>
    <w:p>
      <w:pPr>
        <w:ind w:left="640" w:right="939" w:firstLine="307"/>
        <w:spacing w:after="0" w:line="267" w:lineRule="auto"/>
        <w:tabs>
          <w:tab w:leader="none" w:pos="110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has entered into any transaction identified as a “reportable transaction” for purposes of Treasury Regulations Section 1.6011-4(b)(2).</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7" w:lineRule="auto"/>
        <w:tabs>
          <w:tab w:leader="none" w:pos="110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will be required to include any item of income or gain in, or exclude any item of deduction or loss from, taxable income for any taxable period (or portion thereof) ending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amount, advance payments or deferred revenue received or accrued on or prior to the Closing Date; or (v) intercompany transaction or excess loss amount described in Treasury Regulations under Section 1502 of the Code (or any corresponding or similar provision of state, local or foreign income Tax Law).</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6" w:name="page87"/>
    <w:bookmarkEnd w:id="86"/>
    <w:p>
      <w:pPr>
        <w:ind w:left="640" w:right="699" w:firstLine="307"/>
        <w:spacing w:after="0" w:line="255" w:lineRule="auto"/>
        <w:tabs>
          <w:tab w:leader="none" w:pos="1128"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4.17(k)</w:t>
      </w:r>
      <w:r>
        <w:rPr>
          <w:rFonts w:ascii="Times New Roman" w:cs="Times New Roman" w:eastAsia="Times New Roman" w:hAnsi="Times New Roman"/>
          <w:sz w:val="13"/>
          <w:szCs w:val="13"/>
          <w:color w:val="auto"/>
        </w:rPr>
        <w:t xml:space="preserve"> of the Galera Disclosure Schedule sets forth the entity classification of Galera and each of its Subsidiaries for U.S. federal income tax purposes. Neither Galera nor any of its Subsidiaries has made an election or taken any other action to change its federal and state income tax classification from such classification.</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309" w:lineRule="auto"/>
        <w:tabs>
          <w:tab w:leader="none" w:pos="110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Galera nor any of its Subsidiaries has taken or knowingly failed to take any action, nor to the Knowledge of Galera, are there any facts or circumstances, in each case, that would reasonably be expected to prevent or impede the Mergers from qualifying for the Intended Tax Treatment.</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4.18 </w:t>
      </w:r>
      <w:r>
        <w:rPr>
          <w:rFonts w:ascii="Times New Roman" w:cs="Times New Roman" w:eastAsia="Times New Roman" w:hAnsi="Times New Roman"/>
          <w:sz w:val="13"/>
          <w:szCs w:val="13"/>
          <w:u w:val="single" w:color="auto"/>
          <w:color w:val="auto"/>
        </w:rPr>
        <w:t>Employee and Labor Matters;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7"/>
        <w:spacing w:after="0" w:line="279" w:lineRule="auto"/>
        <w:tabs>
          <w:tab w:leader="none" w:pos="1121"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xml:space="preserve"> of the Galera Disclosure Schedule contains a complete and accurate list of all Galera employees as of the date of this Agreement, setting forth for each employee: job title; classification as exempt or non-exempt for wage and hour purposes; annual base salary, hourly rate or other rates of compensation; target bonus opportunity; full-time or part-time status; date of hire; business location; status (i.e., active or inactive and if inactive, the type of leave and estimated duration); and any visa or work permit status and the date of expiration, if applicable.</w:t>
      </w:r>
    </w:p>
    <w:p>
      <w:pPr>
        <w:spacing w:after="0" w:line="116" w:lineRule="exact"/>
        <w:rPr>
          <w:rFonts w:ascii="Times New Roman" w:cs="Times New Roman" w:eastAsia="Times New Roman" w:hAnsi="Times New Roman"/>
          <w:sz w:val="12"/>
          <w:szCs w:val="12"/>
          <w:color w:val="auto"/>
        </w:rPr>
      </w:pPr>
    </w:p>
    <w:p>
      <w:pPr>
        <w:ind w:left="640" w:right="739" w:firstLine="307"/>
        <w:spacing w:after="0" w:line="279" w:lineRule="auto"/>
        <w:tabs>
          <w:tab w:leader="none" w:pos="1128"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4.18(b)</w:t>
      </w:r>
      <w:r>
        <w:rPr>
          <w:rFonts w:ascii="Times New Roman" w:cs="Times New Roman" w:eastAsia="Times New Roman" w:hAnsi="Times New Roman"/>
          <w:sz w:val="12"/>
          <w:szCs w:val="12"/>
          <w:color w:val="auto"/>
        </w:rPr>
        <w:t xml:space="preserve"> of the Galera Disclosure Schedule contains a complete and accurate list of all of the individual independent contractors, consultants, temporary employees, leased employees or other agents employed or used by Galera and classified by Galera as other than employees, or compensated other than through wages paid by Galera through Galera’s payroll department (“</w:t>
      </w:r>
      <w:r>
        <w:rPr>
          <w:rFonts w:ascii="Times New Roman" w:cs="Times New Roman" w:eastAsia="Times New Roman" w:hAnsi="Times New Roman"/>
          <w:sz w:val="12"/>
          <w:szCs w:val="12"/>
          <w:b w:val="1"/>
          <w:bCs w:val="1"/>
          <w:color w:val="auto"/>
        </w:rPr>
        <w:t>Galera Contingent Workers</w:t>
      </w:r>
      <w:r>
        <w:rPr>
          <w:rFonts w:ascii="Times New Roman" w:cs="Times New Roman" w:eastAsia="Times New Roman" w:hAnsi="Times New Roman"/>
          <w:sz w:val="12"/>
          <w:szCs w:val="12"/>
          <w:color w:val="auto"/>
        </w:rPr>
        <w:t>”), showing for each Galera Contingent Worker such individual’s engagement date, role in the business, work location, and fee or compensation arrangements.</w:t>
      </w:r>
    </w:p>
    <w:p>
      <w:pPr>
        <w:spacing w:after="0" w:line="116" w:lineRule="exact"/>
        <w:rPr>
          <w:rFonts w:ascii="Times New Roman" w:cs="Times New Roman" w:eastAsia="Times New Roman" w:hAnsi="Times New Roman"/>
          <w:sz w:val="12"/>
          <w:szCs w:val="12"/>
          <w:color w:val="auto"/>
        </w:rPr>
      </w:pPr>
    </w:p>
    <w:p>
      <w:pPr>
        <w:ind w:left="640" w:right="699" w:firstLine="307"/>
        <w:spacing w:after="0" w:line="251" w:lineRule="auto"/>
        <w:tabs>
          <w:tab w:leader="none" w:pos="1121"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is a party to, bound by the terms of, or has a duty to bargain under, any collective bargaining agreement or other Contract with a labor union, works council or labor organization representing any Galera Associate, and there are no labor unions, works council or labor organizations representing or, to the Knowledge of Galera, purporting to represent or seeking to represent any Galera Associates, including through the filing of a petition for representation election.</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4.18(d)</w:t>
      </w:r>
      <w:r>
        <w:rPr>
          <w:rFonts w:ascii="Times New Roman" w:cs="Times New Roman" w:eastAsia="Times New Roman" w:hAnsi="Times New Roman"/>
          <w:sz w:val="13"/>
          <w:szCs w:val="13"/>
          <w:color w:val="auto"/>
        </w:rPr>
        <w:t xml:space="preserve"> of the Galera Disclosure Schedule lists all material Galera Employee Plans.</w:t>
      </w:r>
    </w:p>
    <w:p>
      <w:pPr>
        <w:spacing w:after="0" w:line="153" w:lineRule="exact"/>
        <w:rPr>
          <w:rFonts w:ascii="Times New Roman" w:cs="Times New Roman" w:eastAsia="Times New Roman" w:hAnsi="Times New Roman"/>
          <w:sz w:val="13"/>
          <w:szCs w:val="13"/>
          <w:color w:val="auto"/>
        </w:rPr>
      </w:pPr>
    </w:p>
    <w:p>
      <w:pPr>
        <w:ind w:left="640" w:right="759" w:firstLine="307"/>
        <w:spacing w:after="0" w:line="274" w:lineRule="auto"/>
        <w:tabs>
          <w:tab w:leader="none" w:pos="1121"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applicable with respect to each material Galera Employee Plan, Galera has made available to Obsidian, true and complete copies of (i) the plan document, including all amendments thereto, and in the case of an unwritten Employee Plan, a written description of all material terms thereof,</w:t>
      </w:r>
    </w:p>
    <w:p>
      <w:pPr>
        <w:spacing w:after="0" w:line="1" w:lineRule="exact"/>
        <w:rPr>
          <w:rFonts w:ascii="Times New Roman" w:cs="Times New Roman" w:eastAsia="Times New Roman" w:hAnsi="Times New Roman"/>
          <w:sz w:val="12"/>
          <w:szCs w:val="12"/>
          <w:color w:val="auto"/>
        </w:rPr>
      </w:pPr>
    </w:p>
    <w:p>
      <w:pPr>
        <w:ind w:left="640" w:right="679" w:hanging="3"/>
        <w:spacing w:after="0" w:line="245" w:lineRule="auto"/>
        <w:tabs>
          <w:tab w:leader="none" w:pos="826"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87" w:name="page88"/>
    <w:bookmarkEnd w:id="87"/>
    <w:p>
      <w:pPr>
        <w:jc w:val="both"/>
        <w:ind w:left="640" w:right="93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reports required to be filed with any Governmental Authority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w:t>
      </w:r>
    </w:p>
    <w:p>
      <w:pPr>
        <w:spacing w:after="0" w:line="128" w:lineRule="exact"/>
        <w:rPr>
          <w:sz w:val="20"/>
          <w:szCs w:val="20"/>
          <w:color w:val="auto"/>
        </w:rPr>
      </w:pPr>
    </w:p>
    <w:p>
      <w:pPr>
        <w:ind w:left="640" w:right="759" w:firstLine="307"/>
        <w:spacing w:after="0" w:line="251" w:lineRule="auto"/>
        <w:tabs>
          <w:tab w:leader="none" w:pos="1107"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Galera, nothing has occurred that would reasonably be expected to cause the loss of the qualified status of any such Galera Employee Plan or the Tax exempt status of any related trust.</w:t>
      </w:r>
    </w:p>
    <w:p>
      <w:pPr>
        <w:spacing w:after="0" w:line="132"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8"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Employee Plan has been established, maintained and operated in compliance, in all material respects, with its terms and all applicable Laws, including, without limitation, the Code and ERISA. No Legal Proceeding (other than those relating to routine claims for benefits) is pending or, to the Knowledge of Galera, threatened with respect to any Galera Employee Plan. All material payments and/or contributions required to have been made with respect to all Galera Employee Plans have been made or accrued on the financial statements of Galera in accordance with the terms of the applicable Galera Employee Plan and applicable Law and neither the Galera nor any Galera ERISA Affiliate has any material Liability for any such unpaid contributions with respect to any Galera Employee Plan.</w:t>
      </w:r>
    </w:p>
    <w:p>
      <w:pPr>
        <w:spacing w:after="0" w:line="134" w:lineRule="exact"/>
        <w:rPr>
          <w:rFonts w:ascii="Times New Roman" w:cs="Times New Roman" w:eastAsia="Times New Roman" w:hAnsi="Times New Roman"/>
          <w:sz w:val="13"/>
          <w:szCs w:val="13"/>
          <w:color w:val="auto"/>
        </w:rPr>
      </w:pPr>
    </w:p>
    <w:p>
      <w:pPr>
        <w:ind w:left="640" w:right="759" w:firstLine="307"/>
        <w:spacing w:after="0" w:line="279" w:lineRule="auto"/>
        <w:tabs>
          <w:tab w:leader="none" w:pos="112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Galera,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w:t>
      </w:r>
    </w:p>
    <w:p>
      <w:pPr>
        <w:spacing w:after="0" w:line="116" w:lineRule="exact"/>
        <w:rPr>
          <w:rFonts w:ascii="Times New Roman" w:cs="Times New Roman" w:eastAsia="Times New Roman" w:hAnsi="Times New Roman"/>
          <w:sz w:val="12"/>
          <w:szCs w:val="12"/>
          <w:color w:val="auto"/>
        </w:rPr>
      </w:pPr>
    </w:p>
    <w:p>
      <w:pPr>
        <w:ind w:left="640" w:right="699" w:firstLine="307"/>
        <w:spacing w:after="0" w:line="255" w:lineRule="auto"/>
        <w:tabs>
          <w:tab w:leader="none" w:pos="110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Galera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w:t>
      </w:r>
    </w:p>
    <w:p>
      <w:pPr>
        <w:spacing w:after="0" w:line="130"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Galera Employee Plan is subject to any law of a foreign jurisdiction outside of the United States.</w:t>
      </w:r>
    </w:p>
    <w:p>
      <w:pPr>
        <w:spacing w:after="0" w:line="153"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28"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Galera Associate as a result of the operation of Section 409A of the Code.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29" w:right="1440" w:bottom="1440" w:gutter="0" w:footer="0" w:header="0"/>
        </w:sectPr>
      </w:pPr>
    </w:p>
    <w:bookmarkStart w:id="88" w:name="page89"/>
    <w:bookmarkEnd w:id="88"/>
    <w:p>
      <w:pPr>
        <w:ind w:left="640" w:right="699" w:firstLine="307"/>
        <w:spacing w:after="0" w:line="246" w:lineRule="auto"/>
        <w:tabs>
          <w:tab w:leader="none" w:pos="1100"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Galera and its Subsidiaries are, and since January 1, 2023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 Galera Material Adverse Effect, there are no, and since January 1, 2023 there have been no, Legal Proceedings pending or, to the Knowledge of Galera, threatened against Galera or any of its Subsidiaries relating to any labor or employment matters or any Galera Associate. Galera is not a party to a conciliation agreement, consent decree or other agreement or Order with any federal, state, or local agency or Governmental Authority with respect to employment practices.</w:t>
      </w:r>
    </w:p>
    <w:p>
      <w:pPr>
        <w:spacing w:after="0" w:line="137" w:lineRule="exact"/>
        <w:rPr>
          <w:rFonts w:ascii="Times New Roman" w:cs="Times New Roman" w:eastAsia="Times New Roman" w:hAnsi="Times New Roman"/>
          <w:sz w:val="13"/>
          <w:szCs w:val="13"/>
          <w:color w:val="auto"/>
        </w:rPr>
      </w:pPr>
    </w:p>
    <w:p>
      <w:pPr>
        <w:jc w:val="both"/>
        <w:ind w:left="640" w:right="659" w:firstLine="307"/>
        <w:spacing w:after="0" w:line="251" w:lineRule="auto"/>
        <w:tabs>
          <w:tab w:leader="none" w:pos="1163"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(i) Galera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Galera or any of its Subsidiaries has been under any requirement or obligation to issue any such notification), or (iii) incurred any Liability or obligation under the WARN Act that remains unsatisfied.</w:t>
      </w:r>
    </w:p>
    <w:p>
      <w:pPr>
        <w:spacing w:after="0" w:line="132" w:lineRule="exact"/>
        <w:rPr>
          <w:rFonts w:ascii="Times New Roman" w:cs="Times New Roman" w:eastAsia="Times New Roman" w:hAnsi="Times New Roman"/>
          <w:sz w:val="13"/>
          <w:szCs w:val="13"/>
          <w:color w:val="auto"/>
        </w:rPr>
      </w:pPr>
    </w:p>
    <w:p>
      <w:pPr>
        <w:jc w:val="both"/>
        <w:ind w:left="640" w:right="739" w:firstLine="307"/>
        <w:spacing w:after="0" w:line="309" w:lineRule="auto"/>
        <w:tabs>
          <w:tab w:leader="none" w:pos="1128"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2023, there has not been, nor to the Knowledge of Galera has there been any threat of, any strike, slowdown, work stoppage, lockout, job action, union, organizing activity, question concerning representation or any similar activity or dispute, affecting Galera or its Subsidiaries.</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128"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agreement, plan or arrangement to which Galera or any of its Subsidiaries is a party or by which it is bound to make any payment or compensate any Galera Associate for Taxes incurred pursuant to the Code, including, but not limited to, Section 4999 or Section 409A of the Code.</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74" w:lineRule="auto"/>
        <w:tabs>
          <w:tab w:leader="none" w:pos="1128"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execution and delivery of this Agreement, the shareholder approval of this Agreement, or the consummation of the Contemplated Transactions (either alone or in conjunction with any other event, including without limitation, a termination of employment) could result in any</w:t>
      </w:r>
    </w:p>
    <w:p>
      <w:pPr>
        <w:spacing w:after="0" w:line="1" w:lineRule="exact"/>
        <w:rPr>
          <w:rFonts w:ascii="Times New Roman" w:cs="Times New Roman" w:eastAsia="Times New Roman" w:hAnsi="Times New Roman"/>
          <w:sz w:val="12"/>
          <w:szCs w:val="12"/>
          <w:color w:val="auto"/>
        </w:rPr>
      </w:pPr>
    </w:p>
    <w:p>
      <w:pPr>
        <w:ind w:left="640" w:right="699" w:hanging="3"/>
        <w:spacing w:after="0" w:line="244" w:lineRule="auto"/>
        <w:tabs>
          <w:tab w:leader="none" w:pos="79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or benefit (including severance, forgiveness of indebtedness or otherwise) becoming due to Galera Associate, (ii) increase in any benefits or the compensation payable under any Galera Employee Plan, (iii) acceleration of the time of payment, funding or vesting of any such compensation or benefits or any loan forgiveness, (iv) restriction on the right of Galera or any of its Subsidiaries or, after the consummation of Contemplated Transactions, the Surviving Corporation, to merge, amend, terminate or transfer any Galera Employee Plan, or (v) “parachute payment” (within the meaning of Section 280G of the Code).</w:t>
      </w:r>
    </w:p>
    <w:p>
      <w:pPr>
        <w:spacing w:after="0" w:line="137"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4.19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Since January 1, 2023, Galera and each of its Subsidiaries has complied with all applicable Environmental Laws, which compliance includes the possession by Galera of all permits and other Governmental Authorizations required under applicable Environmental Laws and compliance with the terms and conditions thereof, except for any failure to be in compliance that, individually or in the aggregate, would not result in a Galera Material</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89" w:name="page90"/>
    <w:bookmarkEnd w:id="89"/>
    <w:p>
      <w:pPr>
        <w:ind w:left="640" w:right="67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Adverse Effect. Neither Galera nor any of its Subsidiaries has received since January 1, 2023, any written notice or other communication (in writing or otherwise), whether from a Governmental Authority, citizens group, employee or otherwise, that alleges that Galera or any of its Subsidiaries is not in compliance with any Environmental Law, and, to the Knowledge of Galera, there are no circumstances that may prevent or interfere with Galera’s or any of its Subsidiaries’ compliance with any Environmental Law in the future, except where such failure to comply would not reasonably be expected to have a Galera Material Adverse Effect. To the Knowledge of Galera: (a) no current or prior owner of any property leased or controlled by Galera or any of its Subsidiaries has received since January 1, 2023, any written notice or other communication relating to property owned or leased at any time by Galera or any of its Subsidiaries, whether from a Governmental Authority, citizens group, employee or otherwise, that alleges that such current or prior owner or Galera or any of its Subsidiaries is not in compliance with or violated any Environmental Law relating to such property and (b) neither Galera nor any of its Subsidiaries has any material Liability under any Environmental Law.</w:t>
      </w:r>
    </w:p>
    <w:p>
      <w:pPr>
        <w:spacing w:after="0" w:line="124"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4.20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Galera has made available to Obsidian accurate and complete copies of all material insurance policies and all material self-insurance programs and arrangements relating to the business, assets, liabilities and operations of Galera and its Subsidiaries. Each of such insurance policies is in full force and effect and Galera and its Subsidiaries are in compliance in all material respects with the terms thereof. Other than customary end of policy notifications from insurance carriers, since January 1, 2023, neither Galera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Galera and its Subsidiaries has provided timely written notice to the appropriate insurance carrier(s) of each Legal Proceeding pending against Galera or such Subsidiary for which Galera or such Subsidiary has insurance coverage, and no such carrier has issued a denial of coverage or a reservation of rights with respect to any such Legal Proceeding, or informed Galera or any of its Subsidiaries of its intent to do so.</w:t>
      </w:r>
    </w:p>
    <w:p>
      <w:pPr>
        <w:spacing w:after="0" w:line="137" w:lineRule="exact"/>
        <w:rPr>
          <w:sz w:val="20"/>
          <w:szCs w:val="20"/>
          <w:color w:val="auto"/>
        </w:rPr>
      </w:pPr>
    </w:p>
    <w:p>
      <w:pPr>
        <w:ind w:left="640" w:right="9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4.21 </w:t>
      </w:r>
      <w:r>
        <w:rPr>
          <w:rFonts w:ascii="Times New Roman" w:cs="Times New Roman" w:eastAsia="Times New Roman" w:hAnsi="Times New Roman"/>
          <w:sz w:val="13"/>
          <w:szCs w:val="13"/>
          <w:u w:val="single" w:color="auto"/>
          <w:color w:val="auto"/>
        </w:rPr>
        <w:t>Transactions with Affiliates</w:t>
      </w:r>
      <w:r>
        <w:rPr>
          <w:rFonts w:ascii="Times New Roman" w:cs="Times New Roman" w:eastAsia="Times New Roman" w:hAnsi="Times New Roman"/>
          <w:sz w:val="13"/>
          <w:szCs w:val="13"/>
          <w:color w:val="auto"/>
        </w:rPr>
        <w:t>. Except as set forth in the Galera SEC Documents filed prior to the date of this Agreement, since the date of Galera’s last proxy statement filed with the SEC, no event has occurred that would be required to be reported by Galera pursuant to Item 404 of Regulation S-K promulgated by the SEC that has not otherwise been reported.</w:t>
      </w:r>
    </w:p>
    <w:p>
      <w:pPr>
        <w:spacing w:after="0" w:line="130" w:lineRule="exact"/>
        <w:rPr>
          <w:sz w:val="20"/>
          <w:szCs w:val="20"/>
          <w:color w:val="auto"/>
        </w:rPr>
      </w:pPr>
    </w:p>
    <w:p>
      <w:pPr>
        <w:jc w:val="both"/>
        <w:ind w:left="640" w:right="9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4.22 </w:t>
      </w:r>
      <w:r>
        <w:rPr>
          <w:rFonts w:ascii="Times New Roman" w:cs="Times New Roman" w:eastAsia="Times New Roman" w:hAnsi="Times New Roman"/>
          <w:sz w:val="13"/>
          <w:szCs w:val="13"/>
          <w:u w:val="single" w:color="auto"/>
          <w:color w:val="auto"/>
        </w:rPr>
        <w:t>No Financial Advisors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4.22</w:t>
      </w:r>
      <w:r>
        <w:rPr>
          <w:rFonts w:ascii="Times New Roman" w:cs="Times New Roman" w:eastAsia="Times New Roman" w:hAnsi="Times New Roman"/>
          <w:sz w:val="13"/>
          <w:szCs w:val="13"/>
          <w:color w:val="auto"/>
        </w:rPr>
        <w:t xml:space="preserve"> of the Galera Disclosure Schedule, no broker, finder or investment banker is entitled to any brokerage fee, finder’s fee, opinion fee, success fee, transaction fee or other fee or commission in connection with the Contemplated Transactions based upon arrangements made by or on behalf of Galera.</w:t>
      </w:r>
    </w:p>
    <w:p>
      <w:pPr>
        <w:spacing w:after="0" w:line="130"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4.23 </w:t>
      </w:r>
      <w:r>
        <w:rPr>
          <w:rFonts w:ascii="Times New Roman" w:cs="Times New Roman" w:eastAsia="Times New Roman" w:hAnsi="Times New Roman"/>
          <w:sz w:val="13"/>
          <w:szCs w:val="13"/>
          <w:u w:val="single" w:color="auto"/>
          <w:color w:val="auto"/>
        </w:rPr>
        <w:t>Valid Issuance; No Bad Actor</w:t>
      </w:r>
      <w:r>
        <w:rPr>
          <w:rFonts w:ascii="Times New Roman" w:cs="Times New Roman" w:eastAsia="Times New Roman" w:hAnsi="Times New Roman"/>
          <w:sz w:val="13"/>
          <w:szCs w:val="13"/>
          <w:color w:val="auto"/>
        </w:rPr>
        <w:t>. The Galera Common Stock to be issued in the Mergers will, when issued in accordance with the provisions of this Agreement, be validly issued, fully paid and nonassessable. To the Knowledge of Galera, as of the date of this Agreement and as of the Closing, no “bad actor” disqualifying event described in Rule 506(d)(l)(i)-(viii) of the Securities Act (a “</w:t>
      </w:r>
      <w:r>
        <w:rPr>
          <w:rFonts w:ascii="Times New Roman" w:cs="Times New Roman" w:eastAsia="Times New Roman" w:hAnsi="Times New Roman"/>
          <w:sz w:val="13"/>
          <w:szCs w:val="13"/>
          <w:b w:val="1"/>
          <w:bCs w:val="1"/>
          <w:color w:val="auto"/>
        </w:rPr>
        <w:t>Disqualifying Event</w:t>
      </w:r>
      <w:r>
        <w:rPr>
          <w:rFonts w:ascii="Times New Roman" w:cs="Times New Roman" w:eastAsia="Times New Roman" w:hAnsi="Times New Roman"/>
          <w:sz w:val="13"/>
          <w:szCs w:val="13"/>
          <w:color w:val="auto"/>
        </w:rPr>
        <w:t>”) is applicable to Galera or, to Galera’s Knowledge, any Galera Covered Person, except for a Disqualifying Event as to which Rule 506(d)(2)(ii-iv) or (d)(3) of the Securities Act is applicable.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0" w:name="page91"/>
    <w:bookmarkEnd w:id="9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4.24 </w:t>
      </w:r>
      <w:r>
        <w:rPr>
          <w:rFonts w:ascii="Times New Roman" w:cs="Times New Roman" w:eastAsia="Times New Roman" w:hAnsi="Times New Roman"/>
          <w:sz w:val="13"/>
          <w:szCs w:val="13"/>
          <w:u w:val="single" w:color="auto"/>
          <w:color w:val="auto"/>
        </w:rPr>
        <w:t>Privacy and Data Security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67" w:lineRule="auto"/>
        <w:tabs>
          <w:tab w:leader="none" w:pos="1121"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and its Subsidiaries have complied with all applicable Privacy Laws and the applicable terms of any Galera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Galera or any of its Subsidiaries in connection with the operation of Galera’s and its Subsidiaries’ business, except for such noncompliance as has not had, and would not reasonably be expected to have, individually or in the aggregate, a Galera Material Adverse Effect. To the Knowledge of Galera, Galera has implemented and maintains reasonable written policies and procedures, satisfying the requirements of applicable Privacy Laws and Galera Contracts, concerning the privacy, security, collection and use of Personal Information (“</w:t>
      </w:r>
      <w:r>
        <w:rPr>
          <w:rFonts w:ascii="Times New Roman" w:cs="Times New Roman" w:eastAsia="Times New Roman" w:hAnsi="Times New Roman"/>
          <w:sz w:val="12"/>
          <w:szCs w:val="12"/>
          <w:b w:val="1"/>
          <w:bCs w:val="1"/>
          <w:color w:val="auto"/>
        </w:rPr>
        <w:t>Galera Privacy Policies</w:t>
      </w:r>
      <w:r>
        <w:rPr>
          <w:rFonts w:ascii="Times New Roman" w:cs="Times New Roman" w:eastAsia="Times New Roman" w:hAnsi="Times New Roman"/>
          <w:sz w:val="12"/>
          <w:szCs w:val="12"/>
          <w:color w:val="auto"/>
        </w:rPr>
        <w:t>”) and has complied with the same, except for such noncompliance as has not to the Knowledge of Obsidian had, and would not reasonably be expected to have, individually or in the aggregate, an Obsidian Material Adverse Effect. To the Knowledge of Galera, as of the date hereof, no claims have been asserted or threatened against Galera by any Person alleging a violation of Privacy Laws, Galera Privacy Policies and/or the applicable terms of any Galera Contracts relating to privacy, security, collection or use of Personal Information of any individuals and Galera has not received written notice of any of the same. To the Knowledge of Galera, there have been no data security incidents, personal data breaches or other adverse events or incidents related to Personal Information or Galera data in the custody or control of Galera or any service provider acting on behalf of Galera, in each case where such incident, breach or event would result in a notification obligation to any Person under applicable law or pursuant to the terms of any Galera Contract.</w:t>
      </w:r>
    </w:p>
    <w:p>
      <w:pPr>
        <w:spacing w:after="0" w:line="123" w:lineRule="exact"/>
        <w:rPr>
          <w:rFonts w:ascii="Times New Roman" w:cs="Times New Roman" w:eastAsia="Times New Roman" w:hAnsi="Times New Roman"/>
          <w:sz w:val="12"/>
          <w:szCs w:val="12"/>
          <w:color w:val="auto"/>
        </w:rPr>
      </w:pPr>
    </w:p>
    <w:p>
      <w:pPr>
        <w:ind w:left="640" w:right="699" w:firstLine="307"/>
        <w:spacing w:after="0" w:line="247" w:lineRule="auto"/>
        <w:tabs>
          <w:tab w:leader="none" w:pos="1128"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technology assets and equipment of Galera and its Subsidiaries (collectively, “</w:t>
      </w:r>
      <w:r>
        <w:rPr>
          <w:rFonts w:ascii="Times New Roman" w:cs="Times New Roman" w:eastAsia="Times New Roman" w:hAnsi="Times New Roman"/>
          <w:sz w:val="13"/>
          <w:szCs w:val="13"/>
          <w:b w:val="1"/>
          <w:bCs w:val="1"/>
          <w:color w:val="auto"/>
        </w:rPr>
        <w:t>Galera IT Systems</w:t>
      </w:r>
      <w:r>
        <w:rPr>
          <w:rFonts w:ascii="Times New Roman" w:cs="Times New Roman" w:eastAsia="Times New Roman" w:hAnsi="Times New Roman"/>
          <w:sz w:val="13"/>
          <w:szCs w:val="13"/>
          <w:color w:val="auto"/>
        </w:rPr>
        <w:t>”) are adequate for, and operate and perform in all material respects as required in connection with the operation of the business of Galera and its Subsidiaries as currently conducted, and to the Knowledge of Galera, free and clear of all material bugs, errors, defects, Trojan horses, time bombs, malware and other corruptants. Galera and its Subsidiaries have implemented and maintain commercially reasonable physical, technical and administrative safeguards to protect Personal Information processed by or on behalf of Galera and its Subsidiaries, any other material confidential information and the integrity and security of Galera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4.25 </w:t>
      </w:r>
      <w:r>
        <w:rPr>
          <w:rFonts w:ascii="Times New Roman" w:cs="Times New Roman" w:eastAsia="Times New Roman" w:hAnsi="Times New Roman"/>
          <w:sz w:val="13"/>
          <w:szCs w:val="13"/>
          <w:u w:val="single" w:color="auto"/>
          <w:color w:val="auto"/>
        </w:rPr>
        <w:t>Concurrent PIPE Financing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7"/>
        <w:spacing w:after="0" w:line="271" w:lineRule="auto"/>
        <w:tabs>
          <w:tab w:leader="none" w:pos="1121"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has delivered to Obsidian true, correct and complete copies of all definitive agreements related to the Concurrent PIPE Financing, including the Securities Purchase Agreement, pursuant to which the Purchasers (as defined in the Securities Purchase Agreement) party thereto (collectively, the “</w:t>
      </w:r>
      <w:r>
        <w:rPr>
          <w:rFonts w:ascii="Times New Roman" w:cs="Times New Roman" w:eastAsia="Times New Roman" w:hAnsi="Times New Roman"/>
          <w:sz w:val="12"/>
          <w:szCs w:val="12"/>
          <w:b w:val="1"/>
          <w:bCs w:val="1"/>
          <w:color w:val="auto"/>
        </w:rPr>
        <w:t>Purchasers</w:t>
      </w:r>
      <w:r>
        <w:rPr>
          <w:rFonts w:ascii="Times New Roman" w:cs="Times New Roman" w:eastAsia="Times New Roman" w:hAnsi="Times New Roman"/>
          <w:sz w:val="12"/>
          <w:szCs w:val="12"/>
          <w:color w:val="auto"/>
        </w:rPr>
        <w:t>”) have agreed, subject to the terms and conditions set forth therein, to purchase the number of shares of Galera Series C Preferred set forth therein in connection with the transactions contemplated by this Agreement. The Securities Purchase Agreement has not been amended or modified prior to the date of this Agreement and as of the date hereof, no such amendment or modification is contemplated (other than amendments or modifications that are permitted by Section 8.16 of the Securities Purchase Agreement), and as of the date hereof, the respective obligations and commitments contained in the Securities Purchase Agreement have not been withdrawn or rescinded in any respect.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91" w:name="page92"/>
    <w:bookmarkEnd w:id="91"/>
    <w:p>
      <w:pPr>
        <w:ind w:left="640" w:right="659" w:firstLine="307"/>
        <w:spacing w:after="0" w:line="272" w:lineRule="auto"/>
        <w:tabs>
          <w:tab w:leader="none" w:pos="1128"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of the date hereof, the Securities Purchase Agreement is in full force and effect and is the legal, valid, binding and enforceable obligation of Galera, and, to the Knowledge of Galera, each of the Purchasers. There are no conditions precedent or other contingencies related to the funding of the full amount of the Concurrent PIPE Financing, other than as expressly set forth in the Securities Purchase Agreement. As of the date hereof, no event has occurred which, with or without notice, lapse of time or both, would reasonably be expected to constitute a default or breach on the part of Galera or, to the Knowledge of Galera, any Purchaser under the Securities Purchase Agreement. As of the date hereof, Galera has no reason to believe that any of the conditions to the Concurrent PIPE Financing as contemplated by the Securities Purchase Agreement will not be satisfied.</w:t>
      </w:r>
    </w:p>
    <w:p>
      <w:pPr>
        <w:spacing w:after="0" w:line="123" w:lineRule="exact"/>
        <w:rPr>
          <w:sz w:val="20"/>
          <w:szCs w:val="20"/>
          <w:color w:val="auto"/>
        </w:rPr>
      </w:pPr>
    </w:p>
    <w:p>
      <w:pPr>
        <w:ind w:left="640" w:right="659" w:firstLine="309"/>
        <w:spacing w:after="0" w:line="272" w:lineRule="auto"/>
        <w:rPr>
          <w:sz w:val="20"/>
          <w:szCs w:val="20"/>
          <w:color w:val="auto"/>
        </w:rPr>
      </w:pPr>
      <w:r>
        <w:rPr>
          <w:rFonts w:ascii="Times New Roman" w:cs="Times New Roman" w:eastAsia="Times New Roman" w:hAnsi="Times New Roman"/>
          <w:sz w:val="12"/>
          <w:szCs w:val="12"/>
          <w:color w:val="auto"/>
        </w:rPr>
        <w:t xml:space="preserve">4.26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Galera and its Subsidiaries hereby acknowledge and agree that, except for the representations and warranties contained in this Agreement, neither Obsidian nor any of its Subsidiaries nor any other person on behalf of Obsidian or its Subsidiaries makes any express or implied representation or warranty with respect to Obsidian or its Subsidiaries or with respect to any other information provided to Galera, its stockholders or any of its Affiliates in connection with the Contemplated Transactions, and (subject to the express representations and warranties of Obsidian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(in each case as qualified and limited by the Obsidian Disclosure Schedule)) none of Galera, its Representatives, stockholders or members, has relied on any such information (including the accuracy or completeness thereof).</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REPRESENTATIONS AND WARRANTIES OF PARENT</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Parent represents and warrants to Obsidian and Galera as follows:</w:t>
      </w:r>
    </w:p>
    <w:p>
      <w:pPr>
        <w:spacing w:after="0" w:line="78"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Due Organization</w:t>
      </w:r>
      <w:r>
        <w:rPr>
          <w:rFonts w:ascii="Times New Roman" w:cs="Times New Roman" w:eastAsia="Times New Roman" w:hAnsi="Times New Roman"/>
          <w:sz w:val="13"/>
          <w:szCs w:val="13"/>
          <w:color w:val="auto"/>
        </w:rPr>
        <w:t>. Parent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33"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u w:val="single" w:color="auto"/>
          <w:color w:val="auto"/>
        </w:rPr>
        <w:t>Authority; Binding Nature of Agreement</w:t>
      </w:r>
      <w:r>
        <w:rPr>
          <w:rFonts w:ascii="Times New Roman" w:cs="Times New Roman" w:eastAsia="Times New Roman" w:hAnsi="Times New Roman"/>
          <w:sz w:val="12"/>
          <w:szCs w:val="12"/>
          <w:color w:val="auto"/>
        </w:rPr>
        <w:t>. Parent has all necessary corporate power and authority to enter into and to perform its obligations under this Agreement and to consummate the Contemplated Transactions. The Parent Board (at a meeting duly called and held or by written consent in lieu thereof in accordance with the Organizational Documents of Parent) has (i) determined that the Contemplated Transactions are fair to, advisable and in the best interests of Parent and its stockholders, (ii) approved and declared advisable this Agreement and the Contemplated Transactions, and</w:t>
      </w:r>
    </w:p>
    <w:p>
      <w:pPr>
        <w:spacing w:after="0" w:line="1" w:lineRule="exact"/>
        <w:rPr>
          <w:sz w:val="20"/>
          <w:szCs w:val="20"/>
          <w:color w:val="auto"/>
        </w:rPr>
      </w:pPr>
    </w:p>
    <w:p>
      <w:pPr>
        <w:ind w:left="640" w:right="659" w:hanging="3"/>
        <w:spacing w:after="0" w:line="244" w:lineRule="auto"/>
        <w:tabs>
          <w:tab w:leader="none" w:pos="861"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to recommend, upon the terms and subject to the conditions set forth in this Agreement, that its stockholder vote to approve Mergers. This Agreement has been duly executed and delivered by Parent, and assuming the due authorization, execution and delivery by Galera, Obsidian, Galera Merger Sub and Obsidian Merger Sub, constitutes the legal, valid and binding obligation of Parent, enforceable against Parent in accordance with its terms, subject to the Enforceability Exceptions.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2" w:name="page93"/>
    <w:bookmarkEnd w:id="92"/>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5.3 </w:t>
      </w:r>
      <w:r>
        <w:rPr>
          <w:rFonts w:ascii="Times New Roman" w:cs="Times New Roman" w:eastAsia="Times New Roman" w:hAnsi="Times New Roman"/>
          <w:sz w:val="13"/>
          <w:szCs w:val="13"/>
          <w:u w:val="single" w:color="auto"/>
          <w:color w:val="auto"/>
        </w:rPr>
        <w:t>No Vote of Parent Stockholders; Required Approval</w:t>
      </w:r>
      <w:r>
        <w:rPr>
          <w:rFonts w:ascii="Times New Roman" w:cs="Times New Roman" w:eastAsia="Times New Roman" w:hAnsi="Times New Roman"/>
          <w:sz w:val="13"/>
          <w:szCs w:val="13"/>
          <w:color w:val="auto"/>
        </w:rPr>
        <w:t>. The vote or Consent of Galera as the sole stockholder of Parent is the only vote or consent of the holders of any class or series of capital stock of Parent necessary to approve the Mergers and adopt this Agreement, which Consent shall be given immediately following the execution of this Agreement.</w:t>
      </w:r>
    </w:p>
    <w:p>
      <w:pPr>
        <w:spacing w:after="0" w:line="130"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There are no Legal Proceedings pending, or, to the Knowledge of Parent, threatened in writing, that would reasonably be expected to be material to Parent. Parent is not subject to any Order.</w:t>
      </w:r>
    </w:p>
    <w:p>
      <w:pPr>
        <w:spacing w:after="0" w:line="122"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Absence of Certain Agreements</w:t>
      </w:r>
      <w:r>
        <w:rPr>
          <w:rFonts w:ascii="Times New Roman" w:cs="Times New Roman" w:eastAsia="Times New Roman" w:hAnsi="Times New Roman"/>
          <w:sz w:val="12"/>
          <w:szCs w:val="12"/>
          <w:color w:val="auto"/>
        </w:rPr>
        <w:t>. As of the date hereof, other than the Obsidian Stockholder Support Agreements, the Galera Stockholder Support Agreements and the Securities Purchase Agreement, neither Parent nor any of its respective Affiliates has entered into any agreement, arrangement or understanding (in each case, whether oral or written), or authorized, committed or agreed to enter into any agreement, arrangement or understanding (in each case, whether oral or written), (i) pursuant to which any stockholder of the Galera would be entitled to receive, in respect of any share of Parent Common Stock, consideration of a different amount or nature than the Galera Merger Shares or pursuant to which any stockholder of the Galera has agreed to vote to adopt this Agreement or has agreed to vote against any Superior Offer or (ii) pursuant to which any stockholder of the Galera or any of its Subsidiaries has agreed to make an investment in, or contribution to, Parent in connection with the transactions contemplated by this Agreement. As of the date hereof, other than the Obsidian Stockholder Support Agreements, the Galera Stockholder Support Agreements, the Obsidian Lock-Up Agreement and the Securities Purchase Agreement, there are no agreements, arrangements or understandings (in each case, whether oral or written) between Galera and Parent or any of their respective Affiliates, on the one hand, and any member of the Galera’s management or directors, on the other hand, that relate in any way to, or are in connection with, the Contemplated Transactions or the operations of the Parent, Galera or any of their Subsidiaries or, following the Galera Effective Time, the Galera Surviving Corporation or any of its Subsidiaries. None of Parent nor any of its Affiliates (which for this purpose will be deemed to include each direct investor in Galera, Parent, Obsidian Merger Sub and Galera Merger Sub) has entered into any Contract with any Person prohibiting or seeking to prohibit such Person from providing or seeking to provide debt financing to any Person in connection with a transaction involving the Galera or any of its Subsidiaries in connection with the Mergers.</w:t>
      </w:r>
    </w:p>
    <w:p>
      <w:pPr>
        <w:spacing w:after="0" w:line="277" w:lineRule="exact"/>
        <w:rPr>
          <w:sz w:val="20"/>
          <w:szCs w:val="20"/>
          <w:color w:val="auto"/>
        </w:rPr>
      </w:pPr>
    </w:p>
    <w:p>
      <w:pPr>
        <w:ind w:left="640" w:right="10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Stock Ownership</w:t>
      </w:r>
      <w:r>
        <w:rPr>
          <w:rFonts w:ascii="Times New Roman" w:cs="Times New Roman" w:eastAsia="Times New Roman" w:hAnsi="Times New Roman"/>
          <w:sz w:val="13"/>
          <w:szCs w:val="13"/>
          <w:color w:val="auto"/>
        </w:rPr>
        <w:t>. Parent does not own any shares of capital stock of Obsidian. None of Parent nor any of its respective Affiliates is an “interested stockholder” of Obsidian as defined in Section 203(c) of Delaware Law.</w:t>
      </w:r>
    </w:p>
    <w:p>
      <w:pPr>
        <w:spacing w:after="0" w:line="122"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Brokers’ Fees</w:t>
      </w:r>
      <w:r>
        <w:rPr>
          <w:rFonts w:ascii="Times New Roman" w:cs="Times New Roman" w:eastAsia="Times New Roman" w:hAnsi="Times New Roman"/>
          <w:sz w:val="13"/>
          <w:szCs w:val="13"/>
          <w:color w:val="auto"/>
        </w:rPr>
        <w:t>. There is no investment banker, broker, finder or other agent or intermediary that has been retained by or is authorized to act on behalf of Parent or any of its Affiliates, or any of their respective officers or directors in their capacities as officers or directors, who is entitled to any advisory, banking, broker’s, finder’s or similar fee or commission in connection with the Contemplated Transactions, for which Obsidian or Galera or any of their Subsidiaries would be liable.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3" w:name="page94"/>
    <w:bookmarkEnd w:id="93"/>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5.8 </w:t>
      </w:r>
      <w:r>
        <w:rPr>
          <w:rFonts w:ascii="Times New Roman" w:cs="Times New Roman" w:eastAsia="Times New Roman" w:hAnsi="Times New Roman"/>
          <w:sz w:val="13"/>
          <w:szCs w:val="13"/>
          <w:u w:val="single" w:color="auto"/>
          <w:color w:val="auto"/>
        </w:rPr>
        <w:t>Parent Information</w:t>
      </w:r>
      <w:r>
        <w:rPr>
          <w:rFonts w:ascii="Times New Roman" w:cs="Times New Roman" w:eastAsia="Times New Roman" w:hAnsi="Times New Roman"/>
          <w:sz w:val="13"/>
          <w:szCs w:val="13"/>
          <w:color w:val="auto"/>
        </w:rPr>
        <w:t>. The written information supplied or to be supplied by Parent specifically for inclusion in the Galera Information Statement will not, at the time the Galera Information Statement (and any amendment or supplement thereto) is first filed with the SEC and at the time it is first disseminated to the stockholders of the Galera, contain any untrue statement of a material fact or omit to state any material fact required to be stated therein or necessary to make the statements therein, in light of the circumstances under which they are made, not misleading.</w:t>
      </w:r>
    </w:p>
    <w:p>
      <w:pPr>
        <w:spacing w:after="0" w:line="28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Conduct of Obsidian’s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99" w:firstLine="307"/>
        <w:spacing w:after="0" w:line="250" w:lineRule="auto"/>
        <w:tabs>
          <w:tab w:leader="none" w:pos="1121" w:val="left"/>
        </w:tabs>
        <w:numPr>
          <w:ilvl w:val="1"/>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expressly contemplated or permitted by this Agreement, as required by applicable Law or unless Galera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xml:space="preserve"> and the Galera Effective Time</w:t>
      </w:r>
    </w:p>
    <w:p>
      <w:pPr>
        <w:ind w:left="640" w:right="69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color w:val="auto"/>
        </w:rPr>
        <w:t>Pre-Closing Period</w:t>
      </w:r>
      <w:r>
        <w:rPr>
          <w:rFonts w:ascii="Times New Roman" w:cs="Times New Roman" w:eastAsia="Times New Roman" w:hAnsi="Times New Roman"/>
          <w:sz w:val="13"/>
          <w:szCs w:val="13"/>
          <w:color w:val="auto"/>
        </w:rPr>
        <w:t>”), Obsidian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Obsidian Material Contracts.</w:t>
      </w:r>
    </w:p>
    <w:p>
      <w:pPr>
        <w:spacing w:after="0" w:line="135"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expressly contemplated or permitted by this Agreement, (ii) as set forth in </w:t>
      </w:r>
      <w:r>
        <w:rPr>
          <w:rFonts w:ascii="Times New Roman" w:cs="Times New Roman" w:eastAsia="Times New Roman" w:hAnsi="Times New Roman"/>
          <w:sz w:val="12"/>
          <w:szCs w:val="12"/>
          <w:u w:val="single" w:color="auto"/>
          <w:color w:val="auto"/>
        </w:rPr>
        <w:t>Section 6.1(b)</w:t>
      </w:r>
      <w:r>
        <w:rPr>
          <w:rFonts w:ascii="Times New Roman" w:cs="Times New Roman" w:eastAsia="Times New Roman" w:hAnsi="Times New Roman"/>
          <w:sz w:val="12"/>
          <w:szCs w:val="12"/>
          <w:color w:val="auto"/>
        </w:rPr>
        <w:t xml:space="preserve"> of the Obsidian Disclosure Schedule,</w:t>
      </w:r>
    </w:p>
    <w:p>
      <w:pPr>
        <w:spacing w:after="0" w:line="26" w:lineRule="exact"/>
        <w:rPr>
          <w:rFonts w:ascii="Times New Roman" w:cs="Times New Roman" w:eastAsia="Times New Roman" w:hAnsi="Times New Roman"/>
          <w:sz w:val="12"/>
          <w:szCs w:val="12"/>
          <w:color w:val="auto"/>
        </w:rPr>
      </w:pPr>
    </w:p>
    <w:p>
      <w:pPr>
        <w:ind w:left="640" w:right="959" w:hanging="3"/>
        <w:spacing w:after="0" w:line="245" w:lineRule="auto"/>
        <w:tabs>
          <w:tab w:leader="none" w:pos="861"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required by applicable Law or (iv) with the prior written consent of Obsidian (which consent shall not be unreasonably withheld, delayed or conditioned), at all times during the Pre-Closing Period, Obsidian shall not, nor shall it cause or permit any of its Subsidiaries to, do any of the following:</w:t>
      </w:r>
    </w:p>
    <w:p>
      <w:pPr>
        <w:spacing w:after="0" w:line="59"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2"/>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otherwise change its Organizational Documents;</w:t>
      </w:r>
    </w:p>
    <w:p>
      <w:pPr>
        <w:spacing w:after="0" w:line="77" w:lineRule="exact"/>
        <w:rPr>
          <w:rFonts w:ascii="Times New Roman" w:cs="Times New Roman" w:eastAsia="Times New Roman" w:hAnsi="Times New Roman"/>
          <w:sz w:val="13"/>
          <w:szCs w:val="13"/>
          <w:color w:val="auto"/>
        </w:rPr>
      </w:pPr>
    </w:p>
    <w:p>
      <w:pPr>
        <w:ind w:left="940" w:right="779" w:firstLine="304"/>
        <w:spacing w:after="0" w:line="267" w:lineRule="auto"/>
        <w:tabs>
          <w:tab w:leader="none" w:pos="1423" w:val="left"/>
        </w:tabs>
        <w:numPr>
          <w:ilvl w:val="2"/>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or otherwise dispose of any material assets of Obsidian, or in either case, any interests therein, except (i) pursuant to existing Contracts, (ii) for sales or licensing of products to customers or (iii) otherwise in the Ordinary Course of Business;</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55" w:lineRule="auto"/>
        <w:tabs>
          <w:tab w:leader="none" w:pos="1458" w:val="left"/>
        </w:tabs>
        <w:numPr>
          <w:ilvl w:val="2"/>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the Obsidian Preferred Stock Conversion and the issuance of securities under this Agreement, take any action with respect to any equity interests of Obsidian or any of its Subsidiaries, including any issuance, sale, transfer, redemption, repurchase, recapitalization, adjustment, split, combination, reclassification, dividend, distribution or any other action in respect thereof;</w:t>
      </w:r>
    </w:p>
    <w:p>
      <w:pPr>
        <w:spacing w:after="0" w:line="54" w:lineRule="exact"/>
        <w:rPr>
          <w:rFonts w:ascii="Times New Roman" w:cs="Times New Roman" w:eastAsia="Times New Roman" w:hAnsi="Times New Roman"/>
          <w:sz w:val="13"/>
          <w:szCs w:val="13"/>
          <w:color w:val="auto"/>
        </w:rPr>
      </w:pPr>
    </w:p>
    <w:p>
      <w:pPr>
        <w:ind w:left="940" w:right="1119" w:firstLine="304"/>
        <w:spacing w:after="0" w:line="267" w:lineRule="auto"/>
        <w:tabs>
          <w:tab w:leader="none" w:pos="1451" w:val="left"/>
        </w:tabs>
        <w:numPr>
          <w:ilvl w:val="2"/>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incur, assume, guarantee or repay (other than any mandatory repayments) any indebtedness, other than the incurrence of indebtedness in the Ordinary Course of Business;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4" w:name="page95"/>
    <w:bookmarkEnd w:id="94"/>
    <w:p>
      <w:pPr>
        <w:ind w:left="940" w:right="759" w:firstLine="304"/>
        <w:spacing w:after="0" w:line="267" w:lineRule="auto"/>
        <w:tabs>
          <w:tab w:leader="none" w:pos="1416"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issue, deliver, sell, grant, pledge, transfer, subject to any Encumbrance or dispose of any Obsidian Capital Stock or the securities of any Subsidiary of Obsidian;</w:t>
      </w:r>
    </w:p>
    <w:p>
      <w:pPr>
        <w:spacing w:after="0" w:line="46" w:lineRule="exact"/>
        <w:rPr>
          <w:rFonts w:ascii="Times New Roman" w:cs="Times New Roman" w:eastAsia="Times New Roman" w:hAnsi="Times New Roman"/>
          <w:sz w:val="13"/>
          <w:szCs w:val="13"/>
          <w:color w:val="auto"/>
        </w:rPr>
      </w:pPr>
    </w:p>
    <w:p>
      <w:pPr>
        <w:ind w:left="940" w:right="1279" w:firstLine="304"/>
        <w:spacing w:after="0" w:line="267" w:lineRule="auto"/>
        <w:tabs>
          <w:tab w:leader="none" w:pos="1451"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otherwise incur any Encumbrance on any material asset of Obsidian or any of its Subsidiaries, other than Permitted Encumbrances;</w:t>
      </w:r>
    </w:p>
    <w:p>
      <w:pPr>
        <w:spacing w:after="0" w:line="46" w:lineRule="exact"/>
        <w:rPr>
          <w:rFonts w:ascii="Times New Roman" w:cs="Times New Roman" w:eastAsia="Times New Roman" w:hAnsi="Times New Roman"/>
          <w:sz w:val="13"/>
          <w:szCs w:val="13"/>
          <w:color w:val="auto"/>
        </w:rPr>
      </w:pPr>
    </w:p>
    <w:p>
      <w:pPr>
        <w:ind w:left="1500" w:hanging="256"/>
        <w:spacing w:after="0"/>
        <w:tabs>
          <w:tab w:leader="none" w:pos="150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loans, advances or capital contributions to, or investments in, any Person other than in the Ordinary Course of Business;</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51" w:lineRule="auto"/>
        <w:tabs>
          <w:tab w:leader="none" w:pos="1521"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adversely amend or otherwise adversely modify in any material respect or terminate (excluding any expiration in accordance with its terms) any Contract listed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of the Obsidian Disclosure Schedule, other than any amendment or modification entered into in the Ordinary Course of Business and containing terms not materially less favorable to Obsidian than the terms of such Contract in effect as of the date of this Agreement;</w:t>
      </w:r>
    </w:p>
    <w:p>
      <w:pPr>
        <w:spacing w:after="0" w:line="5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51"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any Contract that would be required to be disclosed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of the Obsidian Disclosure Schedule if such Contract were in effect as of the date of this Agreement, other than any such Contract entered into in the Ordinary Course of Business;</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6" w:lineRule="auto"/>
        <w:tabs>
          <w:tab w:leader="none" w:pos="1416"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required by any Obsidian Employee Plan or applicable Law, (i) increase any salary, wage or other compensation or benefit to, or enter into or amend any employment, retention, change-in-control, termination or severance agreement with, any Obsidian Associate, other than annual increases in base compensation in the Ordinary Course of Business with respect to employees whose annual base compensation is less than $500,000 and provided that such increases do not, individually or in the aggregate, result in any material increase in costs, obligations or liabilities for Obsidian and its Subsidiaries, (ii) grant or pay any bonuses to any Obsidian Associate, (iii) establish, enter into or adopt any new material Obsidian Employee Plan or any plan, program, policy, agreement or arrangement that would be a material Obsidian Employee Plan if it was in effect on the date hereof or amend or modify, in a manner that would, individually or in the aggregate, materially increase costs, obligations or liabilities for Obsidian and its Subsidiaries or the Surviving Corporation, any existing Obsidian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Obsidian Associate, (iv) grant to any Obsidian Associate any right to receive, or pay to any Obsidian Associate, any severance, change in control, transaction, retention, termination or similar compensation or benefits or increases therein, (v) take any action to accelerate any payment or benefit, or the funding of any payment or benefit, payable or to be provided to any Obsidian Associate, (vi) grant any new long-term incentive or equity-based awards, or amend or modify the terms of any such outstanding awards other than in the Ordinary Course of Business to newly hired employees or (vii) hire, terminate (other than for cause), promote or change the employment status or title of any Obsidian Associate, except that in each case for (i) through (vii) in this </w:t>
      </w:r>
      <w:r>
        <w:rPr>
          <w:rFonts w:ascii="Times New Roman" w:cs="Times New Roman" w:eastAsia="Times New Roman" w:hAnsi="Times New Roman"/>
          <w:sz w:val="12"/>
          <w:szCs w:val="12"/>
          <w:u w:val="single" w:color="auto"/>
          <w:color w:val="auto"/>
        </w:rPr>
        <w:t>Section 6.1(b)</w:t>
      </w:r>
      <w:r>
        <w:rPr>
          <w:rFonts w:ascii="Times New Roman" w:cs="Times New Roman" w:eastAsia="Times New Roman" w:hAnsi="Times New Roman"/>
          <w:sz w:val="12"/>
          <w:szCs w:val="12"/>
          <w:color w:val="auto"/>
        </w:rPr>
        <w:t>, Obsidian shall be permitted to take any action as set forth herein in the Ordinary Course of Business;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5" w:name="page96"/>
    <w:bookmarkEnd w:id="95"/>
    <w:p>
      <w:pPr>
        <w:ind w:left="940" w:right="939" w:firstLine="304"/>
        <w:spacing w:after="0" w:line="267" w:lineRule="auto"/>
        <w:tabs>
          <w:tab w:leader="none" w:pos="1451"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adopt, enter into, amend or terminate any collective bargaining agreement or Contract with any labor union, works council or labor organization;</w:t>
      </w:r>
    </w:p>
    <w:p>
      <w:pPr>
        <w:spacing w:after="0" w:line="46" w:lineRule="exact"/>
        <w:rPr>
          <w:rFonts w:ascii="Times New Roman" w:cs="Times New Roman" w:eastAsia="Times New Roman" w:hAnsi="Times New Roman"/>
          <w:sz w:val="13"/>
          <w:szCs w:val="13"/>
          <w:color w:val="auto"/>
        </w:rPr>
      </w:pPr>
    </w:p>
    <w:p>
      <w:pPr>
        <w:ind w:left="940" w:right="799" w:firstLine="304"/>
        <w:spacing w:after="0" w:line="267" w:lineRule="auto"/>
        <w:tabs>
          <w:tab w:leader="none" w:pos="1486"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any material Legal Proceeding involving Obsidian or any of its Subsidiaries or relating to the transactions contemplated by this Agreement;</w:t>
      </w:r>
    </w:p>
    <w:p>
      <w:pPr>
        <w:spacing w:after="0" w:line="46" w:lineRule="exact"/>
        <w:rPr>
          <w:rFonts w:ascii="Times New Roman" w:cs="Times New Roman" w:eastAsia="Times New Roman" w:hAnsi="Times New Roman"/>
          <w:sz w:val="13"/>
          <w:szCs w:val="13"/>
          <w:color w:val="auto"/>
        </w:rPr>
      </w:pPr>
    </w:p>
    <w:p>
      <w:pPr>
        <w:ind w:left="940" w:right="779" w:firstLine="304"/>
        <w:spacing w:after="0" w:line="255" w:lineRule="auto"/>
        <w:tabs>
          <w:tab w:leader="none" w:pos="1521"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Obsidian following the Closing;</w:t>
      </w:r>
    </w:p>
    <w:p>
      <w:pPr>
        <w:spacing w:after="0" w:line="54" w:lineRule="exact"/>
        <w:rPr>
          <w:rFonts w:ascii="Times New Roman" w:cs="Times New Roman" w:eastAsia="Times New Roman" w:hAnsi="Times New Roman"/>
          <w:sz w:val="13"/>
          <w:szCs w:val="13"/>
          <w:color w:val="auto"/>
        </w:rPr>
      </w:pPr>
    </w:p>
    <w:p>
      <w:pPr>
        <w:ind w:left="940" w:right="799" w:firstLine="304"/>
        <w:spacing w:after="0" w:line="267" w:lineRule="auto"/>
        <w:tabs>
          <w:tab w:leader="none" w:pos="1514"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or knowingly fail to take any action, where such action or failure to act would reasonably be expected to prevent the Mergers from qualifying for the Intended Tax Treatment;</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67" w:lineRule="auto"/>
        <w:tabs>
          <w:tab w:leader="none" w:pos="1479"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 in any method of financial accounting or financial accounting practice of Obsidian or any of its Subsidiaries, except for any such change required by reason of a change in GAAP or other applicable financial accounting standards;</w:t>
      </w:r>
    </w:p>
    <w:p>
      <w:pPr>
        <w:spacing w:after="0" w:line="46" w:lineRule="exact"/>
        <w:rPr>
          <w:rFonts w:ascii="Times New Roman" w:cs="Times New Roman" w:eastAsia="Times New Roman" w:hAnsi="Times New Roman"/>
          <w:sz w:val="13"/>
          <w:szCs w:val="13"/>
          <w:color w:val="auto"/>
        </w:rPr>
      </w:pPr>
    </w:p>
    <w:p>
      <w:pPr>
        <w:ind w:left="940" w:right="1079" w:firstLine="304"/>
        <w:spacing w:after="0" w:line="267" w:lineRule="auto"/>
        <w:tabs>
          <w:tab w:leader="none" w:pos="1514"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connection with actions contemplated by this Agreement, adopt, approve, consent to or propose any change in the Organizational Documents of Obsidian or any of its Subsidiaries; or</w:t>
      </w:r>
    </w:p>
    <w:p>
      <w:pPr>
        <w:spacing w:after="0" w:line="46" w:lineRule="exact"/>
        <w:rPr>
          <w:rFonts w:ascii="Times New Roman" w:cs="Times New Roman" w:eastAsia="Times New Roman" w:hAnsi="Times New Roman"/>
          <w:sz w:val="13"/>
          <w:szCs w:val="13"/>
          <w:color w:val="auto"/>
        </w:rPr>
      </w:pPr>
    </w:p>
    <w:p>
      <w:pPr>
        <w:ind w:left="1560" w:hanging="316"/>
        <w:spacing w:after="0"/>
        <w:tabs>
          <w:tab w:leader="none" w:pos="1560"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commit to do any of the foregoing.</w:t>
      </w:r>
    </w:p>
    <w:p>
      <w:pPr>
        <w:spacing w:after="0" w:line="153" w:lineRule="exact"/>
        <w:rPr>
          <w:rFonts w:ascii="Times New Roman" w:cs="Times New Roman" w:eastAsia="Times New Roman" w:hAnsi="Times New Roman"/>
          <w:sz w:val="13"/>
          <w:szCs w:val="13"/>
          <w:color w:val="auto"/>
        </w:rPr>
      </w:pPr>
    </w:p>
    <w:p>
      <w:pPr>
        <w:ind w:left="640" w:right="699" w:firstLine="307"/>
        <w:spacing w:after="0" w:line="270" w:lineRule="auto"/>
        <w:tabs>
          <w:tab w:leader="none" w:pos="1121"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 provision herein to the contrary (including the foregoing provisions of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Obsidian may, subject to the terms and conditions set forth on </w:t>
      </w:r>
      <w:r>
        <w:rPr>
          <w:rFonts w:ascii="Times New Roman" w:cs="Times New Roman" w:eastAsia="Times New Roman" w:hAnsi="Times New Roman"/>
          <w:sz w:val="12"/>
          <w:szCs w:val="12"/>
          <w:u w:val="single" w:color="auto"/>
          <w:color w:val="auto"/>
        </w:rPr>
        <w:t>Section 6.1(c)</w:t>
      </w:r>
      <w:r>
        <w:rPr>
          <w:rFonts w:ascii="Times New Roman" w:cs="Times New Roman" w:eastAsia="Times New Roman" w:hAnsi="Times New Roman"/>
          <w:sz w:val="12"/>
          <w:szCs w:val="12"/>
          <w:color w:val="auto"/>
        </w:rPr>
        <w:t xml:space="preserve"> of Obsidian Disclosure Schedule, execute the Permitted Obsidian Bridge Financing Agreements and shall cause shall cause each counterparty to each Permitted Obsidian Bridge Financing Agreement to execute an Obsidian Stockholder Support Agreement concurrently with the execution of such Permitted Obsidian Bridge Financing Agreement. Obsidian (i) shall permit Galera and its counsel to review and comment on the Permitted Obsidian Bridge Financing Agreements and; (ii) shall consider any comments received by Galera in good faith and shall accept all reasonable additions, deletions or changes suggested by Galera and its counsel in connection therewith; and (iii) shall not sign any agreements, contracts or other definitive documents (not including term sheets or letters of intent) related to the Permitted Obsidian Bridge Financing without first providing Galera and its counsel the opportunity to exercise their rights under clauses (i) and (ii) above.</w:t>
      </w:r>
    </w:p>
    <w:p>
      <w:pPr>
        <w:spacing w:after="0" w:line="122" w:lineRule="exact"/>
        <w:rPr>
          <w:rFonts w:ascii="Times New Roman" w:cs="Times New Roman" w:eastAsia="Times New Roman" w:hAnsi="Times New Roman"/>
          <w:sz w:val="12"/>
          <w:szCs w:val="12"/>
          <w:color w:val="auto"/>
        </w:rPr>
      </w:pPr>
    </w:p>
    <w:p>
      <w:pPr>
        <w:ind w:left="640" w:right="719" w:firstLine="307"/>
        <w:spacing w:after="0" w:line="255" w:lineRule="auto"/>
        <w:tabs>
          <w:tab w:leader="none" w:pos="1128"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give Parent or Galera, directly or indirectly, the right to control or direct the operations of Obsidian prior to the Obsidian Effective Time. Prior to the Obsidian Effective Time, Obsidian shall exercise, consistent with the terms and conditions of this Agreement, complete unilateral control and supervision over its business operations.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6" w:name="page97"/>
    <w:bookmarkEnd w:id="9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6.2 </w:t>
      </w:r>
      <w:r>
        <w:rPr>
          <w:rFonts w:ascii="Times New Roman" w:cs="Times New Roman" w:eastAsia="Times New Roman" w:hAnsi="Times New Roman"/>
          <w:sz w:val="13"/>
          <w:szCs w:val="13"/>
          <w:u w:val="single" w:color="auto"/>
          <w:color w:val="auto"/>
        </w:rPr>
        <w:t>Conduct of Galera’s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79" w:lineRule="auto"/>
        <w:tabs>
          <w:tab w:leader="none" w:pos="1121" w:val="left"/>
        </w:tabs>
        <w:numPr>
          <w:ilvl w:val="1"/>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expressly contemplated or permitted by this Agreement, as required by applicable Law or unless Obsidian shall otherwise consent in writing (which consent shall not be unreasonably withheld, delayed or conditioned), during the Pre-Closing Period, Galera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Galera Material Contracts.</w:t>
      </w:r>
    </w:p>
    <w:p>
      <w:pPr>
        <w:spacing w:after="0" w:line="116"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1"/>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expressly contemplated or permitted by this Agreement, (ii) as set forth in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of the Galera Disclosure Schedule,</w:t>
      </w:r>
    </w:p>
    <w:p>
      <w:pPr>
        <w:spacing w:after="0" w:line="15" w:lineRule="exact"/>
        <w:rPr>
          <w:rFonts w:ascii="Times New Roman" w:cs="Times New Roman" w:eastAsia="Times New Roman" w:hAnsi="Times New Roman"/>
          <w:sz w:val="13"/>
          <w:szCs w:val="13"/>
          <w:color w:val="auto"/>
        </w:rPr>
      </w:pPr>
    </w:p>
    <w:p>
      <w:pPr>
        <w:ind w:left="860" w:hanging="223"/>
        <w:spacing w:after="0"/>
        <w:tabs>
          <w:tab w:leader="none" w:pos="86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required by applicable Law or (iv) with the prior written consent of Obsidian (which consent shall not be unreasonably withheld, delayed or</w:t>
      </w:r>
    </w:p>
    <w:p>
      <w:pPr>
        <w:spacing w:after="0" w:line="2"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conditioned), at all times during the Pre-Closing Period, Galera shall not, nor shall it cause or permit any of its Subsidiaries to, do any of the following:</w:t>
      </w:r>
    </w:p>
    <w:p>
      <w:pPr>
        <w:spacing w:after="0" w:line="76" w:lineRule="exact"/>
        <w:rPr>
          <w:rFonts w:ascii="Times New Roman" w:cs="Times New Roman" w:eastAsia="Times New Roman" w:hAnsi="Times New Roman"/>
          <w:sz w:val="13"/>
          <w:szCs w:val="13"/>
          <w:color w:val="auto"/>
        </w:rPr>
      </w:pPr>
    </w:p>
    <w:p>
      <w:pPr>
        <w:ind w:left="940" w:right="1039" w:firstLine="304"/>
        <w:spacing w:after="0" w:line="267" w:lineRule="auto"/>
        <w:tabs>
          <w:tab w:leader="none" w:pos="1388"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connection with the Annual Meeting Galera Stockholder Vote, the Galera Reverse Stock Split and the Galera Authorized Common Stock Increase, amend or otherwise change its Organizational Documents;</w:t>
      </w:r>
    </w:p>
    <w:p>
      <w:pPr>
        <w:spacing w:after="0" w:line="46" w:lineRule="exact"/>
        <w:rPr>
          <w:rFonts w:ascii="Times New Roman" w:cs="Times New Roman" w:eastAsia="Times New Roman" w:hAnsi="Times New Roman"/>
          <w:sz w:val="13"/>
          <w:szCs w:val="13"/>
          <w:color w:val="auto"/>
        </w:rPr>
      </w:pPr>
    </w:p>
    <w:p>
      <w:pPr>
        <w:ind w:left="940" w:right="899" w:firstLine="304"/>
        <w:spacing w:after="0" w:line="267" w:lineRule="auto"/>
        <w:tabs>
          <w:tab w:leader="none" w:pos="1423"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or otherwise dispose of any material assets of Galera, or in either case, any interests therein, except (i) pursuant to existing Contracts, (ii) for sales or licensing of products to customers or (iii) otherwise in the Ordinary Course of Business;</w:t>
      </w:r>
    </w:p>
    <w:p>
      <w:pPr>
        <w:spacing w:after="0" w:line="46" w:lineRule="exact"/>
        <w:rPr>
          <w:rFonts w:ascii="Times New Roman" w:cs="Times New Roman" w:eastAsia="Times New Roman" w:hAnsi="Times New Roman"/>
          <w:sz w:val="13"/>
          <w:szCs w:val="13"/>
          <w:color w:val="auto"/>
        </w:rPr>
      </w:pPr>
    </w:p>
    <w:p>
      <w:pPr>
        <w:jc w:val="both"/>
        <w:ind w:left="940" w:right="939" w:firstLine="304"/>
        <w:spacing w:after="0" w:line="251" w:lineRule="auto"/>
        <w:tabs>
          <w:tab w:leader="none" w:pos="1458"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connection with the Galera Preferred Stock Conversion, the Galera Reverse Stock Split, the Galera Authorized Common Stock Increase and the issuance of securities under this Agreement, take any action with respect to any equity interests of Galera or any of its Subsidiaries, including any issuance, sale, transfer, redemption, repurchase, recapitalization, adjustment, split, combination, reclassification, dividend, distribution or any other action in respect thereof;</w:t>
      </w:r>
    </w:p>
    <w:p>
      <w:pPr>
        <w:spacing w:after="0" w:line="56" w:lineRule="exact"/>
        <w:rPr>
          <w:rFonts w:ascii="Times New Roman" w:cs="Times New Roman" w:eastAsia="Times New Roman" w:hAnsi="Times New Roman"/>
          <w:sz w:val="13"/>
          <w:szCs w:val="13"/>
          <w:color w:val="auto"/>
        </w:rPr>
      </w:pPr>
    </w:p>
    <w:p>
      <w:pPr>
        <w:ind w:left="940" w:right="1119" w:firstLine="304"/>
        <w:spacing w:after="0" w:line="267" w:lineRule="auto"/>
        <w:tabs>
          <w:tab w:leader="none" w:pos="1451"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incur, assume, guarantee or repay (other than any mandatory repayments) any indebtedness, other than the incurrence of indebtedness in the Ordinary Course of Business;</w:t>
      </w:r>
    </w:p>
    <w:p>
      <w:pPr>
        <w:spacing w:after="0" w:line="46" w:lineRule="exact"/>
        <w:rPr>
          <w:rFonts w:ascii="Times New Roman" w:cs="Times New Roman" w:eastAsia="Times New Roman" w:hAnsi="Times New Roman"/>
          <w:sz w:val="13"/>
          <w:szCs w:val="13"/>
          <w:color w:val="auto"/>
        </w:rPr>
      </w:pPr>
    </w:p>
    <w:p>
      <w:pPr>
        <w:ind w:left="940" w:right="779" w:firstLine="304"/>
        <w:spacing w:after="0" w:line="267" w:lineRule="auto"/>
        <w:tabs>
          <w:tab w:leader="none" w:pos="1416"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deliver, sell, grant, pledge, transfer, subject to any Encumbrance or dispose of any Galera Common Stock or the securities of any Subsidiary of Galera;</w:t>
      </w:r>
    </w:p>
    <w:p>
      <w:pPr>
        <w:spacing w:after="0" w:line="4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otherwise incur any Encumbrance on any material asset of Galera, other than Permitted Encumbrances;</w:t>
      </w:r>
    </w:p>
    <w:p>
      <w:pPr>
        <w:spacing w:after="0" w:line="77" w:lineRule="exact"/>
        <w:rPr>
          <w:rFonts w:ascii="Times New Roman" w:cs="Times New Roman" w:eastAsia="Times New Roman" w:hAnsi="Times New Roman"/>
          <w:sz w:val="13"/>
          <w:szCs w:val="13"/>
          <w:color w:val="auto"/>
        </w:rPr>
      </w:pPr>
    </w:p>
    <w:p>
      <w:pPr>
        <w:ind w:left="1500" w:hanging="256"/>
        <w:spacing w:after="0"/>
        <w:tabs>
          <w:tab w:leader="none" w:pos="1500"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loans, advances or capital contributions to, or investments in, any Person other than in the Ordinary Course of Business;</w:t>
      </w:r>
    </w:p>
    <w:p>
      <w:pPr>
        <w:spacing w:after="0" w:line="77" w:lineRule="exact"/>
        <w:rPr>
          <w:rFonts w:ascii="Times New Roman" w:cs="Times New Roman" w:eastAsia="Times New Roman" w:hAnsi="Times New Roman"/>
          <w:sz w:val="13"/>
          <w:szCs w:val="13"/>
          <w:color w:val="auto"/>
        </w:rPr>
      </w:pPr>
    </w:p>
    <w:p>
      <w:pPr>
        <w:ind w:left="940" w:right="759" w:firstLine="304"/>
        <w:spacing w:after="0" w:line="251" w:lineRule="auto"/>
        <w:tabs>
          <w:tab w:leader="none" w:pos="1521"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adversely amend or otherwise adversely modify in any material respect or terminate (excluding any expiration in accordance with its terms) any Contract listed in </w:t>
      </w: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Galera Disclosure Schedule, other than any amendment or modification entered into in the Ordinary Course of Business and containing terms, not materially less favorable to Galera than the terms of such Contract in effect as of the date of this Agreement;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7" w:name="page98"/>
    <w:bookmarkEnd w:id="97"/>
    <w:p>
      <w:pPr>
        <w:ind w:left="940" w:right="659" w:firstLine="304"/>
        <w:spacing w:after="0" w:line="267" w:lineRule="auto"/>
        <w:tabs>
          <w:tab w:leader="none" w:pos="145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enter into any Contract that would be required to be disclosed in </w:t>
      </w: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Galera Disclosure Schedule if such Contract were in effect as of the date of this Agreement, other than any such Contract entered into in the Ordinary Course of Business;</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16"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required by any Galera Employee Plan or applicable Law, (i) increase any salary, wage or other compensation or benefit to, or enter into or amend any employment, retention, change-in-control, termination or severance agreement with, any Galera Associate, other than annual increases in base compensation in the Ordinary Course of Business with respect to employees whose annual base compensation is less than $250,000 and provided that such increases do not, individually or in the aggregate, result in any material increase in costs, obligations or liabilities for Galera and its Subsidiaries, (ii) grant or pay any bonuses to any Galera Associate, (iii) establish, enter into or adopt any new material Galera Employee Plan or any plan, program, policy, agreement or arrangement that would be a material Galera Employee Plan if it was in effect on the date hereof or amend or modify, in a manner that would, individually or in the aggregate, materially increase costs, obligations or liabilities for Galera and its Subsidiaries or the Surviving Corporation, any existing Galera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Galera Associate, (iv) grant to any Galera Associate any right to receive, or pay to any Galera Associate, any severance, change in control, transaction, retention, termination or similar compensation or benefits or increases therein, (v) take any action to accelerate any payment or benefit, or the funding of any payment or benefit, payable or to be provided to any Galera Associate, (vi) grant any new long-term incentive or equity-based awards, or amend or modify the terms of any such outstanding awards or (vii) hire, terminate (other than for cause), promote or change the employment status or title of any Galera Associate;</w:t>
      </w:r>
    </w:p>
    <w:p>
      <w:pPr>
        <w:spacing w:after="0" w:line="49" w:lineRule="exact"/>
        <w:rPr>
          <w:rFonts w:ascii="Times New Roman" w:cs="Times New Roman" w:eastAsia="Times New Roman" w:hAnsi="Times New Roman"/>
          <w:sz w:val="12"/>
          <w:szCs w:val="12"/>
          <w:color w:val="auto"/>
        </w:rPr>
      </w:pPr>
    </w:p>
    <w:p>
      <w:pPr>
        <w:ind w:left="940" w:right="939" w:firstLine="304"/>
        <w:spacing w:after="0" w:line="267" w:lineRule="auto"/>
        <w:tabs>
          <w:tab w:leader="none" w:pos="145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enter into, amend or terminate any collective bargaining agreement or Contract with any labor union, works council or labor organization;</w:t>
      </w:r>
    </w:p>
    <w:p>
      <w:pPr>
        <w:spacing w:after="0" w:line="46" w:lineRule="exact"/>
        <w:rPr>
          <w:rFonts w:ascii="Times New Roman" w:cs="Times New Roman" w:eastAsia="Times New Roman" w:hAnsi="Times New Roman"/>
          <w:sz w:val="13"/>
          <w:szCs w:val="13"/>
          <w:color w:val="auto"/>
        </w:rPr>
      </w:pPr>
    </w:p>
    <w:p>
      <w:pPr>
        <w:ind w:left="1500" w:hanging="256"/>
        <w:spacing w:after="0"/>
        <w:tabs>
          <w:tab w:leader="none" w:pos="150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any material Legal Proceeding involving Galera or relating to the transactions contemplated by this Agreement;</w:t>
      </w:r>
    </w:p>
    <w:p>
      <w:pPr>
        <w:spacing w:after="0" w:line="77" w:lineRule="exact"/>
        <w:rPr>
          <w:rFonts w:ascii="Times New Roman" w:cs="Times New Roman" w:eastAsia="Times New Roman" w:hAnsi="Times New Roman"/>
          <w:sz w:val="13"/>
          <w:szCs w:val="13"/>
          <w:color w:val="auto"/>
        </w:rPr>
      </w:pPr>
    </w:p>
    <w:p>
      <w:pPr>
        <w:ind w:left="940" w:right="779" w:firstLine="304"/>
        <w:spacing w:after="0" w:line="255" w:lineRule="auto"/>
        <w:tabs>
          <w:tab w:leader="none" w:pos="152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Galera following the Closing;</w:t>
      </w:r>
    </w:p>
    <w:p>
      <w:pPr>
        <w:spacing w:after="0" w:line="54" w:lineRule="exact"/>
        <w:rPr>
          <w:rFonts w:ascii="Times New Roman" w:cs="Times New Roman" w:eastAsia="Times New Roman" w:hAnsi="Times New Roman"/>
          <w:sz w:val="13"/>
          <w:szCs w:val="13"/>
          <w:color w:val="auto"/>
        </w:rPr>
      </w:pPr>
    </w:p>
    <w:p>
      <w:pPr>
        <w:ind w:left="940" w:right="799" w:firstLine="304"/>
        <w:spacing w:after="0" w:line="267" w:lineRule="auto"/>
        <w:tabs>
          <w:tab w:leader="none" w:pos="1514"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or knowingly fail to take any action, where such action or failure to act would reasonably be expected to prevent the Mergers from qualifying for the Intended Tax Treatment;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98" w:name="page99"/>
    <w:bookmarkEnd w:id="98"/>
    <w:p>
      <w:pPr>
        <w:ind w:left="940" w:right="699" w:firstLine="304"/>
        <w:spacing w:after="0" w:line="267" w:lineRule="auto"/>
        <w:tabs>
          <w:tab w:leader="none" w:pos="1479" w:val="left"/>
        </w:tabs>
        <w:numPr>
          <w:ilvl w:val="2"/>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make any material change in any method of financial accounting or financial accounting practice of Galera, except for any such change required by reason of a change in GAAP or other applicable financial accounting standards;</w:t>
      </w:r>
    </w:p>
    <w:p>
      <w:pPr>
        <w:spacing w:after="0" w:line="46" w:lineRule="exact"/>
        <w:rPr>
          <w:rFonts w:ascii="Times New Roman" w:cs="Times New Roman" w:eastAsia="Times New Roman" w:hAnsi="Times New Roman"/>
          <w:sz w:val="13"/>
          <w:szCs w:val="13"/>
          <w:color w:val="auto"/>
        </w:rPr>
      </w:pPr>
    </w:p>
    <w:p>
      <w:pPr>
        <w:ind w:left="940" w:right="1079" w:firstLine="304"/>
        <w:spacing w:after="0" w:line="267" w:lineRule="auto"/>
        <w:tabs>
          <w:tab w:leader="none" w:pos="1514" w:val="left"/>
        </w:tabs>
        <w:numPr>
          <w:ilvl w:val="2"/>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connection with actions contemplated by this Agreement, adopt, approve, consent to or propose any change in the Organizational Documents of Galera; or</w:t>
      </w:r>
    </w:p>
    <w:p>
      <w:pPr>
        <w:spacing w:after="0" w:line="46" w:lineRule="exact"/>
        <w:rPr>
          <w:rFonts w:ascii="Times New Roman" w:cs="Times New Roman" w:eastAsia="Times New Roman" w:hAnsi="Times New Roman"/>
          <w:sz w:val="13"/>
          <w:szCs w:val="13"/>
          <w:color w:val="auto"/>
        </w:rPr>
      </w:pPr>
    </w:p>
    <w:p>
      <w:pPr>
        <w:ind w:left="1560" w:hanging="316"/>
        <w:spacing w:after="0"/>
        <w:tabs>
          <w:tab w:leader="none" w:pos="1560" w:val="left"/>
        </w:tabs>
        <w:numPr>
          <w:ilvl w:val="2"/>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commit to do any of the foregoing.</w:t>
      </w:r>
    </w:p>
    <w:p>
      <w:pPr>
        <w:spacing w:after="0" w:line="153" w:lineRule="exact"/>
        <w:rPr>
          <w:rFonts w:ascii="Times New Roman" w:cs="Times New Roman" w:eastAsia="Times New Roman" w:hAnsi="Times New Roman"/>
          <w:sz w:val="13"/>
          <w:szCs w:val="13"/>
          <w:color w:val="auto"/>
        </w:rPr>
      </w:pPr>
    </w:p>
    <w:p>
      <w:pPr>
        <w:ind w:left="640" w:right="679" w:firstLine="307"/>
        <w:spacing w:after="0" w:line="266" w:lineRule="auto"/>
        <w:tabs>
          <w:tab w:leader="none" w:pos="1121"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generality of the foregoing, nothing set forth in this </w:t>
      </w:r>
      <w:r>
        <w:rPr>
          <w:rFonts w:ascii="Times New Roman" w:cs="Times New Roman" w:eastAsia="Times New Roman" w:hAnsi="Times New Roman"/>
          <w:sz w:val="12"/>
          <w:szCs w:val="12"/>
          <w:u w:val="single" w:color="auto"/>
          <w:color w:val="auto"/>
        </w:rPr>
        <w:t>Section 6.2(b)</w:t>
      </w:r>
      <w:r>
        <w:rPr>
          <w:rFonts w:ascii="Times New Roman" w:cs="Times New Roman" w:eastAsia="Times New Roman" w:hAnsi="Times New Roman"/>
          <w:sz w:val="12"/>
          <w:szCs w:val="12"/>
          <w:color w:val="auto"/>
        </w:rPr>
        <w:t xml:space="preserve"> shall restrict Galera’s rights to effectuate the Concurrent PIPE Financing upon the terms set forth in the Securities Purchase Agreement on the date hereof. Nothing contained in this Agreement shall give Parent or Obsidian, directly or indirectly, the right to control or direct the operations of Galera prior to the Galera Effective Time. Prior to the Galera Effective Time, Galera shall exercise, consistent with the terms and conditions of this Agreement, complete unilateral control and supervision over its business operations. Notwithstanding any provision herein to the contrary (including the foregoing provisions of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Galera may execute the Permitted Galera Bridge Financing Agreements and shall cause each counterparty to each Permitted Galera Bridge Financing Agreement to execute a Galera Stockholder Support Agreement concurrently with the execution of such Permitted Galera Bridge Financing Agreement. Galera</w:t>
      </w:r>
    </w:p>
    <w:p>
      <w:pPr>
        <w:spacing w:after="0" w:line="3" w:lineRule="exact"/>
        <w:rPr>
          <w:rFonts w:ascii="Times New Roman" w:cs="Times New Roman" w:eastAsia="Times New Roman" w:hAnsi="Times New Roman"/>
          <w:sz w:val="12"/>
          <w:szCs w:val="12"/>
          <w:color w:val="auto"/>
        </w:rPr>
      </w:pPr>
    </w:p>
    <w:p>
      <w:pPr>
        <w:ind w:left="640" w:right="799" w:hanging="3"/>
        <w:spacing w:after="0" w:line="263" w:lineRule="auto"/>
        <w:tabs>
          <w:tab w:leader="none" w:pos="847"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permit Obsidian and its counsel to review and comment on the Permitted Galera Bridge Financing Agreements and; (B) shall consider any comments received by Obsidian in good faith and shall accept all reasonable additions, deletions or changes suggested by Obsidian and its counsel in connection therewith; and (C) shall not sign any agreements, contracts or other definitive documents (not including term sheets or letters of intent) related to the Permitted Galera Bridge Financing without first providing Obsidian and its counsel the opportunity to exercise their rights under clauses</w:t>
      </w:r>
    </w:p>
    <w:p>
      <w:pPr>
        <w:spacing w:after="0" w:line="1"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and (B) above.</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Conduct of Parent’s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51" w:lineRule="auto"/>
        <w:tabs>
          <w:tab w:leader="none" w:pos="1121"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expressly contemplated or permitted by this Agreement, as required by applicable Law or unless Obsidian shall otherwise consent in writing (which consent shall not be unreasonably withheld, delayed or conditioned), during the Pre-Closing Period, Parent shall, and shall cause its Subsidiaries to, use commercially reasonable efforts to conduct its business and operations in the ordinary course of business and consistent with past practice and in material compliance with the applicable Law.</w:t>
      </w:r>
    </w:p>
    <w:p>
      <w:pPr>
        <w:spacing w:after="0" w:line="132" w:lineRule="exact"/>
        <w:rPr>
          <w:rFonts w:ascii="Times New Roman" w:cs="Times New Roman" w:eastAsia="Times New Roman" w:hAnsi="Times New Roman"/>
          <w:sz w:val="13"/>
          <w:szCs w:val="13"/>
          <w:color w:val="auto"/>
        </w:rPr>
      </w:pPr>
    </w:p>
    <w:p>
      <w:pPr>
        <w:jc w:val="both"/>
        <w:ind w:left="640" w:right="719" w:firstLine="307"/>
        <w:spacing w:after="0" w:line="255" w:lineRule="auto"/>
        <w:tabs>
          <w:tab w:leader="none" w:pos="112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 as required by applicable Law or (iv) with the prior written consent of Obsidian (which consent shall not be unreasonably withheld, delayed or conditioned), at all times during the Pre-Closing Period, Parent shall not, nor shall it cause or permit any of its Subsidiaries to, do any of the following:</w:t>
      </w:r>
    </w:p>
    <w:p>
      <w:pPr>
        <w:spacing w:after="0" w:line="54" w:lineRule="exact"/>
        <w:rPr>
          <w:rFonts w:ascii="Times New Roman" w:cs="Times New Roman" w:eastAsia="Times New Roman" w:hAnsi="Times New Roman"/>
          <w:sz w:val="13"/>
          <w:szCs w:val="13"/>
          <w:color w:val="auto"/>
        </w:rPr>
      </w:pPr>
    </w:p>
    <w:p>
      <w:pPr>
        <w:ind w:left="940" w:right="959" w:firstLine="304"/>
        <w:spacing w:after="0" w:line="267" w:lineRule="auto"/>
        <w:tabs>
          <w:tab w:leader="none" w:pos="1388" w:val="left"/>
        </w:tabs>
        <w:numPr>
          <w:ilvl w:val="1"/>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or otherwise dispose of any material assets of Parent, or in either case, any interests therein, except (i) pursuant to existing Contracts, (ii) for sales or licensing of products to customers or (iii) otherwise in the Ordinary Course of Business;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99" w:name="page100"/>
    <w:bookmarkEnd w:id="99"/>
    <w:p>
      <w:pPr>
        <w:ind w:left="940" w:right="679" w:firstLine="304"/>
        <w:spacing w:after="0" w:line="309" w:lineRule="auto"/>
        <w:tabs>
          <w:tab w:leader="none" w:pos="1423"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take any action with respect to any equity interests of Parent or any of its Subsidiaries, including any issuance, sale, transfer, redemption, repurchase, recapitalization, adjustment, split, combination, reclassification, dividend, distribution or any other action in respect thereof;</w:t>
      </w:r>
    </w:p>
    <w:p>
      <w:pPr>
        <w:spacing w:after="0" w:line="23" w:lineRule="exact"/>
        <w:rPr>
          <w:rFonts w:ascii="Times New Roman" w:cs="Times New Roman" w:eastAsia="Times New Roman" w:hAnsi="Times New Roman"/>
          <w:sz w:val="12"/>
          <w:szCs w:val="12"/>
          <w:color w:val="auto"/>
        </w:rPr>
      </w:pPr>
    </w:p>
    <w:p>
      <w:pPr>
        <w:ind w:left="1460" w:hanging="216"/>
        <w:spacing w:after="0"/>
        <w:tabs>
          <w:tab w:leader="none" w:pos="146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incur, assume, guarantee or repay (other than any mandatory repayments) any indebtedness;</w:t>
      </w:r>
    </w:p>
    <w:p>
      <w:pPr>
        <w:spacing w:after="0" w:line="77" w:lineRule="exact"/>
        <w:rPr>
          <w:rFonts w:ascii="Times New Roman" w:cs="Times New Roman" w:eastAsia="Times New Roman" w:hAnsi="Times New Roman"/>
          <w:sz w:val="13"/>
          <w:szCs w:val="13"/>
          <w:color w:val="auto"/>
        </w:rPr>
      </w:pPr>
    </w:p>
    <w:p>
      <w:pPr>
        <w:ind w:left="940" w:right="759" w:firstLine="304"/>
        <w:spacing w:after="0" w:line="267" w:lineRule="auto"/>
        <w:tabs>
          <w:tab w:leader="none" w:pos="1451"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deliver, sell, grant, pledge, transfer, subject to any Encumbrance or dispose of any Parent Common Stock or the securities of any Subsidiary of Parent;</w:t>
      </w:r>
    </w:p>
    <w:p>
      <w:pPr>
        <w:spacing w:after="0" w:line="46" w:lineRule="exact"/>
        <w:rPr>
          <w:rFonts w:ascii="Times New Roman" w:cs="Times New Roman" w:eastAsia="Times New Roman" w:hAnsi="Times New Roman"/>
          <w:sz w:val="13"/>
          <w:szCs w:val="13"/>
          <w:color w:val="auto"/>
        </w:rPr>
      </w:pPr>
    </w:p>
    <w:p>
      <w:pPr>
        <w:ind w:left="940" w:right="1439" w:firstLine="304"/>
        <w:spacing w:after="0" w:line="267" w:lineRule="auto"/>
        <w:tabs>
          <w:tab w:leader="none" w:pos="1416"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otherwise incur any Encumbrance on any material asset of Parent or any of its Subsidiaries, other than Permitted Encumbrances;</w:t>
      </w:r>
    </w:p>
    <w:p>
      <w:pPr>
        <w:spacing w:after="0" w:line="4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loans, advances or capital contributions to, or investments in, any Person other than in the Ordinary Course of Business ;</w:t>
      </w:r>
    </w:p>
    <w:p>
      <w:pPr>
        <w:spacing w:after="0" w:line="77" w:lineRule="exact"/>
        <w:rPr>
          <w:rFonts w:ascii="Times New Roman" w:cs="Times New Roman" w:eastAsia="Times New Roman" w:hAnsi="Times New Roman"/>
          <w:sz w:val="13"/>
          <w:szCs w:val="13"/>
          <w:color w:val="auto"/>
        </w:rPr>
      </w:pPr>
    </w:p>
    <w:p>
      <w:pPr>
        <w:ind w:left="1500" w:hanging="256"/>
        <w:spacing w:after="0"/>
        <w:tabs>
          <w:tab w:leader="none" w:pos="150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Contract;</w:t>
      </w:r>
    </w:p>
    <w:p>
      <w:pPr>
        <w:spacing w:after="0" w:line="77" w:lineRule="exact"/>
        <w:rPr>
          <w:rFonts w:ascii="Times New Roman" w:cs="Times New Roman" w:eastAsia="Times New Roman" w:hAnsi="Times New Roman"/>
          <w:sz w:val="13"/>
          <w:szCs w:val="13"/>
          <w:color w:val="auto"/>
        </w:rPr>
      </w:pPr>
    </w:p>
    <w:p>
      <w:pPr>
        <w:ind w:left="1520" w:hanging="276"/>
        <w:spacing w:after="0"/>
        <w:tabs>
          <w:tab w:leader="none" w:pos="15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or terminate any employees;</w:t>
      </w:r>
    </w:p>
    <w:p>
      <w:pPr>
        <w:spacing w:after="0" w:line="77"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any material Legal Proceeding involving Parent or relating to the transactions contemplated by this Agreement;</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change any material Tax election, change any annual Tax accounting period, enter into any closing agreement with a</w:t>
      </w:r>
    </w:p>
    <w:p>
      <w:pPr>
        <w:spacing w:after="0" w:line="15" w:lineRule="exact"/>
        <w:rPr>
          <w:rFonts w:ascii="Times New Roman" w:cs="Times New Roman" w:eastAsia="Times New Roman" w:hAnsi="Times New Roman"/>
          <w:sz w:val="13"/>
          <w:szCs w:val="13"/>
          <w:color w:val="auto"/>
        </w:rPr>
      </w:pPr>
    </w:p>
    <w:p>
      <w:pPr>
        <w:ind w:left="940" w:right="77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Governmental Authority with respect to material Taxes or settle any Tax claim with respect to material Taxes, in each case, except if such action would not reasonably be expected to have a material and adverse effect on Parent following the Closing;</w:t>
      </w:r>
    </w:p>
    <w:p>
      <w:pPr>
        <w:spacing w:after="0" w:line="59" w:lineRule="exact"/>
        <w:rPr>
          <w:rFonts w:ascii="Times New Roman" w:cs="Times New Roman" w:eastAsia="Times New Roman" w:hAnsi="Times New Roman"/>
          <w:sz w:val="13"/>
          <w:szCs w:val="13"/>
          <w:color w:val="auto"/>
        </w:rPr>
      </w:pPr>
    </w:p>
    <w:p>
      <w:pPr>
        <w:ind w:left="940" w:right="859" w:firstLine="304"/>
        <w:spacing w:after="0" w:line="267" w:lineRule="auto"/>
        <w:tabs>
          <w:tab w:leader="none" w:pos="1451"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or knowingly fail to take any action, where such action or failure to act would reasonably be expected to prevent the Mergers from qualifying for the Intended Tax Treatment;</w:t>
      </w:r>
    </w:p>
    <w:p>
      <w:pPr>
        <w:spacing w:after="0" w:line="46" w:lineRule="exact"/>
        <w:rPr>
          <w:rFonts w:ascii="Times New Roman" w:cs="Times New Roman" w:eastAsia="Times New Roman" w:hAnsi="Times New Roman"/>
          <w:sz w:val="13"/>
          <w:szCs w:val="13"/>
          <w:color w:val="auto"/>
        </w:rPr>
      </w:pPr>
    </w:p>
    <w:p>
      <w:pPr>
        <w:ind w:left="940" w:right="819" w:firstLine="304"/>
        <w:spacing w:after="0" w:line="267" w:lineRule="auto"/>
        <w:tabs>
          <w:tab w:leader="none" w:pos="1486"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 in any method of financial accounting or financial accounting practice of Parent or any of its Subsidiaries, except for any such change required by reason of a change in GAAP or other applicable financial accounting standards;</w:t>
      </w:r>
    </w:p>
    <w:p>
      <w:pPr>
        <w:spacing w:after="0" w:line="46" w:lineRule="exact"/>
        <w:rPr>
          <w:rFonts w:ascii="Times New Roman" w:cs="Times New Roman" w:eastAsia="Times New Roman" w:hAnsi="Times New Roman"/>
          <w:sz w:val="13"/>
          <w:szCs w:val="13"/>
          <w:color w:val="auto"/>
        </w:rPr>
      </w:pPr>
    </w:p>
    <w:p>
      <w:pPr>
        <w:ind w:left="940" w:right="1059" w:firstLine="304"/>
        <w:spacing w:after="0" w:line="267" w:lineRule="auto"/>
        <w:tabs>
          <w:tab w:leader="none" w:pos="1521"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connection with actions contemplated by this Agreement, adopt, approve, consent to or propose any change in the Organizational Documents of Parent or any of its Subsidiaries; or</w:t>
      </w:r>
    </w:p>
    <w:p>
      <w:pPr>
        <w:spacing w:after="0" w:line="46" w:lineRule="exact"/>
        <w:rPr>
          <w:rFonts w:ascii="Times New Roman" w:cs="Times New Roman" w:eastAsia="Times New Roman" w:hAnsi="Times New Roman"/>
          <w:sz w:val="13"/>
          <w:szCs w:val="13"/>
          <w:color w:val="auto"/>
        </w:rPr>
      </w:pPr>
    </w:p>
    <w:p>
      <w:pPr>
        <w:ind w:left="1520" w:hanging="276"/>
        <w:spacing w:after="0"/>
        <w:tabs>
          <w:tab w:leader="none" w:pos="15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commit to do any of the foregoing.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0" w:name="page101"/>
    <w:bookmarkEnd w:id="10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6.4 </w:t>
      </w:r>
      <w:r>
        <w:rPr>
          <w:rFonts w:ascii="Times New Roman" w:cs="Times New Roman" w:eastAsia="Times New Roman" w:hAnsi="Times New Roman"/>
          <w:sz w:val="13"/>
          <w:szCs w:val="13"/>
          <w:u w:val="single" w:color="auto"/>
          <w:color w:val="auto"/>
        </w:rPr>
        <w:t>Access and Investigation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67" w:lineRule="auto"/>
        <w:tabs>
          <w:tab w:leader="none" w:pos="1121"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terms of the Confidentiality Agreement, which the Parties agree will continue in full force following the date of this Agreement, during the Pre-Closing Period, upon reasonable written notice, Galera, on the one hand, and Obsidian, on the other hand, shall and shall use commercially reasonable efforts to cause such Party’s Representatives to: (i)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(with virtual meeting sufficient), during normal business hours, with the chief financial officer and other officers and managers of such Party responsible for such Party’s financial statements and the internal controls of such Party to discuss such matters as the other Party may deem reasonably necessary or appropriate, and (iv) promptly provide the other Party with copies, when available, of unaudited financial statements or management accounts, and communications sent by or on behalf of such Party to its stockholders or any material notice, report or other document filed with or sent to or received from any Governmental Authority in connection with the Contemplated Transactions. Any investigation conducted by either Galera or Obsidian pursuant to this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shall be conducted in such manner as not to interfere unreasonably with the conduct of the business of the other Party.</w:t>
      </w:r>
    </w:p>
    <w:p>
      <w:pPr>
        <w:spacing w:after="0" w:line="278" w:lineRule="exact"/>
        <w:rPr>
          <w:rFonts w:ascii="Times New Roman" w:cs="Times New Roman" w:eastAsia="Times New Roman" w:hAnsi="Times New Roman"/>
          <w:sz w:val="12"/>
          <w:szCs w:val="12"/>
          <w:color w:val="auto"/>
        </w:rPr>
      </w:pPr>
    </w:p>
    <w:p>
      <w:pPr>
        <w:ind w:left="640" w:right="679" w:firstLine="307"/>
        <w:spacing w:after="0" w:line="246" w:lineRule="auto"/>
        <w:tabs>
          <w:tab w:leader="none" w:pos="1128"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herein to the contrary in this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no access or examination contemplated by this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shall be permitted to the extent that it would require any Party or its Subsidiaries to waive the attorney-client privilege or attorney work product privilege, conflict with any third party confidentiality obligations to which such Party is bound, or violate any applicable Law;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6.5 </w:t>
      </w:r>
      <w:r>
        <w:rPr>
          <w:rFonts w:ascii="Times New Roman" w:cs="Times New Roman" w:eastAsia="Times New Roman" w:hAnsi="Times New Roman"/>
          <w:sz w:val="13"/>
          <w:szCs w:val="13"/>
          <w:u w:val="single" w:color="auto"/>
          <w:color w:val="auto"/>
        </w:rPr>
        <w:t>No 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75" w:lineRule="auto"/>
        <w:tabs>
          <w:tab w:leader="none" w:pos="1121"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Galera and Obsidian agrees that, during the Pre-Closing Period, neither it nor any of its Subsidiaries shall, nor shall it or any of its Subsidiaries authorize any of its Representatives to, directly or indirectly: (i) solicit, assist, initiate, engage,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or group (other than in a Party to this Agreement or its Representatives) in connection with or in response to an Acquisition Proposal or Acquisition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Inquiry, (iii) engage, encourage or participate in discussions or negotiations with any Person or group with respect to any Acquisition Proposal or Acquisition Inquiry, (iv) approve, endorse or recommend any Acquisition Proposal (subject to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(v) negotiate, execute or enter into any letter of intent, agreement in principle, acquisition agreement or any other Contract contemplating or otherwise relating to any Acquisition Transaction, (vi) take any action that could reasonably be expected to lead to an Acquisition Proposal or Acquisition Inquiry, (vii) release any Person from, or waive any provision of, any confidentiality agreement to which such Party is a party, the release or waiver of which could reasonably be expected to lead to an Acquisition Proposal or Acquisition Inquiry, or (viii) publicly propose to do any of the following.</w:t>
      </w:r>
    </w:p>
    <w:p>
      <w:pPr>
        <w:spacing w:after="0" w:line="135" w:lineRule="exact"/>
        <w:rPr>
          <w:sz w:val="20"/>
          <w:szCs w:val="20"/>
          <w:color w:val="auto"/>
        </w:rPr>
      </w:pPr>
    </w:p>
    <w:p>
      <w:pPr>
        <w:ind w:left="640" w:right="639" w:firstLine="307"/>
        <w:spacing w:after="0" w:line="245" w:lineRule="auto"/>
        <w:tabs>
          <w:tab w:leader="none" w:pos="1128"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contained in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and subject to compliance with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prior to obtaining the Required Galera Stockholder Approval, Galera may furnish nonpublic information regarding Galera and its Subsidiaries to, and enter into discussions or negotiations with, any Person in response to a bona fide, unsolicited, written Acquisition Proposal by such Person which the Galera Board determines in good faith, after consultation with its financial advisors and outside legal counsel, constitutes, or is reasonably likely to result in, a Superior Offer (and is not withdrawn) if: (A) neither Galera nor any Representative of Galera shall have breached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in any material respect, (B) the Galera Board concludes in good faith, after consulting with outside counsel, that the failure to take such action would reasonably be expected to constitute a violation of the Galera Board’s fiduciary duties under applicable Law, (C) at least one (1) Business Day prior to initially furnishing any such nonpublic information to, or enter into discussions with, such Person, (D) Galera receives from such Person an executed Acceptable Confidentiality Agreement and (E) at least one (1) Business Day prior to furnishing any such nonpublic information to such Person, Galera furnishes such nonpublic information to Obsidian (to the extent such information has not been previously furnished by Galera to Obsidian).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by such party, the taking of such action by such Representative shall be deemed to constitute a breach of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by such party for purposes of this Agreement.</w:t>
      </w:r>
    </w:p>
    <w:p>
      <w:pPr>
        <w:spacing w:after="0" w:line="138" w:lineRule="exact"/>
        <w:rPr>
          <w:rFonts w:ascii="Times New Roman" w:cs="Times New Roman" w:eastAsia="Times New Roman" w:hAnsi="Times New Roman"/>
          <w:sz w:val="13"/>
          <w:szCs w:val="13"/>
          <w:color w:val="auto"/>
        </w:rPr>
      </w:pPr>
    </w:p>
    <w:p>
      <w:pPr>
        <w:ind w:left="640" w:right="659" w:firstLine="307"/>
        <w:spacing w:after="0" w:line="268" w:lineRule="auto"/>
        <w:tabs>
          <w:tab w:leader="none" w:pos="1121"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contained in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and subject to compliance with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prior to obtaining the Required Obsidian Stockholder Approval, Obsidian may furnish nonpublic information regarding Obsidian and its Subsidiaries to, and enter into discussions or negotiations with, any Person in response to a bona fide, unsolicited, written Acquisition Proposal by such Person which the Obsidian Board determines in good faith, after consultation with its financial advisors and outside legal counsel, constitutes, or is reasonably likely to result in, a Superior Offer (and is not withdrawn) if: (A) neither Obsidian nor any Representative of Obsidian shall have breached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in any material respect, (B) Obsidian Board concludes in good faith, after consulting with outside counsel, that the failure to take such action would reasonably be expected to constitute a violation of Obsidian Board’s fiduciary duties under applicable Law, (C) at least one (1) Business Day prior to initially furnishing any such nonpublic information to, or enter into discussions with, such Person, (D) Obsidian receives from such Person an executed Acceptable Confidentiality Agreement and (E) at least one (1) Business Day prior to furnishing any such nonpublic information to such Person, Obsidian furnishes such nonpublic information to Galera (to the extent such information has not been previously furnished by Obsidian to Galera).</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2" w:name="page103"/>
    <w:bookmarkEnd w:id="102"/>
    <w:p>
      <w:pPr>
        <w:ind w:left="640" w:right="679" w:firstLine="307"/>
        <w:spacing w:after="0" w:line="247" w:lineRule="auto"/>
        <w:tabs>
          <w:tab w:leader="none" w:pos="1128"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any Party or any Representative of such Party receives an unsolicited Acquisition Proposal or Acquisition Inquiry at any time during the Pre-Closing Period, then such Party shall promptly (and in no event later than one (1) Business Day after such Party becomes aware of such Acquisition Proposal or Acquisition Inquiry) notify the other Party in writing of such Acquisition Proposal or Acquisition Inquiry, which notification shall contain the details of such Acquisition Proposal or Acquisition Inquiry (including the identity of the Person making or submitting such Acquisition Proposal or Acquisition Inquiry and either a copy of such Acquisition Proposal if in writing or a written summary of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55" w:lineRule="auto"/>
        <w:tabs>
          <w:tab w:leader="none" w:pos="1121"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u w:val="single" w:color="auto"/>
          <w:color w:val="auto"/>
        </w:rPr>
        <w:t>Notification of Certain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65" w:lineRule="auto"/>
        <w:tabs>
          <w:tab w:leader="none" w:pos="1121"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Pre-Closing Period, each of Obsidian, on the one hand, and Galera, on the other hand, shall promptly notify the other (and, if in writing, furnish copies of) if any of the following occurs: (i) any notice or other communication is received from any Person alleging that the Consent of such Person is or may be required in connection with any of the Contemplated Transactions, (ii) any non-compliance with any Law is alleged or any Legal Proceeding against or involving or otherwise affecting such Party or its Subsidiaries is commenced, or, to the Knowledge of such Party, threatened against such Party or, to the Knowledge of such Party, any director, officer or Key Employee of such Party, in each case, in such person’s capacity as such, (iii) such Party becomes aware of any inaccuracy in any representation or warranty made by such Party in this Agreement or (iv) the failure of such Party to timely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impossible or materially less likely or could otherwise materially impact the consummation of the Contemplated Transactions. No such notice shall be deemed to supplement or amend the Obsidian Disclosure Schedule or the Galera Disclosure Schedule for the purpose of (A) determining the accuracy of any of the representations and warranties made by Obsidian or Galera in this Agreement or</w:t>
      </w:r>
    </w:p>
    <w:p>
      <w:pPr>
        <w:spacing w:after="0" w:line="5"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determining whether any condition set forth in </w:t>
      </w:r>
      <w:r>
        <w:rPr>
          <w:rFonts w:ascii="Times New Roman" w:cs="Times New Roman" w:eastAsia="Times New Roman" w:hAnsi="Times New Roman"/>
          <w:sz w:val="13"/>
          <w:szCs w:val="13"/>
          <w:u w:val="single" w:color="auto"/>
          <w:color w:val="auto"/>
        </w:rPr>
        <w:t>Article VIII</w:t>
      </w:r>
      <w:r>
        <w:rPr>
          <w:rFonts w:ascii="Times New Roman" w:cs="Times New Roman" w:eastAsia="Times New Roman" w:hAnsi="Times New Roman"/>
          <w:sz w:val="13"/>
          <w:szCs w:val="13"/>
          <w:color w:val="auto"/>
        </w:rPr>
        <w:t xml:space="preserve"> has been satisfied. Any failure by either Party to provide notice pursuant to this</w:t>
      </w:r>
    </w:p>
    <w:p>
      <w:pPr>
        <w:spacing w:after="0" w:line="2" w:lineRule="exact"/>
        <w:rPr>
          <w:sz w:val="20"/>
          <w:szCs w:val="20"/>
          <w:color w:val="auto"/>
        </w:rPr>
      </w:pPr>
    </w:p>
    <w:p>
      <w:pPr>
        <w:ind w:left="640" w:right="919"/>
        <w:spacing w:after="0" w:line="246" w:lineRule="auto"/>
        <w:rPr>
          <w:sz w:val="20"/>
          <w:szCs w:val="20"/>
          <w:color w:val="auto"/>
        </w:rPr>
      </w:pP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shall not be deemed to be a breach for purposes of </w:t>
      </w:r>
      <w:r>
        <w:rPr>
          <w:rFonts w:ascii="Times New Roman" w:cs="Times New Roman" w:eastAsia="Times New Roman" w:hAnsi="Times New Roman"/>
          <w:sz w:val="13"/>
          <w:szCs w:val="13"/>
          <w:u w:val="single" w:color="auto"/>
          <w:color w:val="auto"/>
        </w:rPr>
        <w:t>Section 8.2(b)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8.3(b)</w:t>
      </w:r>
      <w:r>
        <w:rPr>
          <w:rFonts w:ascii="Times New Roman" w:cs="Times New Roman" w:eastAsia="Times New Roman" w:hAnsi="Times New Roman"/>
          <w:sz w:val="13"/>
          <w:szCs w:val="13"/>
          <w:color w:val="auto"/>
        </w:rPr>
        <w:t>, as applicable, unless such failure to provide such notice was material, knowing and intentional.</w:t>
      </w:r>
    </w:p>
    <w:p>
      <w:pPr>
        <w:spacing w:after="0" w:line="136" w:lineRule="exact"/>
        <w:rPr>
          <w:sz w:val="20"/>
          <w:szCs w:val="20"/>
          <w:color w:val="auto"/>
        </w:rPr>
      </w:pPr>
    </w:p>
    <w:p>
      <w:pPr>
        <w:ind w:left="640" w:right="659" w:firstLine="307"/>
        <w:spacing w:after="0" w:line="255" w:lineRule="auto"/>
        <w:tabs>
          <w:tab w:leader="none" w:pos="1128"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Pre-Closing Period, Galera shall use reasonable best efforts to consult with Obsidian during the negotiation process for, and prior to taking any material action with respect to, any amendment to, sublicense or the potential early termination of the agreements related to the Galera Real Estate Leases, and shall consider any input received from Obsidian in good faith prior to taking any such action.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9019"/>
          </w:cols>
          <w:pgMar w:left="1440" w:top="231" w:right="1440" w:bottom="1440" w:gutter="0" w:footer="0" w:header="0"/>
        </w:sectPr>
      </w:pPr>
    </w:p>
    <w:bookmarkStart w:id="103" w:name="page104"/>
    <w:bookmarkEnd w:id="103"/>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6.7 </w:t>
      </w:r>
      <w:r>
        <w:rPr>
          <w:rFonts w:ascii="Times New Roman" w:cs="Times New Roman" w:eastAsia="Times New Roman" w:hAnsi="Times New Roman"/>
          <w:sz w:val="13"/>
          <w:szCs w:val="13"/>
          <w:u w:val="single" w:color="auto"/>
          <w:color w:val="auto"/>
        </w:rPr>
        <w:t>Galera Options</w:t>
      </w:r>
      <w:r>
        <w:rPr>
          <w:rFonts w:ascii="Times New Roman" w:cs="Times New Roman" w:eastAsia="Times New Roman" w:hAnsi="Times New Roman"/>
          <w:sz w:val="13"/>
          <w:szCs w:val="13"/>
          <w:color w:val="auto"/>
        </w:rPr>
        <w:t>. Prior to the Closing, the Galera Board shall have adopted appropriate resolutions and taken all other actions necessary and appropriate to provide (a) each outstanding Galera Option that is not a Galera ITM Option will be cancelled for no consideration and (b) that the vesting and exercisability of each unexpired, unexercised and unvested Galera ITM Option shall be accelerated in full, in each case, effective as of immediately prior to the Galera Effective Time, contingent on the occurrence of the Closing.</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6.8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6.9 </w:t>
      </w:r>
      <w:r>
        <w:rPr>
          <w:rFonts w:ascii="Times New Roman" w:cs="Times New Roman" w:eastAsia="Times New Roman" w:hAnsi="Times New Roman"/>
          <w:sz w:val="13"/>
          <w:szCs w:val="13"/>
          <w:u w:val="single" w:color="auto"/>
          <w:color w:val="auto"/>
        </w:rPr>
        <w:t>Galera ESPP</w:t>
      </w:r>
      <w:r>
        <w:rPr>
          <w:rFonts w:ascii="Times New Roman" w:cs="Times New Roman" w:eastAsia="Times New Roman" w:hAnsi="Times New Roman"/>
          <w:sz w:val="13"/>
          <w:szCs w:val="13"/>
          <w:color w:val="auto"/>
        </w:rPr>
        <w:t>. As soon as reasonably practicable following the date of this Agreement, the Galera Board shall adopt appropriate resolutions to provide that (a) no offering periods or purchase periods shall be commenced following or in addition to any offering period underway as of the date hereof under the Galera ESPP (the “</w:t>
      </w:r>
      <w:r>
        <w:rPr>
          <w:rFonts w:ascii="Times New Roman" w:cs="Times New Roman" w:eastAsia="Times New Roman" w:hAnsi="Times New Roman"/>
          <w:sz w:val="13"/>
          <w:szCs w:val="13"/>
          <w:b w:val="1"/>
          <w:bCs w:val="1"/>
          <w:color w:val="auto"/>
        </w:rPr>
        <w:t>Current Offering Period</w:t>
      </w:r>
      <w:r>
        <w:rPr>
          <w:rFonts w:ascii="Times New Roman" w:cs="Times New Roman" w:eastAsia="Times New Roman" w:hAnsi="Times New Roman"/>
          <w:sz w:val="13"/>
          <w:szCs w:val="13"/>
          <w:color w:val="auto"/>
        </w:rPr>
        <w:t>”), (b) no payroll deductions or other contributions shall be made or effected after the Current Offering Period with respect to the Galera ESPP, and (c) each Galera ESPP participant’s accumulated contributions under the Galera ESPP shall be returned to the participant in accordance with the terms of the Galera ESPP.</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6.10 </w:t>
      </w:r>
      <w:r>
        <w:rPr>
          <w:rFonts w:ascii="Times New Roman" w:cs="Times New Roman" w:eastAsia="Times New Roman" w:hAnsi="Times New Roman"/>
          <w:sz w:val="13"/>
          <w:szCs w:val="13"/>
          <w:u w:val="single" w:color="auto"/>
          <w:color w:val="auto"/>
        </w:rPr>
        <w:t>Concurrent PIPE Financing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7"/>
        <w:spacing w:after="0" w:line="269" w:lineRule="auto"/>
        <w:tabs>
          <w:tab w:leader="none" w:pos="1121"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and conditions of this Agreement, the Parties shall use commercially reasonable efforts to obtain the Concurrent PIPE Financing on the terms and conditions described in the Securities Purchase Agreement and satisfy the conditions to the Concurrent PIPE Financing as described in the Securities Purchase Agreement and shall not permit any termination, amendment or modification to be made to, or any waiver of any provision under, or any replacement of, the Securities Purchase Agreement if such termination, amendment, modification, waiver or replacement</w:t>
      </w:r>
    </w:p>
    <w:p>
      <w:pPr>
        <w:ind w:left="640" w:right="659" w:hanging="3"/>
        <w:spacing w:after="0" w:line="244" w:lineRule="auto"/>
        <w:tabs>
          <w:tab w:leader="none" w:pos="791"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reduces the aggregate amount of the Concurrent PIPE Financing or (ii) imposes new or additional conditions or otherwise expands, amends or modifies any of the conditions to the receipt of the Concurrent PIPE Financing, or otherwise expands, amends or modifies any other provision of the Securities Purchase Agreement, in a manner that would reasonably be expected to (x) delay or prevent the funding of the Concurrent PIPE Financing (or satisfaction of the conditions to the Concurrent PIPE Financing) at or substantially simultaneously with the Closing or (y) adversely impact the ability of a Party to enforce its rights against other parties to the Securities Purchase Agreement. Each Party shall promptly deliver to the other Parties copies of any such termination, amendment, modification, waiver or replacement.</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8"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use commercially reasonable efforts (i) to maintain in effect the Securities Purchase Agreement, (ii) to enforce its rights under the Securities Purchase Agreement and (iii) to comply with its obligations under the Securities Purchase Agreement.</w:t>
      </w:r>
    </w:p>
    <w:p>
      <w:pPr>
        <w:spacing w:after="0" w:line="122" w:lineRule="exact"/>
        <w:rPr>
          <w:rFonts w:ascii="Times New Roman" w:cs="Times New Roman" w:eastAsia="Times New Roman" w:hAnsi="Times New Roman"/>
          <w:sz w:val="13"/>
          <w:szCs w:val="13"/>
          <w:color w:val="auto"/>
        </w:rPr>
      </w:pPr>
    </w:p>
    <w:p>
      <w:pPr>
        <w:ind w:left="640" w:right="899" w:firstLine="307"/>
        <w:spacing w:after="0" w:line="249" w:lineRule="auto"/>
        <w:tabs>
          <w:tab w:leader="none" w:pos="1121"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give the other Parties prompt notice (i) of any breach or default by any party to the Securities Purchase Agreement or definitive agreements related to the Concurrent PIPE Financing of which such Party becomes aware, (ii) of the receipt of any written notice or other written communication from any purchaser with respect to any (x) actual breach, default, termination or repudiation by any party to the Securities Purchase Agreement or definitive agreements related to the Concurrent PIPE Financing of any provisions of the Securities Purchase Agreement or definitive agreements related to the Concurrent PIPE Financing or (y) material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31" w:right="1440" w:bottom="1440" w:gutter="0" w:footer="0" w:header="0"/>
        </w:sectPr>
      </w:pPr>
    </w:p>
    <w:bookmarkStart w:id="104" w:name="page105"/>
    <w:bookmarkEnd w:id="104"/>
    <w:p>
      <w:pPr>
        <w:ind w:left="640" w:right="73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dispute or disagreement relating to the Concurrent PIPE Financing with respect to the obligation to fund the Concurrent PIPE Financing at or substantially simultaneously with the Closing, and (iii) if at any time for any reason a Party believes in good faith that it will not be able to obtain all or any portion of the Concurrent PIPE Financing on the terms and conditions, in the manner or from the sources contemplated by the Securities Purchase Agreement or definitive agreements related to the Concurrent PIPE Financing. Each Party shall promptly provide information reasonably requested by the other Parties relating to the circumstances referred to in clauses (i), (ii) or (iii) of the immediately preceding sentence.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ADDITIONAL AGREEMENTS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Registration Statement; Information Statement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68" w:lineRule="auto"/>
        <w:tabs>
          <w:tab w:leader="none" w:pos="1121"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promptly as practicable (but in any event, no later than five (5) Business Days after the date of this Agreement, (i) Galera, in cooperation with Obsidian, shall prepare and file with the SEC an information statement relating to the Required Galera Stockholder Approval to be obtained in connection with the Mergers (together with any amendments thereof or supplements thereto, the “</w:t>
      </w:r>
      <w:r>
        <w:rPr>
          <w:rFonts w:ascii="Times New Roman" w:cs="Times New Roman" w:eastAsia="Times New Roman" w:hAnsi="Times New Roman"/>
          <w:sz w:val="12"/>
          <w:szCs w:val="12"/>
          <w:b w:val="1"/>
          <w:bCs w:val="1"/>
          <w:color w:val="auto"/>
        </w:rPr>
        <w:t>Galera Information Statement</w:t>
      </w:r>
      <w:r>
        <w:rPr>
          <w:rFonts w:ascii="Times New Roman" w:cs="Times New Roman" w:eastAsia="Times New Roman" w:hAnsi="Times New Roman"/>
          <w:sz w:val="12"/>
          <w:szCs w:val="12"/>
          <w:color w:val="auto"/>
        </w:rPr>
        <w:t>”) and (ii) Parent and Galera in cooperation with Obsidian, shall prepare and file with the SEC a registration statement on Form S-4 (the “</w:t>
      </w:r>
      <w:r>
        <w:rPr>
          <w:rFonts w:ascii="Times New Roman" w:cs="Times New Roman" w:eastAsia="Times New Roman" w:hAnsi="Times New Roman"/>
          <w:sz w:val="12"/>
          <w:szCs w:val="12"/>
          <w:b w:val="1"/>
          <w:bCs w:val="1"/>
          <w:color w:val="auto"/>
        </w:rPr>
        <w:t>Form S-4</w:t>
      </w:r>
      <w:r>
        <w:rPr>
          <w:rFonts w:ascii="Times New Roman" w:cs="Times New Roman" w:eastAsia="Times New Roman" w:hAnsi="Times New Roman"/>
          <w:sz w:val="12"/>
          <w:szCs w:val="12"/>
          <w:color w:val="auto"/>
        </w:rPr>
        <w:t>”), in which the Galera Information Statement shall be included as a part (the Galera Information Statement and the Form S-4, collectively,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in connection with the registration under the Securities Act of the shares of Parent Common Stock to be issued by virtue of the Mergers and the Concurrent PIPE Financing. Each of Parent, Galera and Obsidian shall use their commercially reasonable efforts to respond promptly to any comments of the SEC or its staff and to cause the Registration Statement to become effective as promptly as practicable, and shall take all or any action required under any applicable federal, state, securities and other Laws in connection with the issuance of shares of Parent Common Stock pursuant to the Mergers. Each of the Parties shall furnish all information concerning itself and their Affiliates, as applicable, to the other Parties as the other Parties may reasonably request in connection with such actions and the preparation of the Registration Statement and Galera Information Statement.</w:t>
      </w:r>
    </w:p>
    <w:p>
      <w:pPr>
        <w:spacing w:after="0" w:line="124" w:lineRule="exact"/>
        <w:rPr>
          <w:rFonts w:ascii="Times New Roman" w:cs="Times New Roman" w:eastAsia="Times New Roman" w:hAnsi="Times New Roman"/>
          <w:sz w:val="12"/>
          <w:szCs w:val="12"/>
          <w:color w:val="auto"/>
        </w:rPr>
      </w:pPr>
    </w:p>
    <w:p>
      <w:pPr>
        <w:ind w:left="640" w:right="659" w:firstLine="307"/>
        <w:spacing w:after="0" w:line="269" w:lineRule="auto"/>
        <w:tabs>
          <w:tab w:leader="none" w:pos="1128"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and Galera each covenant and agree that the Registration Statement (and the letter to stockholders included therewith) will (i) comply as to form in all material respects with the requirements of applicable U.S. federal securities laws and Delaware Law, and (ii) will not contain any untrue statement of a material fact or omit to state any material fact required to be stated therein or necessary in order to make the statements made therein, in light of the circumstances under which they were made, not misleading. Obsidian covenants and agrees that the information supplied by or on behalf of Obsidian, concerning itself, to Parent and Galera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none of Parent, Galera or Obsidian makes any covenant, representation or warranty with respect to statements made in the Registration Statement (and the letter to stockholders included therewith), if any, based on information provided by the other party or any of their Representatives regarding such other party or its Affiliates for inclusion therein.</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739" w:firstLine="307"/>
        <w:spacing w:after="0" w:line="267" w:lineRule="auto"/>
        <w:tabs>
          <w:tab w:leader="none" w:pos="1121" w:val="left"/>
        </w:tabs>
        <w:numPr>
          <w:ilvl w:val="1"/>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Galera shall use commercially reasonable efforts to cause the Galera Information Statement to be mailed to Galera’s stockholders as promptly as practicable after the Registration Statement is declared effective under the Securities Act.</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66" w:lineRule="auto"/>
        <w:tabs>
          <w:tab w:leader="none" w:pos="1128"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before the Closing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Parent and Galera stockholders) or otherwise addressing such SEC request or comments and each party shall use their commercially reasonable efforts to cause any such amendment to become effective, if required. Each of Parent and Galera shall promptly notify Obsidian if it becomes aware</w:t>
      </w:r>
    </w:p>
    <w:p>
      <w:pPr>
        <w:spacing w:after="0" w:line="2" w:lineRule="exact"/>
        <w:rPr>
          <w:rFonts w:ascii="Times New Roman" w:cs="Times New Roman" w:eastAsia="Times New Roman" w:hAnsi="Times New Roman"/>
          <w:sz w:val="12"/>
          <w:szCs w:val="12"/>
          <w:color w:val="auto"/>
        </w:rPr>
      </w:pPr>
    </w:p>
    <w:p>
      <w:pPr>
        <w:jc w:val="both"/>
        <w:ind w:left="640" w:right="699" w:hanging="3"/>
        <w:spacing w:after="0" w:line="244" w:lineRule="auto"/>
        <w:tabs>
          <w:tab w:leader="none" w:pos="819"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Registration Statement has become effective, (2) of the issuance of any stop order or suspension of the qualification or registration of the Parent Common Stock issuance in connection with the Mergers and the Concurrent PIPE Financing for offering or sale in any jurisdiction, or (3) any order of the SEC related to the Registration Statement, and shall promptly provide to Obsidian copies of all written correspondence between it or any of its Representatives, on the one hand, and the SEC or staff of the SEC, on the other hand, with respect to the Registration Statement and all orders of the SEC relating to the Registration Statement.</w:t>
      </w:r>
    </w:p>
    <w:p>
      <w:pPr>
        <w:spacing w:after="0" w:line="136" w:lineRule="exact"/>
        <w:rPr>
          <w:rFonts w:ascii="Times New Roman" w:cs="Times New Roman" w:eastAsia="Times New Roman" w:hAnsi="Times New Roman"/>
          <w:sz w:val="13"/>
          <w:szCs w:val="13"/>
          <w:color w:val="auto"/>
        </w:rPr>
      </w:pPr>
    </w:p>
    <w:p>
      <w:pPr>
        <w:ind w:left="640" w:right="819" w:firstLine="307"/>
        <w:spacing w:after="0" w:line="247" w:lineRule="auto"/>
        <w:tabs>
          <w:tab w:leader="none" w:pos="1121" w:val="left"/>
        </w:tabs>
        <w:numPr>
          <w:ilvl w:val="1"/>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Obsidian shall reasonably cooperate with Parent and Galera and provide, and cause its Representatives to provide, Parent, Galera and their Representatives, with all true, correct and complete information regarding Obsidian and its Subsidiaries that is required by law to be included in the Registration Statement or reasonably requested by Parent to be included in the Registration Statement. Without limiting their respective obligations in </w:t>
      </w:r>
      <w:r>
        <w:rPr>
          <w:rFonts w:ascii="Times New Roman" w:cs="Times New Roman" w:eastAsia="Times New Roman" w:hAnsi="Times New Roman"/>
          <w:sz w:val="13"/>
          <w:szCs w:val="13"/>
          <w:u w:val="single" w:color="auto"/>
          <w:color w:val="auto"/>
        </w:rPr>
        <w:t>Section 6.6(a)</w:t>
      </w:r>
      <w:r>
        <w:rPr>
          <w:rFonts w:ascii="Times New Roman" w:cs="Times New Roman" w:eastAsia="Times New Roman" w:hAnsi="Times New Roman"/>
          <w:sz w:val="13"/>
          <w:szCs w:val="13"/>
          <w:color w:val="auto"/>
        </w:rPr>
        <w:t>, each of Galera and Obsidian will use commercially reasonable efforts to cause to be delivered to Parent a letter of their respective independent accounting firms, dated no more than two (2) Business Days before the date on which the Registration Statement becomes effective (and reasonably satisfactory in form and substance to Parent), that is customary in scope and substance for letters delivered by independent public accountants in connection with registration statements similar to the Registration Statement.</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07" w:val="left"/>
        </w:tabs>
        <w:numPr>
          <w:ilvl w:val="1"/>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the prior consent of Obsidian, which shall not be unreasonably withheld, conditioned or delayed.</w:t>
      </w:r>
    </w:p>
    <w:p>
      <w:pPr>
        <w:spacing w:after="0" w:line="134" w:lineRule="exact"/>
        <w:rPr>
          <w:rFonts w:ascii="Times New Roman" w:cs="Times New Roman" w:eastAsia="Times New Roman" w:hAnsi="Times New Roman"/>
          <w:sz w:val="13"/>
          <w:szCs w:val="13"/>
          <w:color w:val="auto"/>
        </w:rPr>
      </w:pPr>
    </w:p>
    <w:p>
      <w:pPr>
        <w:jc w:val="both"/>
        <w:ind w:left="640" w:right="659" w:firstLine="307"/>
        <w:spacing w:after="0" w:line="255" w:lineRule="auto"/>
        <w:tabs>
          <w:tab w:leader="none" w:pos="1128" w:val="left"/>
        </w:tabs>
        <w:numPr>
          <w:ilvl w:val="1"/>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will use commercially reasonable efforts to cause Galera’s independent accounting firm to deliver any Consent that Parent is required to file with the SEC with respect to the inclusion of the independent accounting firm’s opinion on the audited financial statements of Galera in any filing of the Registration Statement with the SEC.</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31" w:right="1440" w:bottom="1440" w:gutter="0" w:footer="0" w:header="0"/>
        </w:sectPr>
      </w:pPr>
    </w:p>
    <w:bookmarkStart w:id="106" w:name="page107"/>
    <w:bookmarkEnd w:id="10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7.2 </w:t>
      </w:r>
      <w:r>
        <w:rPr>
          <w:rFonts w:ascii="Times New Roman" w:cs="Times New Roman" w:eastAsia="Times New Roman" w:hAnsi="Times New Roman"/>
          <w:sz w:val="13"/>
          <w:szCs w:val="13"/>
          <w:u w:val="single" w:color="auto"/>
          <w:color w:val="auto"/>
        </w:rPr>
        <w:t>Obsidian Stockholder Approval</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99" w:firstLine="307"/>
        <w:spacing w:after="0" w:line="268" w:lineRule="auto"/>
        <w:tabs>
          <w:tab w:leader="none" w:pos="1121"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Registration Statement has been declared effective under the Securities Act, and in any event no later than two (2) Business Days thereafter, Obsidian shall prepare, with the cooperation of Galera, and cause to be mailed to its stockholders an information statement, which shall include a copy of the Galera Information Statement, and the Obsidian Stockholder Written Consent, in order to solicit the approval of Obsidian’s stockholders, including but not limited to Obsidian’s stockholders sufficient for the Required Obsidian Stockholder Approval in lieu of a meeting pursuant to Section 228 of Delaware Law, for purposes of (i) adopting and approving this Agreement and the Contemplated Transactions, and</w:t>
      </w:r>
    </w:p>
    <w:p>
      <w:pPr>
        <w:ind w:left="640" w:right="739" w:hanging="3"/>
        <w:spacing w:after="0" w:line="243" w:lineRule="auto"/>
        <w:tabs>
          <w:tab w:leader="none" w:pos="826"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acknowledging that the approval given thereby is irrevocable. Obsidian shall use its reasonable best efforts to cause Obsidian’s stockholders sufficient for the Required Obsidian Stockholder Approval to execute and deliver to Obsidian the Obsidian Stockholder Written Consent promptly following delivery thereof, and in any event no later than fifteen (15) days after the Registration Statement has been declared effective. Promptly following receipt of the duly executed Obsidian Stockholder Written Consent, Obsidian shall deliver a copy of the duly executed Obsidian Stockholder Written Consent to Galera. Under no circumstances shall Obsidian assert that any other approval or Consent is necessary by its stockholders to approve this Agreement and the Contemplated Transactions. In connection with the Obsidian Stockholder Written Consent, Obsidian shall take all actions necessary or advisable to comply in all material respects, and shall comply in all material respects, with Delaware Law, including Section 228 and Section 262 thereof, and the Organizational Documents of Obsidian.</w:t>
      </w:r>
    </w:p>
    <w:p>
      <w:pPr>
        <w:spacing w:after="0" w:line="140" w:lineRule="exact"/>
        <w:rPr>
          <w:rFonts w:ascii="Times New Roman" w:cs="Times New Roman" w:eastAsia="Times New Roman" w:hAnsi="Times New Roman"/>
          <w:sz w:val="13"/>
          <w:szCs w:val="13"/>
          <w:color w:val="auto"/>
        </w:rPr>
      </w:pPr>
    </w:p>
    <w:p>
      <w:pPr>
        <w:ind w:left="640" w:right="799" w:firstLine="307"/>
        <w:spacing w:after="0" w:line="246" w:lineRule="auto"/>
        <w:tabs>
          <w:tab w:leader="none" w:pos="1128" w:val="left"/>
        </w:tabs>
        <w:numPr>
          <w:ilvl w:val="1"/>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Obsidian agrees that, subject in all respects to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(i) the Obsidian Board shall use commercially reasonable efforts to solicit stockholder approval within the timeframe set forth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(the recommendation of the Obsidian Board that Obsidian’s stockholders vote to adopt and approve this Agreement being referred to as the “</w:t>
      </w:r>
      <w:r>
        <w:rPr>
          <w:rFonts w:ascii="Times New Roman" w:cs="Times New Roman" w:eastAsia="Times New Roman" w:hAnsi="Times New Roman"/>
          <w:sz w:val="13"/>
          <w:szCs w:val="13"/>
          <w:b w:val="1"/>
          <w:bCs w:val="1"/>
          <w:color w:val="auto"/>
        </w:rPr>
        <w:t>Obsidian Board Recommendation</w:t>
      </w:r>
      <w:r>
        <w:rPr>
          <w:rFonts w:ascii="Times New Roman" w:cs="Times New Roman" w:eastAsia="Times New Roman" w:hAnsi="Times New Roman"/>
          <w:sz w:val="13"/>
          <w:szCs w:val="13"/>
          <w:color w:val="auto"/>
        </w:rPr>
        <w:t>”) and (ii) the Obsidian Board Recommendation shall not be withheld, amended, withdrawn or modified (and the Obsidian Board shall not publicly propose to withhold, amend, withdraw or modify the Obsidian Board Recommendation) in a manner adverse to Parent or Galera, and no resolution by the Obsidian Board or any committee thereof to withdraw or modify the Obsidian Board Recommendation in a manner adverse to Parent or Galera or to adopt, approve or recommend (or publicly propose to adopt, approve or recommend) any Acquisition Proposal shall be adopted or proposed (the actions set forth in the foregoing clause (ii), collectively, an “</w:t>
      </w:r>
      <w:r>
        <w:rPr>
          <w:rFonts w:ascii="Times New Roman" w:cs="Times New Roman" w:eastAsia="Times New Roman" w:hAnsi="Times New Roman"/>
          <w:sz w:val="13"/>
          <w:szCs w:val="13"/>
          <w:b w:val="1"/>
          <w:bCs w:val="1"/>
          <w:color w:val="auto"/>
        </w:rPr>
        <w:t>Obsidian Board Adverse Recommendation Change</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1" w:val="left"/>
        </w:tabs>
        <w:numPr>
          <w:ilvl w:val="1"/>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contained in </w:t>
      </w:r>
      <w:r>
        <w:rPr>
          <w:rFonts w:ascii="Times New Roman" w:cs="Times New Roman" w:eastAsia="Times New Roman" w:hAnsi="Times New Roman"/>
          <w:sz w:val="13"/>
          <w:szCs w:val="13"/>
          <w:u w:val="single" w:color="auto"/>
          <w:color w:val="auto"/>
        </w:rPr>
        <w:t>Section 7.2(b)</w:t>
      </w:r>
      <w:r>
        <w:rPr>
          <w:rFonts w:ascii="Times New Roman" w:cs="Times New Roman" w:eastAsia="Times New Roman" w:hAnsi="Times New Roman"/>
          <w:sz w:val="13"/>
          <w:szCs w:val="13"/>
          <w:color w:val="auto"/>
        </w:rPr>
        <w:t xml:space="preserve">, and subject to compliance with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at any time prior to the receipt of the Required Obsidian Stockholder Approval, (i) if Obsidian receives a bona fide, unsolicited,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Obsidian meets or exceeds internal budgets, plans or forecasts of its revenues, earnings or other financial performance or results of operations) that affects the business, assets or operations of</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9019"/>
          </w:cols>
          <w:pgMar w:left="1440" w:top="231" w:right="1440" w:bottom="1440" w:gutter="0" w:footer="0" w:header="0"/>
        </w:sectPr>
      </w:pPr>
    </w:p>
    <w:bookmarkStart w:id="107" w:name="page108"/>
    <w:bookmarkEnd w:id="107"/>
    <w:p>
      <w:pPr>
        <w:ind w:left="640" w:right="859"/>
        <w:spacing w:after="0" w:line="27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Obsidian that occurs or arises after the date of this Agreement (a “</w:t>
      </w:r>
      <w:r>
        <w:rPr>
          <w:rFonts w:ascii="Times New Roman" w:cs="Times New Roman" w:eastAsia="Times New Roman" w:hAnsi="Times New Roman"/>
          <w:sz w:val="12"/>
          <w:szCs w:val="12"/>
          <w:b w:val="1"/>
          <w:bCs w:val="1"/>
          <w:color w:val="auto"/>
        </w:rPr>
        <w:t>Obsidian Intervening Event</w:t>
      </w:r>
      <w:r>
        <w:rPr>
          <w:rFonts w:ascii="Times New Roman" w:cs="Times New Roman" w:eastAsia="Times New Roman" w:hAnsi="Times New Roman"/>
          <w:sz w:val="12"/>
          <w:szCs w:val="12"/>
          <w:color w:val="auto"/>
        </w:rPr>
        <w:t>”), the Obsidian Board may make an Obsidian Board Adverse Recommendation Change if, but only if (i) in the case of a Superior Offer, following the receipt of and on account of such Superior Offer,</w:t>
      </w:r>
    </w:p>
    <w:p>
      <w:pPr>
        <w:spacing w:after="0" w:line="1" w:lineRule="exact"/>
        <w:rPr>
          <w:sz w:val="20"/>
          <w:szCs w:val="20"/>
          <w:color w:val="auto"/>
        </w:rPr>
      </w:pPr>
    </w:p>
    <w:p>
      <w:pPr>
        <w:ind w:left="640" w:right="659" w:hanging="3"/>
        <w:spacing w:after="0" w:line="264" w:lineRule="auto"/>
        <w:tabs>
          <w:tab w:leader="none" w:pos="819"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Obsidian Board determines in good faith, after consulting with outside legal counsel and reasonably considering all relevant factors, that the failure to withhold, amend, withdraw or modify such recommendation would reasonably be expected to be inconsistent with its fiduciary duties under applicable Law, (2) Obsidian has, and has caused its financial advisors and outside legal counsel to, during the Obsidian Notice Period, negotiate with Galera in good faith to make such adjustments to the terms and conditions of this Agreement so that such Acquisition Proposal ceases to constitute a Superior Offer (to the extent Galera desires to negotiate) and (3) if after Galera shall have delivered to Obsidian an irrevocable written offer to alter the terms or conditions of this Agreement during the Obsidian Notice Period, the Obsidian Board shall have determined in good faith, based on the advice of its outside legal counsel, that the failure to withhold, amend, withdraw or modify the Obsidian Board Recommendation would reasonably be expected to be inconsistent with its fiduciary duties under applicable Law (after taking into account such alterations of the terms and conditions of this Agreement); provided that (x) Galera receives written notice from Obsidian confirming that the Obsidian Board has determined to change its recommendation at least four (4) Business Days in advance of the Obsidian Board Adverse Recommendation Change (the “</w:t>
      </w:r>
      <w:r>
        <w:rPr>
          <w:rFonts w:ascii="Times New Roman" w:cs="Times New Roman" w:eastAsia="Times New Roman" w:hAnsi="Times New Roman"/>
          <w:sz w:val="12"/>
          <w:szCs w:val="12"/>
          <w:b w:val="1"/>
          <w:bCs w:val="1"/>
          <w:color w:val="auto"/>
        </w:rPr>
        <w:t>Obsidian Notice Period</w:t>
      </w:r>
      <w:r>
        <w:rPr>
          <w:rFonts w:ascii="Times New Roman" w:cs="Times New Roman" w:eastAsia="Times New Roman" w:hAnsi="Times New Roman"/>
          <w:sz w:val="12"/>
          <w:szCs w:val="12"/>
          <w:color w:val="auto"/>
        </w:rPr>
        <w:t xml:space="preserve">”), which notice shall include a description in reasonable detail of the reasons for such Obsidian Board Adverse Recommendation Change, and written copies of any relevant proposed transaction agreements with any party making a potential Superior Offer, (y) during any Obsidian Notice Period, Galera shall be entitled to deliver to Obsidian one or more counterproposals to such Acquisition Proposal and Obsidian will, and cause its Representatives to, negotiate with Galera in good faith (to the extent Galera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Obsidian’s stockholders would receive as a result of such potential Superior Offer), Obsidian shall be required to provide Galera with notice of such material amendment and the Obsidian Notice Period shall be extended, if applicable, to ensure that at least two (2) Business Days remain in the Obsidian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7.2(c)</w:t>
      </w:r>
      <w:r>
        <w:rPr>
          <w:rFonts w:ascii="Times New Roman" w:cs="Times New Roman" w:eastAsia="Times New Roman" w:hAnsi="Times New Roman"/>
          <w:sz w:val="12"/>
          <w:szCs w:val="12"/>
          <w:color w:val="auto"/>
        </w:rPr>
        <w:t xml:space="preserve"> and the Obsidian Board shall not make an Obsidian Board Adverse Recommendation Change prior to the end of such Obsidian Notice Period as so extended (it being understood that there may be multiple extensions) or (ii) in the case of an Obsidian Intervening Event, Obsidian promptly notifies Galera, in writing, within the Obsidian Notice Period before making an Obsidian Board Adverse Recommendation Change, which notice shall state expressly the material facts and circumstances related to the applicable Company Intervening Event and that the Obsidian Board intends to make an Obsidian Board Adverse Recommendation Change.</w:t>
      </w:r>
    </w:p>
    <w:p>
      <w:pPr>
        <w:spacing w:after="0" w:line="2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Galera Stockholder Approval</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7"/>
        <w:spacing w:after="0" w:line="251" w:lineRule="auto"/>
        <w:tabs>
          <w:tab w:leader="none" w:pos="1121"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Registration Statement has been declared effective under the Securities Act, and in any event no later than two (2) Business Days thereafter, Galera shall use its reasonable best efforts to obtain from the Specified Stockholders the duly executed Galera Stockholder Written Consent;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the event that the Annual Meeting Galera Stockholder Vote has not resulted in the affirmative approval by the Galera stockholders of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9019"/>
          </w:cols>
          <w:pgMar w:left="1440" w:top="229" w:right="1440" w:bottom="1440" w:gutter="0" w:footer="0" w:header="0"/>
        </w:sectPr>
      </w:pPr>
    </w:p>
    <w:bookmarkStart w:id="108" w:name="page109"/>
    <w:bookmarkEnd w:id="108"/>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ability to act by written consent, then Galera shall use its reasonable best efforts to promptly call a special meeting of its stockholders to seek approval of this Agreement and the Contemplated Transactions in accordance with Section 7.14. Promptly following receipt of the duly executed Galera Stockholder Written Consent, Galera shall deliver a copy of the duly executed Galera Stockholder Written Consent to Obsidian. Assuming approval is received in the Annual Meeting Galera Stockholder Vote, under no circumstances shall Galera assert that any other approval or consent is necessary by its stockholders to approve this Agreement and the Contemplated Transactions. In connection with the Galera Stockholder Written Consent, Galera shall take all actions necessary or advisable to comply in all material respects, and shall comply in all material respects, with Delaware Law, including Section 228 and Section 262 thereof, and the Organizational Documents of Galera.</w:t>
      </w:r>
    </w:p>
    <w:p>
      <w:pPr>
        <w:spacing w:after="0" w:line="136" w:lineRule="exact"/>
        <w:rPr>
          <w:sz w:val="20"/>
          <w:szCs w:val="20"/>
          <w:color w:val="auto"/>
        </w:rPr>
      </w:pPr>
    </w:p>
    <w:p>
      <w:pPr>
        <w:ind w:left="640" w:right="859" w:firstLine="307"/>
        <w:spacing w:after="0" w:line="274" w:lineRule="auto"/>
        <w:tabs>
          <w:tab w:leader="none" w:pos="1128"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Galera agrees that, subject in all respects to </w:t>
      </w:r>
      <w:r>
        <w:rPr>
          <w:rFonts w:ascii="Times New Roman" w:cs="Times New Roman" w:eastAsia="Times New Roman" w:hAnsi="Times New Roman"/>
          <w:sz w:val="12"/>
          <w:szCs w:val="12"/>
          <w:u w:val="single" w:color="auto"/>
          <w:color w:val="auto"/>
        </w:rPr>
        <w:t>Section 7.3(c)</w:t>
      </w:r>
      <w:r>
        <w:rPr>
          <w:rFonts w:ascii="Times New Roman" w:cs="Times New Roman" w:eastAsia="Times New Roman" w:hAnsi="Times New Roman"/>
          <w:sz w:val="12"/>
          <w:szCs w:val="12"/>
          <w:color w:val="auto"/>
        </w:rPr>
        <w:t>, (i) the Galera Board shall recommend that the holders of Galera Common Stock approve the Galera Stockholder Matters and shall use commercially reasonable efforts to solicit such approval within the timeframe set forth</w:t>
      </w:r>
    </w:p>
    <w:p>
      <w:pPr>
        <w:spacing w:after="0" w:line="1" w:lineRule="exact"/>
        <w:rPr>
          <w:rFonts w:ascii="Times New Roman" w:cs="Times New Roman" w:eastAsia="Times New Roman" w:hAnsi="Times New Roman"/>
          <w:sz w:val="12"/>
          <w:szCs w:val="12"/>
          <w:color w:val="auto"/>
        </w:rPr>
      </w:pPr>
    </w:p>
    <w:p>
      <w:pPr>
        <w:ind w:left="640" w:right="759"/>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above, (ii) in the event that the Annual Meeting Galera Stockholder Vote is not obtained, then the proxy statement filed in accordance with Section </w:t>
      </w:r>
      <w:r>
        <w:rPr>
          <w:rFonts w:ascii="Times New Roman" w:cs="Times New Roman" w:eastAsia="Times New Roman" w:hAnsi="Times New Roman"/>
          <w:sz w:val="13"/>
          <w:szCs w:val="13"/>
          <w:u w:val="single" w:color="auto"/>
          <w:color w:val="auto"/>
        </w:rPr>
        <w:t>7.14(b</w:t>
      </w:r>
      <w:r>
        <w:rPr>
          <w:rFonts w:ascii="Times New Roman" w:cs="Times New Roman" w:eastAsia="Times New Roman" w:hAnsi="Times New Roman"/>
          <w:sz w:val="13"/>
          <w:szCs w:val="13"/>
          <w:color w:val="auto"/>
        </w:rPr>
        <w:t>) shall include a statement to the effect that the Galera Board recommends that Galera’s stockholders vote to approve the Galera Stockholder Matters (the recommendation of the Galera Board being referred to as the “</w:t>
      </w:r>
      <w:r>
        <w:rPr>
          <w:rFonts w:ascii="Times New Roman" w:cs="Times New Roman" w:eastAsia="Times New Roman" w:hAnsi="Times New Roman"/>
          <w:sz w:val="13"/>
          <w:szCs w:val="13"/>
          <w:b w:val="1"/>
          <w:bCs w:val="1"/>
          <w:color w:val="auto"/>
        </w:rPr>
        <w:t>Galera Board Recommendation</w:t>
      </w:r>
      <w:r>
        <w:rPr>
          <w:rFonts w:ascii="Times New Roman" w:cs="Times New Roman" w:eastAsia="Times New Roman" w:hAnsi="Times New Roman"/>
          <w:sz w:val="13"/>
          <w:szCs w:val="13"/>
          <w:color w:val="auto"/>
        </w:rPr>
        <w:t>”) and (iii) the Galera Board Recommendation shall not be withheld, amended, withdrawn or modified (and the Galera Board shall not publicly propose to withhold, amend, withdraw or modify the Galera Board Recommendation) in a manner adverse to Obsidian, and no resolution by the Galera Board or any committee thereof to withdraw or modify the Galera Board Recommendation in a manner adverse to Obsidian or to adopt, approve or recommend (or publicly propose to adopt, approve or recommend) any Acquisition Proposal shall be adopted or proposed (the actions set forth in the foregoing clause (iii), collectively, a “</w:t>
      </w:r>
      <w:r>
        <w:rPr>
          <w:rFonts w:ascii="Times New Roman" w:cs="Times New Roman" w:eastAsia="Times New Roman" w:hAnsi="Times New Roman"/>
          <w:sz w:val="13"/>
          <w:szCs w:val="13"/>
          <w:b w:val="1"/>
          <w:bCs w:val="1"/>
          <w:color w:val="auto"/>
        </w:rPr>
        <w:t>Galera Board Adverse Recommendation Change</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2"/>
          <w:szCs w:val="12"/>
          <w:color w:val="auto"/>
        </w:rPr>
      </w:pPr>
    </w:p>
    <w:p>
      <w:pPr>
        <w:ind w:left="640" w:right="659" w:firstLine="307"/>
        <w:spacing w:after="0" w:line="245" w:lineRule="auto"/>
        <w:tabs>
          <w:tab w:leader="none" w:pos="1121"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contained in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and subject to compliance with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at any time prior to the approval of the Galera Stockholder Matters by the Required Galera Stockholder Approval, (i) if Galera receives a bona fide, unsolicited,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Galera meets or exceeds internal budgets, plans or forecasts of its revenues, earnings or other financial performance or results of operations) that affects the business, assets or operations of Galera that occurs or arises after the date of this Agreement (a “</w:t>
      </w:r>
      <w:r>
        <w:rPr>
          <w:rFonts w:ascii="Times New Roman" w:cs="Times New Roman" w:eastAsia="Times New Roman" w:hAnsi="Times New Roman"/>
          <w:sz w:val="13"/>
          <w:szCs w:val="13"/>
          <w:b w:val="1"/>
          <w:bCs w:val="1"/>
          <w:color w:val="auto"/>
        </w:rPr>
        <w:t>Galera Intervening Event</w:t>
      </w:r>
      <w:r>
        <w:rPr>
          <w:rFonts w:ascii="Times New Roman" w:cs="Times New Roman" w:eastAsia="Times New Roman" w:hAnsi="Times New Roman"/>
          <w:sz w:val="13"/>
          <w:szCs w:val="13"/>
          <w:color w:val="auto"/>
        </w:rPr>
        <w:t>”), the Galera Board may make a Galera Board Adverse Recommendation Change if, but only if (i) in the case of a Superior Offer, following the receipt of and on account of such Superior Offer, (1) the Galera Board determines in good faith, after consulting with outside legal counsel and reasonably considering all relevant factors, that the failure to withhold, amend, withdraw or modify such recommendation would reasonably be expected to be inconsistent with its fiduciary duties under applicable Law, (2) Galera has, and has caused its financial advisors and outside legal counsel to, during the Galera Notice Period, negotiate with Obsidian in good faith to make such adjustments to the terms and conditions of this Agreement so that such Acquisition Proposal ceases to constitute a Superior Offer (to the extent Obsidian desires to negotiate) and (3) if after Obsidian shall have delivered to Galera an irrevocable written offer to alter the terms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9019"/>
          </w:cols>
          <w:pgMar w:left="1440" w:top="231" w:right="1440" w:bottom="1440" w:gutter="0" w:footer="0" w:header="0"/>
        </w:sectPr>
      </w:pPr>
    </w:p>
    <w:bookmarkStart w:id="109" w:name="page110"/>
    <w:bookmarkEnd w:id="109"/>
    <w:p>
      <w:pPr>
        <w:ind w:left="640" w:right="69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conditions of this Agreement during the Galera Notice Period, the Galera Board shall have determined in good faith, based on the advice of its outside legal counsel, that the failure to withhold, amend, withdraw or modify the Galera Board Recommendation would reasonably be expected to be inconsistent with its fiduciary duties under applicable Law (after taking into account such alterations of the terms and conditions of this Agreement); provided that (x) Obsidian receives written notice from Galera confirming that the Galera Board has determined to change its recommendation at least four (4) Business Days in advance of the Galera Board Adverse Recommendation Change (the “</w:t>
      </w:r>
      <w:r>
        <w:rPr>
          <w:rFonts w:ascii="Times New Roman" w:cs="Times New Roman" w:eastAsia="Times New Roman" w:hAnsi="Times New Roman"/>
          <w:sz w:val="12"/>
          <w:szCs w:val="12"/>
          <w:b w:val="1"/>
          <w:bCs w:val="1"/>
          <w:color w:val="auto"/>
        </w:rPr>
        <w:t>Galera Notice Period</w:t>
      </w:r>
      <w:r>
        <w:rPr>
          <w:rFonts w:ascii="Times New Roman" w:cs="Times New Roman" w:eastAsia="Times New Roman" w:hAnsi="Times New Roman"/>
          <w:sz w:val="12"/>
          <w:szCs w:val="12"/>
          <w:color w:val="auto"/>
        </w:rPr>
        <w:t xml:space="preserve">”), which notice shall include a description in reasonable detail of the reasons for such Galera Board Adverse Recommendation Change, and written copies of any relevant proposed transaction agreements with any party making a potential Superior Offer, (y) during any Galera Notice Period, Obsidian shall be entitled to deliver to Galera one or more counterproposals to such Acquisition Proposal and Galera will, and cause its Representatives to, negotiate with Obsidian in good faith (to the extent Obsidian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Galera’s stockholders would receive as a result of such potential Superior Offer), Galera shall be required to provide Obsidian with notice of such material amendment and the Galera Notice Period shall be extended, if applicable, to ensure that at least two (2) Business Days remain in the Galera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7.3(c)</w:t>
      </w:r>
      <w:r>
        <w:rPr>
          <w:rFonts w:ascii="Times New Roman" w:cs="Times New Roman" w:eastAsia="Times New Roman" w:hAnsi="Times New Roman"/>
          <w:sz w:val="12"/>
          <w:szCs w:val="12"/>
          <w:color w:val="auto"/>
        </w:rPr>
        <w:t xml:space="preserve"> and the Galera Board shall not make a Galera Board Adverse Recommendation Change prior to the end of such Galera Notice Period as so extended (it being understood that there may be multiple extensions) or (ii) in the case of a Galera Intervening Event, Galera promptly notifies Obsidian, in writing, within the Galera Notice Period before making a Galera Board Adverse Recommendation Change, which notice shall state expressly the material facts and circumstances related to the applicable Galera Intervening Event and that the Galera Board intends to make a Galera Board Adverse Recommendation Change.</w:t>
      </w:r>
    </w:p>
    <w:p>
      <w:pPr>
        <w:spacing w:after="0" w:line="281" w:lineRule="exact"/>
        <w:rPr>
          <w:sz w:val="20"/>
          <w:szCs w:val="20"/>
          <w:color w:val="auto"/>
        </w:rPr>
      </w:pPr>
    </w:p>
    <w:p>
      <w:pPr>
        <w:ind w:left="640" w:right="739" w:firstLine="307"/>
        <w:spacing w:after="0" w:line="271" w:lineRule="auto"/>
        <w:tabs>
          <w:tab w:leader="none" w:pos="1128"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this Agreement is validly terminated pursuant to </w:t>
      </w:r>
      <w:r>
        <w:rPr>
          <w:rFonts w:ascii="Times New Roman" w:cs="Times New Roman" w:eastAsia="Times New Roman" w:hAnsi="Times New Roman"/>
          <w:sz w:val="12"/>
          <w:szCs w:val="12"/>
          <w:u w:val="single" w:color="auto"/>
          <w:color w:val="auto"/>
        </w:rPr>
        <w:t>Section 10.1(j)</w:t>
      </w:r>
      <w:r>
        <w:rPr>
          <w:rFonts w:ascii="Times New Roman" w:cs="Times New Roman" w:eastAsia="Times New Roman" w:hAnsi="Times New Roman"/>
          <w:sz w:val="12"/>
          <w:szCs w:val="12"/>
          <w:color w:val="auto"/>
        </w:rPr>
        <w:t xml:space="preserve"> or the Organizational Documents of Galera have not been amended to provide the Galera stockholders with a right to act by written consent due to an adverse outcome in the Annual Meeting Galera Stockholder Vote, Galera’s obligation to obtain from the Specified Stockholders the duly executed Galera Stockholder Written Consent in accordance</w:t>
      </w:r>
    </w:p>
    <w:p>
      <w:pPr>
        <w:ind w:left="640" w:right="77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with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shall not be limited to or otherwise affected by the commencement, disclosure, announcement or submission of any Superior Offer or Acquisition Proposal, or by any withdrawal or modification of the Galera Board Recommendation or any Galera Board Adverse Recommendation Change.</w:t>
      </w:r>
    </w:p>
    <w:p>
      <w:pPr>
        <w:spacing w:after="0" w:line="135" w:lineRule="exact"/>
        <w:rPr>
          <w:rFonts w:ascii="Times New Roman" w:cs="Times New Roman" w:eastAsia="Times New Roman" w:hAnsi="Times New Roman"/>
          <w:sz w:val="12"/>
          <w:szCs w:val="12"/>
          <w:color w:val="auto"/>
        </w:rPr>
      </w:pPr>
    </w:p>
    <w:p>
      <w:pPr>
        <w:ind w:left="640" w:right="759" w:firstLine="307"/>
        <w:spacing w:after="0" w:line="249" w:lineRule="auto"/>
        <w:tabs>
          <w:tab w:leader="none" w:pos="1121"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prohibit Galera or the Galera Board from complying with Rules 14d-9 and 14e-2(a) promulgated under the Exchange Act; provided however, that any disclosure made by Galera or the Galera Board pursuant to Rules 14d-9 and 14e-2(a) shall be limited to a statement that Galera is unable to take a position with respect to the bidder’s tender offer unless the Galera Board determines in good faith, after consultation with its outside legal counsel, that such statement would reasonably be expected to be inconsistent with its fiduciary duties under applicable Law.</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97</w:t>
      </w:r>
    </w:p>
    <w:p>
      <w:pPr>
        <w:sectPr>
          <w:pgSz w:w="11900" w:h="16838" w:orient="portrait"/>
          <w:cols w:equalWidth="0" w:num="1">
            <w:col w:w="9019"/>
          </w:cols>
          <w:pgMar w:left="1440" w:top="231" w:right="1440" w:bottom="1440" w:gutter="0" w:footer="0" w:header="0"/>
        </w:sectPr>
      </w:pPr>
    </w:p>
    <w:bookmarkStart w:id="110" w:name="page111"/>
    <w:bookmarkEnd w:id="11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7.4 </w:t>
      </w:r>
      <w:r>
        <w:rPr>
          <w:rFonts w:ascii="Times New Roman" w:cs="Times New Roman" w:eastAsia="Times New Roman" w:hAnsi="Times New Roman"/>
          <w:sz w:val="13"/>
          <w:szCs w:val="13"/>
          <w:u w:val="single" w:color="auto"/>
          <w:color w:val="auto"/>
        </w:rPr>
        <w:t>Efforts; Regulatory Approvals; Transaction Litigation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48" w:lineRule="auto"/>
        <w:tabs>
          <w:tab w:leader="none" w:pos="1121" w:val="left"/>
        </w:tabs>
        <w:numPr>
          <w:ilvl w:val="1"/>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use commercially reasonable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required to be obtained (pursuant to any applicable law or Contract, or otherwise) by such Party in connection with the Contemplated Transactions or for such Contract to remain in full force and effect, and (iii) shall use commercially reasonable efforts to satisfy the conditions precedent to the consummation of the Contemplated Transactions.</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generality of the foregoing, each Party shall use commercially reasonable efforts to file or otherwise submit, within five</w:t>
      </w:r>
    </w:p>
    <w:p>
      <w:pPr>
        <w:spacing w:after="0" w:line="26" w:lineRule="exact"/>
        <w:rPr>
          <w:rFonts w:ascii="Times New Roman" w:cs="Times New Roman" w:eastAsia="Times New Roman" w:hAnsi="Times New Roman"/>
          <w:sz w:val="12"/>
          <w:szCs w:val="12"/>
          <w:color w:val="auto"/>
        </w:rPr>
      </w:pPr>
    </w:p>
    <w:p>
      <w:pPr>
        <w:ind w:left="640" w:right="699" w:hanging="3"/>
        <w:spacing w:after="0" w:line="245" w:lineRule="auto"/>
        <w:tabs>
          <w:tab w:leader="none" w:pos="819"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Days after the date of this Agreement, all applications, notices, reports and other documents (if any) required to be filed by such Party with or otherwise submitted by such Party to any Governmental Authority with respect to the transactions contemplated hereby, and to submit promptly any additional information requested by any such Governmental Authority.</w:t>
      </w:r>
    </w:p>
    <w:p>
      <w:pPr>
        <w:spacing w:after="0" w:line="133"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19" w:val="left"/>
        </w:tabs>
        <w:numPr>
          <w:ilvl w:val="1"/>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the foregoing, Galera or Obsidian, as applicable (hereinafter, the “</w:t>
      </w:r>
      <w:r>
        <w:rPr>
          <w:rFonts w:ascii="Times New Roman" w:cs="Times New Roman" w:eastAsia="Times New Roman" w:hAnsi="Times New Roman"/>
          <w:sz w:val="12"/>
          <w:szCs w:val="12"/>
          <w:b w:val="1"/>
          <w:bCs w:val="1"/>
          <w:color w:val="auto"/>
        </w:rPr>
        <w:t>Transaction Litigation Party</w:t>
      </w:r>
      <w:r>
        <w:rPr>
          <w:rFonts w:ascii="Times New Roman" w:cs="Times New Roman" w:eastAsia="Times New Roman" w:hAnsi="Times New Roman"/>
          <w:sz w:val="12"/>
          <w:szCs w:val="12"/>
          <w:color w:val="auto"/>
        </w:rPr>
        <w:t>”), shall give the other Party prompt (but not later than within two (2) Business Days) written notice of any “demand letter,” investigation by a Governmental Authority, or any Legal Proceeding initiated, or threatened in writing against the Transaction Litigation Party and/or its directors or officers relating to this Agreement or the Contemplated Transactions (the “</w:t>
      </w:r>
      <w:r>
        <w:rPr>
          <w:rFonts w:ascii="Times New Roman" w:cs="Times New Roman" w:eastAsia="Times New Roman" w:hAnsi="Times New Roman"/>
          <w:sz w:val="12"/>
          <w:szCs w:val="12"/>
          <w:b w:val="1"/>
          <w:bCs w:val="1"/>
          <w:color w:val="auto"/>
        </w:rPr>
        <w:t>Transaction Litigation</w:t>
      </w:r>
      <w:r>
        <w:rPr>
          <w:rFonts w:ascii="Times New Roman" w:cs="Times New Roman" w:eastAsia="Times New Roman" w:hAnsi="Times New Roman"/>
          <w:sz w:val="12"/>
          <w:szCs w:val="12"/>
          <w:color w:val="auto"/>
        </w:rPr>
        <w:t xml:space="preserve">”) (including by providing copies of all pleadings or correspondence with respect thereto) and keep the other Party reasonably informed with respect to the status thereof. The Transaction Litigation Party shall, on behalf of the Parties hereto, control and lead all communications and strategy relating to any Transaction Litigation. The Transaction Litigation Party will (i) give the other Party the opportunity to participate in the defense, settlement or prosecution of any Transaction Litigation, (ii) consult with the other Party with respect to the defense, settlement and prosecution of any Transaction Litigation, (iii) consider in good faith the other Party’s advice with respect to such Transaction Litigation and (iv) not settle or consent or agree to settle or compromise any Transaction Litigation without the other Party’s prior written consent and no such settlement shall (A) impose any liability or obligation on Obsidian, Galera or Parent, (B) affect the consideration or timing of the Closing, or (C) include any admission of wrongdoing by Obsidian, Galera or Parent, in each case without the such Party’s prior written consent. Without otherwise limiting the rights of current or former directors and officers of the Transaction Litigation Party with regard to the right to counsel, following the Galera Effective Time, current or former directors and officers of the Transaction Litigation Party with rights to indemnification as described in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xml:space="preserve"> shall be entitled to retain a single counsel, selected by such indemnified parties, to represent them in connection with the defense of any Transaction Litigation as it relates to such directors and officers.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98</w:t>
      </w:r>
    </w:p>
    <w:p>
      <w:pPr>
        <w:sectPr>
          <w:pgSz w:w="11900" w:h="16838" w:orient="portrait"/>
          <w:cols w:equalWidth="0" w:num="1">
            <w:col w:w="9019"/>
          </w:cols>
          <w:pgMar w:left="1440" w:top="231" w:right="1440" w:bottom="1440" w:gutter="0" w:footer="0" w:header="0"/>
        </w:sectPr>
      </w:pPr>
    </w:p>
    <w:bookmarkStart w:id="111" w:name="page112"/>
    <w:bookmarkEnd w:id="111"/>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7.5 </w:t>
      </w:r>
      <w:r>
        <w:rPr>
          <w:rFonts w:ascii="Times New Roman" w:cs="Times New Roman" w:eastAsia="Times New Roman" w:hAnsi="Times New Roman"/>
          <w:sz w:val="12"/>
          <w:szCs w:val="12"/>
          <w:u w:val="single" w:color="auto"/>
          <w:color w:val="auto"/>
        </w:rPr>
        <w:t>Disclosures</w:t>
      </w:r>
      <w:r>
        <w:rPr>
          <w:rFonts w:ascii="Times New Roman" w:cs="Times New Roman" w:eastAsia="Times New Roman" w:hAnsi="Times New Roman"/>
          <w:sz w:val="12"/>
          <w:szCs w:val="12"/>
          <w:color w:val="auto"/>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Obsidian and Galera may make any statement in response to questions by the press, analysts, investors or those attending industry conferences or financial analyst conference calls, so long as any such statements are consistent with previous press releases, public disclosures or public statements made by Obsidian and Galera in compliance with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2"/>
          <w:szCs w:val="12"/>
          <w:u w:val="single" w:color="auto"/>
          <w:color w:val="auto"/>
        </w:rPr>
        <w:t>Section 7.3(d)</w:t>
      </w:r>
      <w:r>
        <w:rPr>
          <w:rFonts w:ascii="Times New Roman" w:cs="Times New Roman" w:eastAsia="Times New Roman" w:hAnsi="Times New Roman"/>
          <w:sz w:val="12"/>
          <w:szCs w:val="12"/>
          <w:color w:val="auto"/>
        </w:rPr>
        <w:t xml:space="preserve"> or with an Acquisition Proposal, or Galera Board Adverse Recommendation Change with respect to Galera only pursuant to </w:t>
      </w:r>
      <w:r>
        <w:rPr>
          <w:rFonts w:ascii="Times New Roman" w:cs="Times New Roman" w:eastAsia="Times New Roman" w:hAnsi="Times New Roman"/>
          <w:sz w:val="12"/>
          <w:szCs w:val="12"/>
          <w:u w:val="single" w:color="auto"/>
          <w:color w:val="auto"/>
        </w:rPr>
        <w:t>Section 7.3(e)</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7.6 </w:t>
      </w:r>
      <w:r>
        <w:rPr>
          <w:rFonts w:ascii="Times New Roman" w:cs="Times New Roman" w:eastAsia="Times New Roman" w:hAnsi="Times New Roman"/>
          <w:sz w:val="13"/>
          <w:szCs w:val="13"/>
          <w:u w:val="single" w:color="auto"/>
          <w:color w:val="auto"/>
        </w:rPr>
        <w:t>Indemnification of Officers and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38" w:lineRule="auto"/>
        <w:tabs>
          <w:tab w:leader="none" w:pos="1121"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Galera Effective Time through the sixth anniversary of the date on which the Galera Effective Time occurs, each of Parent, the Obsidian Merger Surviving Corporation, and the Galera Merger Surviving Corporation shall indemnify and hold harmless each person who is now, or has been at any time prior to the date hereof, or who becomes prior to the Galera Effective Time, a director or officer of Galera or Obsidian, respectively (the “</w:t>
      </w:r>
      <w:r>
        <w:rPr>
          <w:rFonts w:ascii="Times New Roman" w:cs="Times New Roman" w:eastAsia="Times New Roman" w:hAnsi="Times New Roman"/>
          <w:sz w:val="13"/>
          <w:szCs w:val="13"/>
          <w:b w:val="1"/>
          <w:bCs w:val="1"/>
          <w:color w:val="auto"/>
        </w:rPr>
        <w:t>D&amp;O Indemnified Parties</w:t>
      </w:r>
      <w:r>
        <w:rPr>
          <w:rFonts w:ascii="Times New Roman" w:cs="Times New Roman" w:eastAsia="Times New Roman" w:hAnsi="Times New Roman"/>
          <w:sz w:val="13"/>
          <w:szCs w:val="13"/>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3"/>
          <w:szCs w:val="13"/>
          <w:b w:val="1"/>
          <w:bCs w:val="1"/>
          <w:color w:val="auto"/>
        </w:rPr>
        <w:t>Costs</w:t>
      </w:r>
      <w:r>
        <w:rPr>
          <w:rFonts w:ascii="Times New Roman" w:cs="Times New Roman" w:eastAsia="Times New Roman" w:hAnsi="Times New Roman"/>
          <w:sz w:val="13"/>
          <w:szCs w:val="13"/>
          <w:color w:val="auto"/>
        </w:rPr>
        <w:t>”), incurred in connection with any claim, action, suit, proceeding or investigation, whether civil, criminal, administrative or investigative, arising out of or pertaining to the fact that the D&amp;O Indemnified Party is or was a director or officer of Galera or of Obsidian, whether asserted or claimed prior to, at or after the Galera Effective Time, in each case, to the fullest extent permitted under Delaware Law. Each D&amp;O Indemnified Party will be entitled to advancement of expenses incurred in the defense of any such claim, action, suit, proceeding or investigation from each of Parent, the Obsidian Merger Surviving Corporation, and the Galera Merger Surviving Corporation from the D&amp;O Indemnified Party of a request therefor; provided that any such person to whom expenses are advanced provides an undertaking to each of Parent, the Obsidian Merger Surviving Corporation, and the Galera Merger Surviving Corporation, to the extent then required by Delaware Law, to repay such advances if it is ultimately determined that such person is not entitled to indemnification. No other form of undertaking shall be required. All rights to indemnification, exculpation and advancement of expenses or other protection in respect of any claim asserted or made, and for which a D&amp;O Indemnified Party delivers a written notice to Parent prior to the sixth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anniversary of the Galera Effective Time asserting a claim for such protections pursuant to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shall continue until the final disposition of such claim.</w:t>
      </w:r>
    </w:p>
    <w:p>
      <w:pPr>
        <w:spacing w:after="0" w:line="145" w:lineRule="exact"/>
        <w:rPr>
          <w:rFonts w:ascii="Times New Roman" w:cs="Times New Roman" w:eastAsia="Times New Roman" w:hAnsi="Times New Roman"/>
          <w:sz w:val="13"/>
          <w:szCs w:val="13"/>
          <w:color w:val="auto"/>
        </w:rPr>
      </w:pPr>
    </w:p>
    <w:p>
      <w:pPr>
        <w:ind w:left="640" w:right="779" w:firstLine="307"/>
        <w:spacing w:after="0" w:line="271" w:lineRule="auto"/>
        <w:tabs>
          <w:tab w:leader="none" w:pos="1128"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Galera Merger Surviving Corporation’s Organizational Documents with respect to indemnification, advancement of expenses and exculpation of present and former directors and officers of Galera that are presently set forth in Galera’s Organizational Documents shall not be amended, modified or repealed for a period of six years from the Galera Effective Time in a manner that would adversely affect the rights thereunder of individuals who, at or prior to the Galera Effective Time, were officers or directors of Galera, unless such modification is required by applicable Law. The Galera Merger Surviving Corporation’s Organizational Documents shall contain, and Galera shall cause the certificate of incorporation of the Galera Merger Surviving Corporation to so contain, provisions no less favorable with respect to indemnification, advancement of expenses and exculpation of present and former directors and officers as those presently set forth in Galera’s Organizational Documents.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99</w:t>
      </w:r>
    </w:p>
    <w:p>
      <w:pPr>
        <w:sectPr>
          <w:pgSz w:w="11900" w:h="16838" w:orient="portrait"/>
          <w:cols w:equalWidth="0" w:num="1">
            <w:col w:w="9019"/>
          </w:cols>
          <w:pgMar w:left="1440" w:top="231" w:right="1440" w:bottom="1440" w:gutter="0" w:footer="0" w:header="0"/>
        </w:sectPr>
      </w:pPr>
    </w:p>
    <w:bookmarkStart w:id="112" w:name="page113"/>
    <w:bookmarkEnd w:id="112"/>
    <w:p>
      <w:pPr>
        <w:ind w:left="640" w:right="739" w:firstLine="307"/>
        <w:spacing w:after="0" w:line="247" w:lineRule="auto"/>
        <w:tabs>
          <w:tab w:leader="none" w:pos="1121"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From and after the Galera Effective Time, (i) the Obsidian Merger Surviving Corporation shall fulfill and honor in all respects the obligations of Obsidian to its D&amp;O Indemnified Parties as of immediately prior to the Closing pursuant to any indemnification provisions under Obsidian’s Organizational Documents and pursuant to any indemnification agreements between Obsidian and such D&amp;O Indemnified Parties, with respect to claims arising out of matters occurring at or prior to the Obsidian Effective Time and (ii) the Galera Merger Surviving Corporation shall fulfill and honor in all respects the obligations of Galera to its D&amp;O Indemnified Parties as of immediately prior to the Closing pursuant to any indemnification provisions under Galera’s Organizational Documents and pursuant to any indemnification agreements between Galera and such D&amp;O Indemnified Parties, with respect to claims arising out of matters occurring at or prior to the Galera Effective Time.</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Galera Effective Time, Parent shall maintain directors’ and officers’ liability insurance policies, with an effective date as of the Closing Date, on commercially available terms and conditions and with coverage limits customary for U.S. public companies similarly situated to Galera. In addition, Galera shall purchase, prior to the Galera Effective Time, a six-year prepaid “</w:t>
      </w:r>
      <w:r>
        <w:rPr>
          <w:rFonts w:ascii="Times New Roman" w:cs="Times New Roman" w:eastAsia="Times New Roman" w:hAnsi="Times New Roman"/>
          <w:sz w:val="13"/>
          <w:szCs w:val="13"/>
          <w:b w:val="1"/>
          <w:bCs w:val="1"/>
          <w:color w:val="auto"/>
        </w:rPr>
        <w:t>D&amp;O tail policy</w:t>
      </w:r>
      <w:r>
        <w:rPr>
          <w:rFonts w:ascii="Times New Roman" w:cs="Times New Roman" w:eastAsia="Times New Roman" w:hAnsi="Times New Roman"/>
          <w:sz w:val="13"/>
          <w:szCs w:val="13"/>
          <w:color w:val="auto"/>
        </w:rPr>
        <w:t>” for the non-cancellable extension of directors’ and officers’ liability coverage of Galera’s existing directors’ and officers’ insurance policies for a claims reporting or discovery period of at least six years from and after the Galera Effective Time with respect to any claim related to any period of time at or prior to the Galera Effective Time with terms, conditions, retentions and limits of liability that are no less favorable than the coverage provided under Galera’s existing policies as of the date of this Agreement with respect to any actual or alleged error, misstatement, misleading statement, act, omission, neglect, breach of duty or any matter claimed against a director or officer of Galera by reason of him or her serving in such capacity that existed or occurred at or prior to the Galera Effective Time (including in connection with this Agreement or the Contemplated Transactions or in connection with Galera’s initial public offering of shares of Galera Common Stock).</w:t>
      </w:r>
    </w:p>
    <w:p>
      <w:pPr>
        <w:spacing w:after="0" w:line="135" w:lineRule="exact"/>
        <w:rPr>
          <w:rFonts w:ascii="Times New Roman" w:cs="Times New Roman" w:eastAsia="Times New Roman" w:hAnsi="Times New Roman"/>
          <w:sz w:val="13"/>
          <w:szCs w:val="13"/>
          <w:color w:val="auto"/>
        </w:rPr>
      </w:pPr>
    </w:p>
    <w:p>
      <w:pPr>
        <w:ind w:left="640" w:right="899" w:firstLine="307"/>
        <w:spacing w:after="0" w:line="309" w:lineRule="auto"/>
        <w:tabs>
          <w:tab w:leader="none" w:pos="1121"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Galera Effective Time, Galera shall pay all expenses, including reasonable and documented attorneys’ fees, that are incurred by the persons referred to in this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xml:space="preserve"> in connection with their enforcement of the rights provided to such persons in this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107"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are intended to be in addition to the rights otherwise available to the current and former officers and directors of Galera and Obsidian by Law, charter, statute, bylaw or agreement, and shall operate for the benefit of, and shall be enforceable by, each of the D&amp;O Indemnified Parties, their heirs and their Representatives.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1">
            <w:col w:w="9019"/>
          </w:cols>
          <w:pgMar w:left="1440" w:top="231" w:right="1440" w:bottom="1440" w:gutter="0" w:footer="0" w:header="0"/>
        </w:sectPr>
      </w:pPr>
    </w:p>
    <w:bookmarkStart w:id="113" w:name="page114"/>
    <w:bookmarkEnd w:id="113"/>
    <w:p>
      <w:pPr>
        <w:ind w:left="640" w:right="839" w:firstLine="307"/>
        <w:spacing w:after="0" w:line="248" w:lineRule="auto"/>
        <w:tabs>
          <w:tab w:leader="none" w:pos="1128"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the event Parent, the Galera Merger Surviving Corporation or the Obsidian Merger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Galera Merger Surviving Corporation, as the case may be, shall succeed to the obligations set forth in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Parent shall cause the Galera Merger Surviving Corporation to perform all of the obligations of the Surviving Corporation under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7.7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51" w:lineRule="auto"/>
        <w:tabs>
          <w:tab w:leader="none" w:pos="1121"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(collectively, “</w:t>
      </w:r>
      <w:r>
        <w:rPr>
          <w:rFonts w:ascii="Times New Roman" w:cs="Times New Roman" w:eastAsia="Times New Roman" w:hAnsi="Times New Roman"/>
          <w:sz w:val="13"/>
          <w:szCs w:val="13"/>
          <w:b w:val="1"/>
          <w:bCs w:val="1"/>
          <w:color w:val="auto"/>
        </w:rPr>
        <w:t>Transfer Taxes</w:t>
      </w:r>
      <w:r>
        <w:rPr>
          <w:rFonts w:ascii="Times New Roman" w:cs="Times New Roman" w:eastAsia="Times New Roman" w:hAnsi="Times New Roman"/>
          <w:sz w:val="13"/>
          <w:szCs w:val="13"/>
          <w:color w:val="auto"/>
        </w:rPr>
        <w:t>”) shall be borne and paid by Galera. The Person required by applicable law shall timely file any Tax Return or other document with respect to such Transfer Taxes.</w:t>
      </w:r>
    </w:p>
    <w:p>
      <w:pPr>
        <w:spacing w:after="0" w:line="132" w:lineRule="exact"/>
        <w:rPr>
          <w:rFonts w:ascii="Times New Roman" w:cs="Times New Roman" w:eastAsia="Times New Roman" w:hAnsi="Times New Roman"/>
          <w:sz w:val="13"/>
          <w:szCs w:val="13"/>
          <w:color w:val="auto"/>
        </w:rPr>
      </w:pPr>
    </w:p>
    <w:p>
      <w:pPr>
        <w:jc w:val="both"/>
        <w:ind w:left="640" w:right="819" w:firstLine="307"/>
        <w:spacing w:after="0" w:line="275" w:lineRule="auto"/>
        <w:tabs>
          <w:tab w:leader="none" w:pos="1128"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the Closing, Obsidian shall deliver to Galera a certificate pursuant to Treasury Regulations Sections 1.1445-2(c) and 1.897-2(h), together with a form of notice to the IRS in accordance with the requirements of Treasury Regulations Section 1.897-2(h), in each case, in form and substance reasonably acceptable to Galera;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Galera’s only remedy for Obsidian’s failure to provide such form or certificate will be to withhold from the payments to be made pursuant to this Agreement any required withholding Tax under Section 1445 of the Code, and Obsidian’s failure to provide any such form or certificate will not be deemed to be a failure of the conditions set forth in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to have been met.</w:t>
      </w:r>
    </w:p>
    <w:p>
      <w:pPr>
        <w:spacing w:after="0" w:line="119" w:lineRule="exact"/>
        <w:rPr>
          <w:rFonts w:ascii="Times New Roman" w:cs="Times New Roman" w:eastAsia="Times New Roman" w:hAnsi="Times New Roman"/>
          <w:sz w:val="12"/>
          <w:szCs w:val="12"/>
          <w:color w:val="auto"/>
        </w:rPr>
      </w:pPr>
    </w:p>
    <w:p>
      <w:pPr>
        <w:ind w:left="640" w:right="659" w:firstLine="307"/>
        <w:spacing w:after="0" w:line="246" w:lineRule="auto"/>
        <w:tabs>
          <w:tab w:leader="none" w:pos="1121"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intend that, for United States federal income tax purposes, the Mergers will qualify for the Intended Tax Treatment and the Parties agree not to take any action (or fail to take any action) inconsistent with the Intended Tax Treatment. The Mergers shall be reported by the parties for all Tax purposes in accordance with the foregoing, unless otherwise required by a Governmental Authority as a result of a “determination” within the meaning of Section 1313(a) of the Code. The parties shall cooperate with each other and their respective counsel to document and support the Tax treatment of the Mergers as qualifying for the Intended Tax Treatment, including in the event the SEC requests or requires an opinion with respect to any discussion in a registration statement of the United States federal income Tax consequences of the Mergers to the stockholders of either Obsidian or Galera. If such an opinion is requested or required by the SEC, it shall be provided by the tax advisor of the party receiving the request and shall be provided solely with respect to the consequences for that party’s stockholders. Each party shall execute and deliver customary tax representation letters to the applicable tax advisor in form and substance reasonably satisfactory to such advisor upon which such advisor shall be entitled to rely in rendering such tax opinion.</w:t>
      </w:r>
    </w:p>
    <w:p>
      <w:pPr>
        <w:spacing w:after="0" w:line="13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7.8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From the date hereof until the Galera Effective Time and the Obsidian Effective Time, Galera shall maintain its existing listing on the OTCQB Market until the Galera Effective Time. After the execution of this Agreement and as promptly as reasonably practicable in accordance with applicable Law, the Parties shall prepare and Obsidian shall file with Nasdaq a listing application (the “</w:t>
      </w:r>
      <w:r>
        <w:rPr>
          <w:rFonts w:ascii="Times New Roman" w:cs="Times New Roman" w:eastAsia="Times New Roman" w:hAnsi="Times New Roman"/>
          <w:sz w:val="13"/>
          <w:szCs w:val="13"/>
          <w:b w:val="1"/>
          <w:bCs w:val="1"/>
          <w:color w:val="auto"/>
        </w:rPr>
        <w:t>Nasdaq Listing Application</w:t>
      </w:r>
      <w:r>
        <w:rPr>
          <w:rFonts w:ascii="Times New Roman" w:cs="Times New Roman" w:eastAsia="Times New Roman" w:hAnsi="Times New Roman"/>
          <w:sz w:val="13"/>
          <w:szCs w:val="13"/>
          <w:color w:val="auto"/>
        </w:rPr>
        <w:t>”) for the listing of shares of Parent Common Stock on Nasdaq and shall use commercially reasonable efforts to cause the listing of shares of Parent Common Stock is authorized for listing on Nasdaq prior to the Obsidian Effective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101</w:t>
      </w:r>
    </w:p>
    <w:p>
      <w:pPr>
        <w:sectPr>
          <w:pgSz w:w="11900" w:h="16838" w:orient="portrait"/>
          <w:cols w:equalWidth="0" w:num="1">
            <w:col w:w="9019"/>
          </w:cols>
          <w:pgMar w:left="1440" w:top="231" w:right="1440" w:bottom="1440" w:gutter="0" w:footer="0" w:header="0"/>
        </w:sectPr>
      </w:pPr>
    </w:p>
    <w:bookmarkStart w:id="114" w:name="page115"/>
    <w:bookmarkEnd w:id="114"/>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Time, subject to official notice of issuance. Each Party and its Subsidiaries shall prepare and furnish all information (including any required financial statements) concerning itself as may reasonably be requested in connection with such actions and the preparation of the Nasdaq Listing Application, provided that no Party shall use any such information for any other purpose without the prior written consent of the providing Party (which consent shall not be unreasonably withheld, conditioned or delayed) or if doing so would violate or cause a violation of applicable Law or other applicable securities Laws. Each of Parent and Galera authorizes Obsidian to utilize in the Nasdaq Listing Application and in all such filed materials the information concerning Parent and its Subsidiaries and Galera and its Subsidiaries furnished by each of Parent and Galera, respectively. Each Party will reasonably promptly inform the other Party of all verbal or written communications between Nasdaq and such Party or its Representatives. The Parties not filing the Nasdaq Listing Application will cooperate with the Obsidian as reasonably requested by Obsidian with respect to the Nasdaq Listing Application and promptly furnish to such Party all information concerning itself, its members and its stockholders that may be required or reasonably requested in connection with any action contemplated by this </w:t>
      </w:r>
      <w:r>
        <w:rPr>
          <w:rFonts w:ascii="Times New Roman" w:cs="Times New Roman" w:eastAsia="Times New Roman" w:hAnsi="Times New Roman"/>
          <w:sz w:val="13"/>
          <w:szCs w:val="13"/>
          <w:u w:val="single" w:color="auto"/>
          <w:color w:val="auto"/>
        </w:rPr>
        <w:t>Section 7.8</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7.9 </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Parent shall be entitled to place appropriate legends on the book entries and/or certificates evidencing any shares of Parent Common Stock to be received in the Mergers by equityholders of Galera who may be considered “affiliates” of Parent for purposes of Rules 144 and 145 under the Securities Act reflecting the restrictions set forth in Rules 144 and 145 and to issue appropriate stop transfer instructions to the transfer agent for Parent Common Stock.</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7.10 </w:t>
      </w:r>
      <w:r>
        <w:rPr>
          <w:rFonts w:ascii="Times New Roman" w:cs="Times New Roman" w:eastAsia="Times New Roman" w:hAnsi="Times New Roman"/>
          <w:sz w:val="13"/>
          <w:szCs w:val="13"/>
          <w:u w:val="single" w:color="auto"/>
          <w:color w:val="auto"/>
        </w:rPr>
        <w:t>Officers and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120" w:hanging="173"/>
        <w:spacing w:after="0"/>
        <w:tabs>
          <w:tab w:leader="none" w:pos="112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Directors and Officers of Parent</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879" w:firstLine="304"/>
        <w:spacing w:after="0" w:line="267" w:lineRule="auto"/>
        <w:tabs>
          <w:tab w:leader="none" w:pos="1388"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cause, effective as of the Obsidian Effective Time, the Parent Board to consist of six individuals selected by the Obsidian Board as set forth on </w:t>
      </w:r>
      <w:r>
        <w:rPr>
          <w:rFonts w:ascii="Times New Roman" w:cs="Times New Roman" w:eastAsia="Times New Roman" w:hAnsi="Times New Roman"/>
          <w:sz w:val="13"/>
          <w:szCs w:val="13"/>
          <w:u w:val="single" w:color="auto"/>
          <w:color w:val="auto"/>
        </w:rPr>
        <w:t>Section 7.10(a)(i)</w:t>
      </w:r>
      <w:r>
        <w:rPr>
          <w:rFonts w:ascii="Times New Roman" w:cs="Times New Roman" w:eastAsia="Times New Roman" w:hAnsi="Times New Roman"/>
          <w:sz w:val="13"/>
          <w:szCs w:val="13"/>
          <w:color w:val="auto"/>
        </w:rPr>
        <w:t xml:space="preserve"> of the Obsidian Disclosure Schedule.</w:t>
      </w:r>
    </w:p>
    <w:p>
      <w:pPr>
        <w:spacing w:after="0" w:line="46" w:lineRule="exact"/>
        <w:rPr>
          <w:rFonts w:ascii="Times New Roman" w:cs="Times New Roman" w:eastAsia="Times New Roman" w:hAnsi="Times New Roman"/>
          <w:sz w:val="13"/>
          <w:szCs w:val="13"/>
          <w:color w:val="auto"/>
        </w:rPr>
      </w:pPr>
    </w:p>
    <w:p>
      <w:pPr>
        <w:jc w:val="both"/>
        <w:ind w:left="940" w:right="839" w:firstLine="304"/>
        <w:spacing w:after="0" w:line="309" w:lineRule="auto"/>
        <w:tabs>
          <w:tab w:leader="none" w:pos="1423" w:val="left"/>
        </w:tabs>
        <w:numPr>
          <w:ilvl w:val="1"/>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shall cause the directors and officers of Parent listed on </w:t>
      </w:r>
      <w:r>
        <w:rPr>
          <w:rFonts w:ascii="Times New Roman" w:cs="Times New Roman" w:eastAsia="Times New Roman" w:hAnsi="Times New Roman"/>
          <w:sz w:val="12"/>
          <w:szCs w:val="12"/>
          <w:u w:val="single" w:color="auto"/>
          <w:color w:val="auto"/>
        </w:rPr>
        <w:t>Section 7.10(a)(ii)</w:t>
      </w:r>
      <w:r>
        <w:rPr>
          <w:rFonts w:ascii="Times New Roman" w:cs="Times New Roman" w:eastAsia="Times New Roman" w:hAnsi="Times New Roman"/>
          <w:sz w:val="12"/>
          <w:szCs w:val="12"/>
          <w:color w:val="auto"/>
        </w:rPr>
        <w:t xml:space="preserve"> of the Obsidian Disclosure Schedule to sign written resignations in forms reasonably satisfactory to Obsidian, dated on or before the Closing Date and effective as of the Obsidian Effective Time.</w:t>
      </w:r>
    </w:p>
    <w:p>
      <w:pPr>
        <w:spacing w:after="0" w:line="23" w:lineRule="exact"/>
        <w:rPr>
          <w:rFonts w:ascii="Times New Roman" w:cs="Times New Roman" w:eastAsia="Times New Roman" w:hAnsi="Times New Roman"/>
          <w:sz w:val="12"/>
          <w:szCs w:val="12"/>
          <w:color w:val="auto"/>
        </w:rPr>
      </w:pPr>
    </w:p>
    <w:p>
      <w:pPr>
        <w:ind w:left="940" w:right="699" w:firstLine="304"/>
        <w:spacing w:after="0" w:line="255" w:lineRule="auto"/>
        <w:tabs>
          <w:tab w:leader="none" w:pos="1458"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following the Obsidian Effective Time, Parent shall take all necessary action to appoint the officers of Obsidian to become the equivalent officers of Parent until the earlier of their resignation or removal or until their respective successors are duly elected or appointed and qualified, as the case may be.</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Directors and Officers of the Galera Merger Surviving Corporation</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739" w:firstLine="304"/>
        <w:spacing w:after="0" w:line="274" w:lineRule="auto"/>
        <w:tabs>
          <w:tab w:leader="none" w:pos="1388" w:val="left"/>
        </w:tabs>
        <w:numPr>
          <w:ilvl w:val="1"/>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shall take all actions necessary (A) so that from and after the Galera Effective Time, the Galera Merger Surviving Corporation’s board of directors shall be constituted with those members as set forth on </w:t>
      </w:r>
      <w:r>
        <w:rPr>
          <w:rFonts w:ascii="Times New Roman" w:cs="Times New Roman" w:eastAsia="Times New Roman" w:hAnsi="Times New Roman"/>
          <w:sz w:val="12"/>
          <w:szCs w:val="12"/>
          <w:u w:val="single" w:color="auto"/>
          <w:color w:val="auto"/>
        </w:rPr>
        <w:t>Section 7.10(b)</w:t>
      </w:r>
      <w:r>
        <w:rPr>
          <w:rFonts w:ascii="Times New Roman" w:cs="Times New Roman" w:eastAsia="Times New Roman" w:hAnsi="Times New Roman"/>
          <w:sz w:val="12"/>
          <w:szCs w:val="12"/>
          <w:color w:val="auto"/>
        </w:rPr>
        <w:t xml:space="preserve"> of the Obsidian Disclosure Schedule and</w:t>
      </w:r>
    </w:p>
    <w:p>
      <w:pPr>
        <w:spacing w:after="0" w:line="1"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to secure the resignations of the existing members of the board of directors of the Galera Merger Surviving Corporation.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102</w:t>
      </w:r>
    </w:p>
    <w:p>
      <w:pPr>
        <w:sectPr>
          <w:pgSz w:w="11900" w:h="16838" w:orient="portrait"/>
          <w:cols w:equalWidth="0" w:num="1">
            <w:col w:w="9019"/>
          </w:cols>
          <w:pgMar w:left="1440" w:top="231" w:right="1440" w:bottom="1440" w:gutter="0" w:footer="0" w:header="0"/>
        </w:sectPr>
      </w:pPr>
    </w:p>
    <w:bookmarkStart w:id="115" w:name="page116"/>
    <w:bookmarkEnd w:id="115"/>
    <w:p>
      <w:pPr>
        <w:ind w:left="940" w:right="699" w:firstLine="304"/>
        <w:spacing w:after="0" w:line="255" w:lineRule="auto"/>
        <w:tabs>
          <w:tab w:leader="none" w:pos="1423" w:val="left"/>
        </w:tabs>
        <w:numPr>
          <w:ilvl w:val="1"/>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shall take all actions necessary so that the officers of Obsidian immediately prior to the Galera Effective Time shall, from and after the Galera Effective Time, be the officers of the Galera Merger Surviving Corporation, until the earlier of their resignation or removal or until their respective successors are duly elected or appointed and qualified, as the case may be.</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Directors and Officers of the Obsidian Merger Surviving Corporation</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759" w:firstLine="304"/>
        <w:spacing w:after="0" w:line="274" w:lineRule="auto"/>
        <w:tabs>
          <w:tab w:leader="none" w:pos="1388"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shall take all actions necessary (A) so that from and after the Obsidian Effective Time, the Obsidian Merger Surviving Corporation’s board of directors shall be constituted with those members as set forth on </w:t>
      </w:r>
      <w:r>
        <w:rPr>
          <w:rFonts w:ascii="Times New Roman" w:cs="Times New Roman" w:eastAsia="Times New Roman" w:hAnsi="Times New Roman"/>
          <w:sz w:val="12"/>
          <w:szCs w:val="12"/>
          <w:u w:val="single" w:color="auto"/>
          <w:color w:val="auto"/>
        </w:rPr>
        <w:t>Section 7.10(c)</w:t>
      </w:r>
      <w:r>
        <w:rPr>
          <w:rFonts w:ascii="Times New Roman" w:cs="Times New Roman" w:eastAsia="Times New Roman" w:hAnsi="Times New Roman"/>
          <w:sz w:val="12"/>
          <w:szCs w:val="12"/>
          <w:color w:val="auto"/>
        </w:rPr>
        <w:t xml:space="preserve"> of the Obsidian Disclosure Schedule and</w:t>
      </w:r>
    </w:p>
    <w:p>
      <w:pPr>
        <w:spacing w:after="0" w:line="1"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to secure the resignations of the existing members of the board of directors of the Obsidian Merger Surviving Corporation.</w:t>
      </w:r>
    </w:p>
    <w:p>
      <w:pPr>
        <w:spacing w:after="0" w:line="65" w:lineRule="exact"/>
        <w:rPr>
          <w:sz w:val="20"/>
          <w:szCs w:val="20"/>
          <w:color w:val="auto"/>
        </w:rPr>
      </w:pPr>
    </w:p>
    <w:p>
      <w:pPr>
        <w:ind w:left="940" w:right="739" w:firstLine="304"/>
        <w:spacing w:after="0" w:line="255" w:lineRule="auto"/>
        <w:tabs>
          <w:tab w:leader="none" w:pos="1423"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take all actions necessary so that the officers of Obsidian immediately prior to the Obsidian Effective Time shall, from and after the Obsidian Effective Time, be the officers of the Obsidian Merger Surviving Corporation, until the earlier of their resignation or removal or until their respective successors are duly elected or appointed and qualified, as the case may be.</w:t>
      </w:r>
    </w:p>
    <w:p>
      <w:pPr>
        <w:spacing w:after="0" w:line="130"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7.11 </w:t>
      </w:r>
      <w:r>
        <w:rPr>
          <w:rFonts w:ascii="Times New Roman" w:cs="Times New Roman" w:eastAsia="Times New Roman" w:hAnsi="Times New Roman"/>
          <w:sz w:val="13"/>
          <w:szCs w:val="13"/>
          <w:u w:val="single" w:color="auto"/>
          <w:color w:val="auto"/>
        </w:rPr>
        <w:t>Termination of Certain Agreements and Rights</w:t>
      </w:r>
      <w:r>
        <w:rPr>
          <w:rFonts w:ascii="Times New Roman" w:cs="Times New Roman" w:eastAsia="Times New Roman" w:hAnsi="Times New Roman"/>
          <w:sz w:val="13"/>
          <w:szCs w:val="13"/>
          <w:color w:val="auto"/>
        </w:rPr>
        <w:t>. Obsidian shall cause any stockholder agreements, voting agreements, registration rights agreements, co-sale agreements and any other similar Contracts between Obsidian and any holders of Obsidian Capital Stock, including any such Contract granting any Person investor rights, rights of first refusal, registration rights or director registration rights to be terminated immediately prior to the Obsidian Effective Time, without any liability being imposed on the part of Obsidian or the Obsidian Merger Surviving Corporation.</w:t>
      </w:r>
    </w:p>
    <w:p>
      <w:pPr>
        <w:spacing w:after="0" w:line="133"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7.12 </w:t>
      </w:r>
      <w:r>
        <w:rPr>
          <w:rFonts w:ascii="Times New Roman" w:cs="Times New Roman" w:eastAsia="Times New Roman" w:hAnsi="Times New Roman"/>
          <w:sz w:val="13"/>
          <w:szCs w:val="13"/>
          <w:u w:val="single" w:color="auto"/>
          <w:color w:val="auto"/>
        </w:rPr>
        <w:t>Section 16 Matters</w:t>
      </w:r>
      <w:r>
        <w:rPr>
          <w:rFonts w:ascii="Times New Roman" w:cs="Times New Roman" w:eastAsia="Times New Roman" w:hAnsi="Times New Roman"/>
          <w:sz w:val="13"/>
          <w:szCs w:val="13"/>
          <w:color w:val="auto"/>
        </w:rPr>
        <w:t>. Prior to the Galera Effective Time, Galera shall take all such steps as may be required to cause any acquisitions of Galera Common Stock and Galera Options in connection with the Contemplated Transactions, by each individual who is reasonably expected to become subject to the reporting requirements of Section 16(a) of the Exchange Act with respect to Galera, to be exempt under Rule 16b-3 promulgated under the Exchange Act.</w:t>
      </w:r>
    </w:p>
    <w:p>
      <w:pPr>
        <w:spacing w:after="0" w:line="133" w:lineRule="exact"/>
        <w:rPr>
          <w:sz w:val="20"/>
          <w:szCs w:val="20"/>
          <w:color w:val="auto"/>
        </w:rPr>
      </w:pPr>
    </w:p>
    <w:p>
      <w:pPr>
        <w:ind w:left="640" w:right="7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7.13 </w:t>
      </w:r>
      <w:r>
        <w:rPr>
          <w:rFonts w:ascii="Times New Roman" w:cs="Times New Roman" w:eastAsia="Times New Roman" w:hAnsi="Times New Roman"/>
          <w:sz w:val="13"/>
          <w:szCs w:val="13"/>
          <w:u w:val="single" w:color="auto"/>
          <w:color w:val="auto"/>
        </w:rPr>
        <w:t>Allocation Certificate</w:t>
      </w:r>
      <w:r>
        <w:rPr>
          <w:rFonts w:ascii="Times New Roman" w:cs="Times New Roman" w:eastAsia="Times New Roman" w:hAnsi="Times New Roman"/>
          <w:sz w:val="13"/>
          <w:szCs w:val="13"/>
          <w:color w:val="auto"/>
        </w:rPr>
        <w:t>. Obsidian will prepare and deliver to Parent and Galera at least two (2) Business Days prior to the Closing Date a certificate signed by an executive officer of Obsidian in a form reasonably acceptable to Galera setting forth (as of immediately prior to the Obsidian Effective Time) (a) each holder of Obsidian Capital Stock, (b) such holder’s name and address, (c) the number and type of Obsidian Capital Stock held as of the Closing Date for each such holder and (d) the number of shares of Parent Common Stock to be issued to such holder pursuant to this Agreement in respect of the Obsidian Capital Stock held by such holder as of immediately prior to the Obsidian Effective Time (the “</w:t>
      </w:r>
      <w:r>
        <w:rPr>
          <w:rFonts w:ascii="Times New Roman" w:cs="Times New Roman" w:eastAsia="Times New Roman" w:hAnsi="Times New Roman"/>
          <w:sz w:val="13"/>
          <w:szCs w:val="13"/>
          <w:b w:val="1"/>
          <w:bCs w:val="1"/>
          <w:color w:val="auto"/>
        </w:rPr>
        <w:t>Allocation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Certificate</w:t>
      </w:r>
      <w:r>
        <w:rPr>
          <w:rFonts w:ascii="Times New Roman" w:cs="Times New Roman" w:eastAsia="Times New Roman" w:hAnsi="Times New Roman"/>
          <w:sz w:val="13"/>
          <w:szCs w:val="13"/>
          <w:color w:val="auto"/>
        </w:rPr>
        <w:t>”). For the avoidance of doubt, the Allocation Certificate shall be prepared in good faith, in accordance with the Organizational Documents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Obsidian and contracts applicable to Obsidian Capital Stock, Obsidian Options and the PacWest Warrant, and shall show each holder’s percentage ownership interest in Obsidian on a fully diluted basis.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103</w:t>
      </w:r>
    </w:p>
    <w:p>
      <w:pPr>
        <w:sectPr>
          <w:pgSz w:w="11900" w:h="16838" w:orient="portrait"/>
          <w:cols w:equalWidth="0" w:num="1">
            <w:col w:w="9019"/>
          </w:cols>
          <w:pgMar w:left="1440" w:top="231" w:right="1440" w:bottom="1440" w:gutter="0" w:footer="0" w:header="0"/>
        </w:sectPr>
      </w:pPr>
    </w:p>
    <w:bookmarkStart w:id="116" w:name="page117"/>
    <w:bookmarkEnd w:id="11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7.14 </w:t>
      </w:r>
      <w:r>
        <w:rPr>
          <w:rFonts w:ascii="Times New Roman" w:cs="Times New Roman" w:eastAsia="Times New Roman" w:hAnsi="Times New Roman"/>
          <w:sz w:val="13"/>
          <w:szCs w:val="13"/>
          <w:u w:val="single" w:color="auto"/>
          <w:color w:val="auto"/>
        </w:rPr>
        <w:t>Galera Organizational Documents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99" w:firstLine="307"/>
        <w:spacing w:after="0" w:line="255" w:lineRule="auto"/>
        <w:tabs>
          <w:tab w:leader="none" w:pos="1121"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will use its reasonable best efforts to solicit and obtain the Annual Meeting Galera Stockholder Vote and to seek approval from its stockholders to amend its Organizational Documents and to effect amendments to its Organizational in order to permit stockholder action by written consent prior to the Galera Effective Time.</w:t>
      </w:r>
    </w:p>
    <w:p>
      <w:pPr>
        <w:spacing w:after="0" w:line="130"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28"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Galera does not obtain the Annual Meeting Galera Stockholder Vote, Galera shall use its reasonable best efforts to call, give notice of and hold a meeting of the holders of Galera Common Stock (the “</w:t>
      </w:r>
      <w:r>
        <w:rPr>
          <w:rFonts w:ascii="Times New Roman" w:cs="Times New Roman" w:eastAsia="Times New Roman" w:hAnsi="Times New Roman"/>
          <w:sz w:val="12"/>
          <w:szCs w:val="12"/>
          <w:b w:val="1"/>
          <w:bCs w:val="1"/>
          <w:color w:val="auto"/>
        </w:rPr>
        <w:t>Galera Stockholder Meeting</w:t>
      </w:r>
      <w:r>
        <w:rPr>
          <w:rFonts w:ascii="Times New Roman" w:cs="Times New Roman" w:eastAsia="Times New Roman" w:hAnsi="Times New Roman"/>
          <w:sz w:val="12"/>
          <w:szCs w:val="12"/>
          <w:color w:val="auto"/>
        </w:rPr>
        <w:t>”) to present one or more proposals to the stockholders in order to obtain the Required Galera Stockholder Approval and shall file the preliminary proxy statement in connection with the Galera Stockholder Meeting as promptly as reasonably practicable under applicable securities Law, but in any event within seven (7) Business Days of not obtaining the Annual Meeting Galera Stockholder Vote. The Galera Stockholder Meeting shall be held as promptly as practicable under applicable securities Law after the Galera Information Statement is first mailed to the stockholders of Galera and in any event no later than forty-five (45) calendar days after the date on which the Galera Information Statement is first mailed to the stockholders of Galera. Galera shall take reasonable measures to ensure that all proxies solicited in connection with the Galera Stockholder Meeting are solicited in compliance with all applicable Law. Notwithstanding anything to the contrary contained herein, if on the date of the Galera Stockholder Meeting, or a date preceding the date on which the Galera Stockholder Meeting is scheduled, Galera reasonably believes that (i) it will not receive proxies sufficient to obtain the Required Galera Stockholder Approval, whether or not a quorum would be present or (ii) it will not have sufficient shares of Galera Common Stock represented (whether in person or by proxy) to constitute a quorum necessary to conduct the business of the Galera Stockholder Meeting, Galera may postpone or adjourn, or make one or more successive postponements or adjournments of, the Galera Stockholder Meeting as long as the date of the Galera Stockholder Meeting is not postponed or adjourned more than an aggregate of thirty (30) days in connection with any postponements or adjournments.</w:t>
      </w:r>
    </w:p>
    <w:p>
      <w:pPr>
        <w:spacing w:after="0" w:line="125" w:lineRule="exact"/>
        <w:rPr>
          <w:rFonts w:ascii="Times New Roman" w:cs="Times New Roman" w:eastAsia="Times New Roman" w:hAnsi="Times New Roman"/>
          <w:sz w:val="12"/>
          <w:szCs w:val="12"/>
          <w:color w:val="auto"/>
        </w:rPr>
      </w:pPr>
    </w:p>
    <w:p>
      <w:pPr>
        <w:ind w:left="640" w:right="819" w:firstLine="307"/>
        <w:spacing w:after="0" w:line="255" w:lineRule="auto"/>
        <w:tabs>
          <w:tab w:leader="none" w:pos="1121"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Galera agrees that the Galera Board shall recommend that the holders of Galera Common Stock vote to approve the Galera Stockholder Matters and shall solicit such approval within the timeframe set forth in </w:t>
      </w:r>
      <w:r>
        <w:rPr>
          <w:rFonts w:ascii="Times New Roman" w:cs="Times New Roman" w:eastAsia="Times New Roman" w:hAnsi="Times New Roman"/>
          <w:sz w:val="13"/>
          <w:szCs w:val="13"/>
          <w:u w:val="single" w:color="auto"/>
          <w:color w:val="auto"/>
        </w:rPr>
        <w:t>Section 7.14(b)</w:t>
      </w:r>
      <w:r>
        <w:rPr>
          <w:rFonts w:ascii="Times New Roman" w:cs="Times New Roman" w:eastAsia="Times New Roman" w:hAnsi="Times New Roman"/>
          <w:sz w:val="13"/>
          <w:szCs w:val="13"/>
          <w:color w:val="auto"/>
        </w:rPr>
        <w:t xml:space="preserve"> above and the proxy statement shall include the Galera Board Recommendation.</w:t>
      </w:r>
    </w:p>
    <w:p>
      <w:pPr>
        <w:spacing w:after="0" w:line="13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7.15 </w:t>
      </w:r>
      <w:r>
        <w:rPr>
          <w:rFonts w:ascii="Times New Roman" w:cs="Times New Roman" w:eastAsia="Times New Roman" w:hAnsi="Times New Roman"/>
          <w:sz w:val="13"/>
          <w:szCs w:val="13"/>
          <w:u w:val="single" w:color="auto"/>
          <w:color w:val="auto"/>
        </w:rPr>
        <w:t>Obligations of Merger Subs</w:t>
      </w:r>
      <w:r>
        <w:rPr>
          <w:rFonts w:ascii="Times New Roman" w:cs="Times New Roman" w:eastAsia="Times New Roman" w:hAnsi="Times New Roman"/>
          <w:sz w:val="13"/>
          <w:szCs w:val="13"/>
          <w:color w:val="auto"/>
        </w:rPr>
        <w:t>. Parent will take all action necessary to cause each of Galera Merger Sub and Obsidian Merger Sub to perform its obligations under this Agreement and to consummate the Mergers on the terms and conditions set forth in this Agreement.</w:t>
      </w:r>
    </w:p>
    <w:p>
      <w:pPr>
        <w:spacing w:after="0" w:line="122"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7.16 </w:t>
      </w:r>
      <w:r>
        <w:rPr>
          <w:rFonts w:ascii="Times New Roman" w:cs="Times New Roman" w:eastAsia="Times New Roman" w:hAnsi="Times New Roman"/>
          <w:sz w:val="13"/>
          <w:szCs w:val="13"/>
          <w:u w:val="single" w:color="auto"/>
          <w:color w:val="auto"/>
        </w:rPr>
        <w:t>Takeover Statutes</w:t>
      </w:r>
      <w:r>
        <w:rPr>
          <w:rFonts w:ascii="Times New Roman" w:cs="Times New Roman" w:eastAsia="Times New Roman" w:hAnsi="Times New Roman"/>
          <w:sz w:val="13"/>
          <w:szCs w:val="13"/>
          <w:color w:val="auto"/>
        </w:rPr>
        <w:t>. If any takeover statute is or may become applicable to the Contemplated Transactions, each of Obsidian, the Obsidian Board, Galera and the Galera Board, as applicable, shall grant such approvals and take such actions as are necessary, to the extent permitted by Law,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104</w:t>
      </w:r>
    </w:p>
    <w:p>
      <w:pPr>
        <w:sectPr>
          <w:pgSz w:w="11900" w:h="16838" w:orient="portrait"/>
          <w:cols w:equalWidth="0" w:num="1">
            <w:col w:w="9019"/>
          </w:cols>
          <w:pgMar w:left="1440" w:top="231" w:right="1440" w:bottom="1440" w:gutter="0" w:footer="0" w:header="0"/>
        </w:sectPr>
      </w:pPr>
    </w:p>
    <w:bookmarkStart w:id="117" w:name="page118"/>
    <w:bookmarkEnd w:id="11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7.17 </w:t>
      </w:r>
      <w:r>
        <w:rPr>
          <w:rFonts w:ascii="Times New Roman" w:cs="Times New Roman" w:eastAsia="Times New Roman" w:hAnsi="Times New Roman"/>
          <w:sz w:val="13"/>
          <w:szCs w:val="13"/>
          <w:u w:val="single" w:color="auto"/>
          <w:color w:val="auto"/>
        </w:rPr>
        <w:t>Parent Equity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48" w:lineRule="auto"/>
        <w:tabs>
          <w:tab w:leader="none" w:pos="1121"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Galera Effective Time, Parent will use commercially reasonable efforts to cause the Parent Board to adopt the 2026 Equity Incentive Plan, subject to the Closing and effective as of the Galera Effective Time, and will include provisions in the Registration Statement for the stockholders of Parent to approve the 2026 Equity Incentive Plan. Subject to the approval of the 2026 Equity Incentive Plan by the stockholders of Parent prior to the Galera Effective Time, Parent shall file with the SEC, promptly after the Galera Effective Time and at Galera’s expense, a registration statement on Form S-8 (or any successor form), if available for use by Parent, relating to the shares of Parent Common Stock issuable with respect to the 2026 Equity Incentive Plan.</w:t>
      </w:r>
    </w:p>
    <w:p>
      <w:pPr>
        <w:spacing w:after="0" w:line="134" w:lineRule="exact"/>
        <w:rPr>
          <w:rFonts w:ascii="Times New Roman" w:cs="Times New Roman" w:eastAsia="Times New Roman" w:hAnsi="Times New Roman"/>
          <w:sz w:val="13"/>
          <w:szCs w:val="13"/>
          <w:color w:val="auto"/>
        </w:rPr>
      </w:pPr>
    </w:p>
    <w:p>
      <w:pPr>
        <w:jc w:val="both"/>
        <w:ind w:left="640" w:right="659" w:firstLine="307"/>
        <w:spacing w:after="0" w:line="249" w:lineRule="auto"/>
        <w:tabs>
          <w:tab w:leader="none" w:pos="1128"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Galera Effective Time, Parent will use commercially reasonable efforts to cause the Parent Board to adopt the 2026 ESPP, subject to the Closing and effective as of the Galera Effective Time, and will include provisions in the Registration Statement for the stockholders of Parent to approve the 2026 ESPP. Subject to the approval of the 2026 ESPP by the stockholders of Parent prior to the Galera Effective Time, Parent shall file with the SEC, promptly after the Galera Effective Time and at Galera’s expense, a registration statement on Form S-8 (or any successor form), if available for use by Parent, relating to the shares of Parent Common Stock issuable with respect to the 2026 ESPP.</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avoidance of doubt, approval of the 2026 Plans by the stockholders of Parent shall not be a condition to Closing.</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7.18 </w:t>
      </w:r>
      <w:r>
        <w:rPr>
          <w:rFonts w:ascii="Times New Roman" w:cs="Times New Roman" w:eastAsia="Times New Roman" w:hAnsi="Times New Roman"/>
          <w:sz w:val="13"/>
          <w:szCs w:val="13"/>
          <w:u w:val="single" w:color="auto"/>
          <w:color w:val="auto"/>
        </w:rPr>
        <w:t>Galera 401(k) Plan</w:t>
      </w:r>
      <w:r>
        <w:rPr>
          <w:rFonts w:ascii="Times New Roman" w:cs="Times New Roman" w:eastAsia="Times New Roman" w:hAnsi="Times New Roman"/>
          <w:sz w:val="13"/>
          <w:szCs w:val="13"/>
          <w:color w:val="auto"/>
        </w:rPr>
        <w:t>. Unless otherwise requested by Obsidian in writing at least ten (10) business days prior to the Closing Date, the Galera Board shall take (or cause to be taken) all actions to adopt such resolutions as may be necessary or appropriate to terminate, effective no later than the day prior to the Closing Date, any Galera Employee Plan that contains a cash or deferred arrangement intended to qualify under Section 401(k) of the Code (a “</w:t>
      </w:r>
      <w:r>
        <w:rPr>
          <w:rFonts w:ascii="Times New Roman" w:cs="Times New Roman" w:eastAsia="Times New Roman" w:hAnsi="Times New Roman"/>
          <w:sz w:val="13"/>
          <w:szCs w:val="13"/>
          <w:b w:val="1"/>
          <w:bCs w:val="1"/>
          <w:color w:val="auto"/>
        </w:rPr>
        <w:t>Galera 401(k) Plan</w:t>
      </w:r>
      <w:r>
        <w:rPr>
          <w:rFonts w:ascii="Times New Roman" w:cs="Times New Roman" w:eastAsia="Times New Roman" w:hAnsi="Times New Roman"/>
          <w:sz w:val="13"/>
          <w:szCs w:val="13"/>
          <w:color w:val="auto"/>
        </w:rPr>
        <w:t>”). If Galera is required to terminate any Galera 401(k) Plan, then Galera shall provide to Obsidian prior to the Closing Date written evidence of the adoption by the Galera Board of resolutions authorizing the termination of such Galera 401(k) Plan (the form and substance of which shall be subject to the reasonable prior review and approval of Obsidian).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CONDITIONS TO CONSUMMATION OF THE MERGER</w:t>
      </w:r>
    </w:p>
    <w:p>
      <w:pPr>
        <w:spacing w:after="0" w:line="141"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Conditions Precedent to Obligations of Each Party</w:t>
      </w:r>
      <w:r>
        <w:rPr>
          <w:rFonts w:ascii="Times New Roman" w:cs="Times New Roman" w:eastAsia="Times New Roman" w:hAnsi="Times New Roman"/>
          <w:sz w:val="13"/>
          <w:szCs w:val="13"/>
          <w:color w:val="auto"/>
        </w:rPr>
        <w:t>. The obligations of each Party to effect the Mergers and otherwise consummate the Contemplated Transactions are subject to the satisfaction or, to the extent permitted by applicable Law, the written waiver by each of the Parties, at or prior to the Closing, of each of the following conditions:</w:t>
      </w:r>
    </w:p>
    <w:p>
      <w:pPr>
        <w:spacing w:after="0" w:line="54" w:lineRule="exact"/>
        <w:rPr>
          <w:sz w:val="20"/>
          <w:szCs w:val="20"/>
          <w:color w:val="auto"/>
        </w:rPr>
      </w:pPr>
    </w:p>
    <w:p>
      <w:pPr>
        <w:ind w:left="640" w:right="879" w:firstLine="307"/>
        <w:spacing w:after="0" w:line="286" w:lineRule="auto"/>
        <w:tabs>
          <w:tab w:leader="none" w:pos="1121"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105</w:t>
      </w:r>
    </w:p>
    <w:p>
      <w:pPr>
        <w:sectPr>
          <w:pgSz w:w="11900" w:h="16838" w:orient="portrait"/>
          <w:cols w:equalWidth="0" w:num="1">
            <w:col w:w="9019"/>
          </w:cols>
          <w:pgMar w:left="1440" w:top="231" w:right="1440" w:bottom="1440" w:gutter="0" w:footer="0" w:header="0"/>
        </w:sectPr>
      </w:pPr>
    </w:p>
    <w:bookmarkStart w:id="118" w:name="page119"/>
    <w:bookmarkEnd w:id="118"/>
    <w:p>
      <w:pPr>
        <w:ind w:left="640" w:right="799" w:firstLine="307"/>
        <w:spacing w:after="0" w:line="267" w:lineRule="auto"/>
        <w:tabs>
          <w:tab w:leader="none" w:pos="1128"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Galera shall have obtained the Required Galera Stockholder Approval, and Obsidian shall have obtained the Required Obsidian Stockholder Approval.</w:t>
      </w:r>
    </w:p>
    <w:p>
      <w:pPr>
        <w:spacing w:after="0" w:line="122" w:lineRule="exact"/>
        <w:rPr>
          <w:rFonts w:ascii="Times New Roman" w:cs="Times New Roman" w:eastAsia="Times New Roman" w:hAnsi="Times New Roman"/>
          <w:sz w:val="13"/>
          <w:szCs w:val="13"/>
          <w:color w:val="auto"/>
        </w:rPr>
      </w:pPr>
    </w:p>
    <w:p>
      <w:pPr>
        <w:ind w:left="640" w:right="739" w:firstLine="307"/>
        <w:spacing w:after="0" w:line="309" w:lineRule="auto"/>
        <w:tabs>
          <w:tab w:leader="none" w:pos="1121"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of the listing of shares of Parent Common Stock on Nasdaq shall have been obtained and the shares of Parent Common Stock to be issued in the Mergers pursuant to this Agreement shall have been approved for listing (subject to official notice of issuance) on Nasdaq.</w:t>
      </w:r>
    </w:p>
    <w:p>
      <w:pPr>
        <w:spacing w:after="0" w:line="99" w:lineRule="exact"/>
        <w:rPr>
          <w:rFonts w:ascii="Times New Roman" w:cs="Times New Roman" w:eastAsia="Times New Roman" w:hAnsi="Times New Roman"/>
          <w:sz w:val="12"/>
          <w:szCs w:val="12"/>
          <w:color w:val="auto"/>
        </w:rPr>
      </w:pPr>
    </w:p>
    <w:p>
      <w:pPr>
        <w:ind w:left="640" w:right="719" w:firstLine="307"/>
        <w:spacing w:after="0" w:line="251" w:lineRule="auto"/>
        <w:tabs>
          <w:tab w:leader="none" w:pos="1128"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Securities Purchase Agreement shall be in full force and effect and not subject to any termination, rescission or material adverse modification, and all conditions to the funding thereunder shall have been satisfied or waived (other than those to be satisfied at Closing) and cash proceeds of not less than the Concurrent PIPE Financing shall have been received by Galera, or will be received by Galera substantially simultaneously with the Closing, in connection with the consummation of the transactions contemplated by the Securities Purchase Agreement.</w:t>
      </w:r>
    </w:p>
    <w:p>
      <w:pPr>
        <w:spacing w:after="0" w:line="132"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21"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Registration Statement shall have become effective in accordance with the provisions of the Securities Act, and shall not be subject to any stop order or proceeding seeking a stop order with respect to such Registration Statement that has not been withdrawn.</w:t>
      </w:r>
    </w:p>
    <w:p>
      <w:pPr>
        <w:spacing w:after="0" w:line="122"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u w:val="single" w:color="auto"/>
          <w:color w:val="auto"/>
        </w:rPr>
        <w:t>Conditions Precedent to Obligations of Obsidian</w:t>
      </w:r>
      <w:r>
        <w:rPr>
          <w:rFonts w:ascii="Times New Roman" w:cs="Times New Roman" w:eastAsia="Times New Roman" w:hAnsi="Times New Roman"/>
          <w:sz w:val="13"/>
          <w:szCs w:val="13"/>
          <w:color w:val="auto"/>
        </w:rPr>
        <w:t>. The obligations of Obsidian to effect the Mergers and otherwise consummate the Contemplated Transactions are subject to the satisfaction or, to the extent permitted by applicable law, the written waiver by Obsidian, at or prior to the Closing, of each of the following conditions:</w:t>
      </w:r>
    </w:p>
    <w:p>
      <w:pPr>
        <w:spacing w:after="0" w:line="54" w:lineRule="exact"/>
        <w:rPr>
          <w:sz w:val="20"/>
          <w:szCs w:val="20"/>
          <w:color w:val="auto"/>
        </w:rPr>
      </w:pPr>
    </w:p>
    <w:p>
      <w:pPr>
        <w:ind w:left="640" w:right="659" w:firstLine="307"/>
        <w:spacing w:after="0" w:line="244" w:lineRule="auto"/>
        <w:tabs>
          <w:tab w:leader="none" w:pos="1121"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Galera Fundamental Representations shall have been true, complete and correct in all respects as of the date of this Agreement and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Galera Capitalization Representations shall have been true, complete and correct in all respects as of the date of this Agreement and shall be true, complete and correct on and as of immediately prior to the Galera Effective Time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representations and warranties contingent on stockholder approval (such as with respect to the Galera Authorized Common Stock Increase) shall not be deemed inaccurate to the extent such stockholder approval was not received. The representations and warranties of Galera contained in this Agreement (other than the Galera Fundamental Representations and the Galera Capitalization Representations) shall have been true and correct in all respects as of the date of this Agreement and shall be true and correct on and as of the Closing Date with the same force and effect as if made on the Closing Date except (i) in each case, or in the aggregate, where the failure to be true and correct would not reasonably be expected to have a Galera Material Adverse Effect (without giving effect to any references therein to any Galera Material Adverse Effect or other materiality qualifications) or (ii) for those representations and warranties which address matters only as of a particular date (which representations shall have been true and correct, subject to the qualifications as set forth in the preceding clause (i), as of such particular date) (it being understood that, for purposes of determining the accuracy of such representations and warranties, any update of or modification to the Galera Disclosure Schedule made or purported to have been made after the date of this Agreement shall be disregarded).</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106</w:t>
      </w:r>
    </w:p>
    <w:p>
      <w:pPr>
        <w:sectPr>
          <w:pgSz w:w="11900" w:h="16838" w:orient="portrait"/>
          <w:cols w:equalWidth="0" w:num="1">
            <w:col w:w="9019"/>
          </w:cols>
          <w:pgMar w:left="1440" w:top="231" w:right="1440" w:bottom="1440" w:gutter="0" w:footer="0" w:header="0"/>
        </w:sectPr>
      </w:pPr>
    </w:p>
    <w:bookmarkStart w:id="119" w:name="page120"/>
    <w:bookmarkEnd w:id="119"/>
    <w:p>
      <w:pPr>
        <w:ind w:left="640" w:right="739" w:firstLine="307"/>
        <w:spacing w:after="0" w:line="267" w:lineRule="auto"/>
        <w:tabs>
          <w:tab w:leader="none" w:pos="1128"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Galera, Parent, Obsidian Merger Sub and Galera Merger Sub shall have performed or complied in all material respects with all covenants and agreements required to be performed or complied with by it under this Agreement at or prior to the Closing Date.</w:t>
      </w:r>
    </w:p>
    <w:p>
      <w:pPr>
        <w:spacing w:after="0" w:line="12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Galera Material Adverse Effect shall not have occurred since the date of this Agreement and be continuing.</w:t>
      </w:r>
    </w:p>
    <w:p>
      <w:pPr>
        <w:spacing w:after="0" w:line="153" w:lineRule="exact"/>
        <w:rPr>
          <w:rFonts w:ascii="Times New Roman" w:cs="Times New Roman" w:eastAsia="Times New Roman" w:hAnsi="Times New Roman"/>
          <w:sz w:val="13"/>
          <w:szCs w:val="13"/>
          <w:color w:val="auto"/>
        </w:rPr>
      </w:pPr>
    </w:p>
    <w:p>
      <w:pPr>
        <w:ind w:left="640" w:right="1139" w:firstLine="307"/>
        <w:spacing w:after="0" w:line="267" w:lineRule="auto"/>
        <w:tabs>
          <w:tab w:leader="none" w:pos="1128"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existing shares of Galera Common Stock shall have been continually listed on the OTCQB Market as of and from the date of this Agreement through the Closing Date.</w:t>
      </w:r>
    </w:p>
    <w:p>
      <w:pPr>
        <w:spacing w:after="0" w:line="120" w:lineRule="exact"/>
        <w:rPr>
          <w:rFonts w:ascii="Times New Roman" w:cs="Times New Roman" w:eastAsia="Times New Roman" w:hAnsi="Times New Roman"/>
          <w:sz w:val="13"/>
          <w:szCs w:val="13"/>
          <w:color w:val="auto"/>
        </w:rPr>
      </w:pPr>
    </w:p>
    <w:p>
      <w:pPr>
        <w:ind w:left="640" w:right="839" w:firstLine="307"/>
        <w:spacing w:after="0" w:line="270" w:lineRule="auto"/>
        <w:tabs>
          <w:tab w:leader="none" w:pos="1121"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shall have delivered to Obsidian a certificate (the “</w:t>
      </w:r>
      <w:r>
        <w:rPr>
          <w:rFonts w:ascii="Times New Roman" w:cs="Times New Roman" w:eastAsia="Times New Roman" w:hAnsi="Times New Roman"/>
          <w:sz w:val="13"/>
          <w:szCs w:val="13"/>
          <w:b w:val="1"/>
          <w:bCs w:val="1"/>
          <w:color w:val="auto"/>
        </w:rPr>
        <w:t>Galera Closing Certificate</w:t>
      </w:r>
      <w:r>
        <w:rPr>
          <w:rFonts w:ascii="Times New Roman" w:cs="Times New Roman" w:eastAsia="Times New Roman" w:hAnsi="Times New Roman"/>
          <w:sz w:val="13"/>
          <w:szCs w:val="13"/>
          <w:color w:val="auto"/>
        </w:rPr>
        <w:t xml:space="preserve">”), dated the Closing Date and signed by an executive officer of Galera, certifying to the effect that the conditions set forth in </w:t>
      </w:r>
      <w:r>
        <w:rPr>
          <w:rFonts w:ascii="Times New Roman" w:cs="Times New Roman" w:eastAsia="Times New Roman" w:hAnsi="Times New Roman"/>
          <w:sz w:val="13"/>
          <w:szCs w:val="13"/>
          <w:u w:val="single" w:color="auto"/>
          <w:color w:val="auto"/>
        </w:rPr>
        <w:t>Sections 8.2(a), 8.2(b)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8.2(c)</w:t>
      </w:r>
      <w:r>
        <w:rPr>
          <w:rFonts w:ascii="Times New Roman" w:cs="Times New Roman" w:eastAsia="Times New Roman" w:hAnsi="Times New Roman"/>
          <w:sz w:val="13"/>
          <w:szCs w:val="13"/>
          <w:color w:val="auto"/>
        </w:rPr>
        <w:t xml:space="preserve"> have been satisfied.</w:t>
      </w:r>
    </w:p>
    <w:p>
      <w:pPr>
        <w:spacing w:after="0" w:line="120" w:lineRule="exact"/>
        <w:rPr>
          <w:rFonts w:ascii="Times New Roman" w:cs="Times New Roman" w:eastAsia="Times New Roman" w:hAnsi="Times New Roman"/>
          <w:sz w:val="13"/>
          <w:szCs w:val="13"/>
          <w:color w:val="auto"/>
        </w:rPr>
      </w:pPr>
    </w:p>
    <w:p>
      <w:pPr>
        <w:ind w:left="640" w:right="779" w:firstLine="307"/>
        <w:spacing w:after="0" w:line="309" w:lineRule="auto"/>
        <w:tabs>
          <w:tab w:leader="none" w:pos="1107"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conditions to the Galera Merger shall have been satisfied or waived (other than those to be satisfied at Closing) and the Galera Certificate of Merger shall have been filed by Parent, or will be filed by Parent substantially simultaneously with the Obsidian Certificate of Merger.</w:t>
      </w:r>
    </w:p>
    <w:p>
      <w:pPr>
        <w:spacing w:after="0" w:line="100"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Conditions Precedent to Obligations of Galera, Parent, Obsidian Merger Sub and Galera Merger Sub</w:t>
      </w:r>
      <w:r>
        <w:rPr>
          <w:rFonts w:ascii="Times New Roman" w:cs="Times New Roman" w:eastAsia="Times New Roman" w:hAnsi="Times New Roman"/>
          <w:sz w:val="13"/>
          <w:szCs w:val="13"/>
          <w:color w:val="auto"/>
        </w:rPr>
        <w:t>. The obligations of Galera, Parent, Obsidian Merger Sub and Galera Merger Sub to effect the Mergers and otherwise consummate the Contemplated Transactions are subject to the satisfaction or, to the extent permitted by applicable law, the written waiver by Galera, Obsidian Merger Sub and Galera Merger Sub, at or prior to the Closing, of each of the following conditions:</w:t>
      </w:r>
    </w:p>
    <w:p>
      <w:pPr>
        <w:spacing w:after="0" w:line="57" w:lineRule="exact"/>
        <w:rPr>
          <w:sz w:val="20"/>
          <w:szCs w:val="20"/>
          <w:color w:val="auto"/>
        </w:rPr>
      </w:pPr>
    </w:p>
    <w:p>
      <w:pPr>
        <w:ind w:left="640" w:right="679" w:firstLine="307"/>
        <w:spacing w:after="0" w:line="267" w:lineRule="auto"/>
        <w:tabs>
          <w:tab w:leader="none" w:pos="1121"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Obsidian Fundamental Representations shall have been true, complete and correct in all respects as of the date of this Agreement and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Obsidian Capitalization Representations shall have been true, complete and correct in all respects as of the date of this Agreement and shall be true and correct on and as of immediately prior to the Obsidian Effective Time with the same force and effect as if made on and as of such date, except, in each case, (x) for such inaccuracies which are de minimis, individually or in the aggregate or</w:t>
      </w:r>
    </w:p>
    <w:p>
      <w:pPr>
        <w:spacing w:after="0" w:line="1" w:lineRule="exact"/>
        <w:rPr>
          <w:rFonts w:ascii="Times New Roman" w:cs="Times New Roman" w:eastAsia="Times New Roman" w:hAnsi="Times New Roman"/>
          <w:sz w:val="12"/>
          <w:szCs w:val="12"/>
          <w:color w:val="auto"/>
        </w:rPr>
      </w:pPr>
    </w:p>
    <w:p>
      <w:pPr>
        <w:ind w:left="640" w:right="679" w:hanging="3"/>
        <w:spacing w:after="0" w:line="269" w:lineRule="auto"/>
        <w:tabs>
          <w:tab w:leader="none" w:pos="819"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Obsidian contained in this Agreement (other than the Obsidian Fundamental Representations and the Obsidian Capitalization Representations) shall have been true and correct in all respects as of the date of this Agreement and shall be true and correct on and as of the Closing Date with the same force and effect as if made on the Closing Date except (i) in each case, or in the aggregate, where the failure to be so true and correct would not reasonably be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107</w:t>
      </w:r>
    </w:p>
    <w:p>
      <w:pPr>
        <w:sectPr>
          <w:pgSz w:w="11900" w:h="16838" w:orient="portrait"/>
          <w:cols w:equalWidth="0" w:num="1">
            <w:col w:w="9019"/>
          </w:cols>
          <w:pgMar w:left="1440" w:top="231" w:right="1440" w:bottom="1440" w:gutter="0" w:footer="0" w:header="0"/>
        </w:sectPr>
      </w:pPr>
    </w:p>
    <w:bookmarkStart w:id="120" w:name="page121"/>
    <w:bookmarkEnd w:id="120"/>
    <w:p>
      <w:pPr>
        <w:jc w:val="both"/>
        <w:ind w:left="640" w:right="71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expected to have an Obsidian Material Adverse Effect (without giving effect to any references therein to any Obsidian Material Adverse Effect or other materiality qualifications) or (ii)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Obsidian Disclosure Schedule made or purported to have been made after the date of this Agreement shall be disregarded).</w:t>
      </w:r>
    </w:p>
    <w:p>
      <w:pPr>
        <w:spacing w:after="0" w:line="134" w:lineRule="exact"/>
        <w:rPr>
          <w:sz w:val="20"/>
          <w:szCs w:val="20"/>
          <w:color w:val="auto"/>
        </w:rPr>
      </w:pPr>
    </w:p>
    <w:p>
      <w:pPr>
        <w:ind w:left="640" w:right="759" w:firstLine="307"/>
        <w:spacing w:after="0" w:line="267" w:lineRule="auto"/>
        <w:tabs>
          <w:tab w:leader="none" w:pos="1128"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shall have performed and complied in all material respects with all covenants and agreements required to be performed or complied with by it under this Agreement at or prior to the Closing Date.</w:t>
      </w:r>
    </w:p>
    <w:p>
      <w:pPr>
        <w:spacing w:after="0" w:line="12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Obsidian Material Adverse Effect shall not have occurred since the date of this Agreement and be continuing.</w:t>
      </w:r>
    </w:p>
    <w:p>
      <w:pPr>
        <w:spacing w:after="0" w:line="151" w:lineRule="exact"/>
        <w:rPr>
          <w:rFonts w:ascii="Times New Roman" w:cs="Times New Roman" w:eastAsia="Times New Roman" w:hAnsi="Times New Roman"/>
          <w:sz w:val="13"/>
          <w:szCs w:val="13"/>
          <w:color w:val="auto"/>
        </w:rPr>
      </w:pPr>
    </w:p>
    <w:p>
      <w:pPr>
        <w:ind w:left="640" w:right="699" w:firstLine="307"/>
        <w:spacing w:after="0" w:line="252" w:lineRule="auto"/>
        <w:tabs>
          <w:tab w:leader="none" w:pos="1128"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shall have delivered to Galera a certificate (the “</w:t>
      </w:r>
      <w:r>
        <w:rPr>
          <w:rFonts w:ascii="Times New Roman" w:cs="Times New Roman" w:eastAsia="Times New Roman" w:hAnsi="Times New Roman"/>
          <w:sz w:val="13"/>
          <w:szCs w:val="13"/>
          <w:b w:val="1"/>
          <w:bCs w:val="1"/>
          <w:color w:val="auto"/>
        </w:rPr>
        <w:t>Obsidian Closing Certificate</w:t>
      </w:r>
      <w:r>
        <w:rPr>
          <w:rFonts w:ascii="Times New Roman" w:cs="Times New Roman" w:eastAsia="Times New Roman" w:hAnsi="Times New Roman"/>
          <w:sz w:val="13"/>
          <w:szCs w:val="13"/>
          <w:color w:val="auto"/>
        </w:rPr>
        <w:t xml:space="preserve">”), dated the Closing Date and signed by an executive officer of Obsidian, certifying to the effect that (i) the conditions set forth in </w:t>
      </w:r>
      <w:r>
        <w:rPr>
          <w:rFonts w:ascii="Times New Roman" w:cs="Times New Roman" w:eastAsia="Times New Roman" w:hAnsi="Times New Roman"/>
          <w:sz w:val="13"/>
          <w:szCs w:val="13"/>
          <w:u w:val="single" w:color="auto"/>
          <w:color w:val="auto"/>
        </w:rPr>
        <w:t>Sections 8.3(a)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8.3(b)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8.3(c)</w:t>
      </w:r>
      <w:r>
        <w:rPr>
          <w:rFonts w:ascii="Times New Roman" w:cs="Times New Roman" w:eastAsia="Times New Roman" w:hAnsi="Times New Roman"/>
          <w:sz w:val="13"/>
          <w:szCs w:val="13"/>
          <w:color w:val="auto"/>
        </w:rPr>
        <w:t xml:space="preserve"> have been satisfied and (ii) the information set forth in the Allocation Certificate delivered by Obsidian in accordance with </w:t>
      </w:r>
      <w:r>
        <w:rPr>
          <w:rFonts w:ascii="Times New Roman" w:cs="Times New Roman" w:eastAsia="Times New Roman" w:hAnsi="Times New Roman"/>
          <w:sz w:val="13"/>
          <w:szCs w:val="13"/>
          <w:u w:val="single" w:color="auto"/>
          <w:color w:val="auto"/>
        </w:rPr>
        <w:t>Section 7.13</w:t>
      </w:r>
      <w:r>
        <w:rPr>
          <w:rFonts w:ascii="Times New Roman" w:cs="Times New Roman" w:eastAsia="Times New Roman" w:hAnsi="Times New Roman"/>
          <w:sz w:val="13"/>
          <w:szCs w:val="13"/>
          <w:color w:val="auto"/>
        </w:rPr>
        <w:t xml:space="preserve"> is true and accurate in all respects as of the Closing Date.</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Obsidian Lock-Up Agreements will continue to be in full force and effect as of immediately following the Obsidian Effective Time.</w:t>
      </w:r>
    </w:p>
    <w:p>
      <w:pPr>
        <w:spacing w:after="0" w:line="153" w:lineRule="exact"/>
        <w:rPr>
          <w:rFonts w:ascii="Times New Roman" w:cs="Times New Roman" w:eastAsia="Times New Roman" w:hAnsi="Times New Roman"/>
          <w:sz w:val="13"/>
          <w:szCs w:val="13"/>
          <w:color w:val="auto"/>
        </w:rPr>
      </w:pPr>
    </w:p>
    <w:p>
      <w:pPr>
        <w:ind w:left="640" w:right="999" w:firstLine="307"/>
        <w:spacing w:after="0" w:line="309" w:lineRule="auto"/>
        <w:tabs>
          <w:tab w:leader="none" w:pos="1107"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conditions to the Obsidian Merger shall have been satisfied or waived (other than those to be satisfied at Closing) and the Obsidian Certificate of Merger shall have been filed by Parent, or will be filed by Parent substantially simultaneously with the Galera Certificate of Merger.</w:t>
      </w:r>
    </w:p>
    <w:p>
      <w:pPr>
        <w:spacing w:after="0" w:line="100"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Frustration of Closing Conditions</w:t>
      </w:r>
      <w:r>
        <w:rPr>
          <w:rFonts w:ascii="Times New Roman" w:cs="Times New Roman" w:eastAsia="Times New Roman" w:hAnsi="Times New Roman"/>
          <w:sz w:val="13"/>
          <w:szCs w:val="13"/>
          <w:color w:val="auto"/>
        </w:rPr>
        <w:t xml:space="preserve">. Galera may not rely on the failure of any conditions set forth in </w:t>
      </w:r>
      <w:r>
        <w:rPr>
          <w:rFonts w:ascii="Times New Roman" w:cs="Times New Roman" w:eastAsia="Times New Roman" w:hAnsi="Times New Roman"/>
          <w:sz w:val="13"/>
          <w:szCs w:val="13"/>
          <w:u w:val="single" w:color="auto"/>
          <w:color w:val="auto"/>
        </w:rPr>
        <w:t>Sections 8.1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8.3</w:t>
      </w:r>
      <w:r>
        <w:rPr>
          <w:rFonts w:ascii="Times New Roman" w:cs="Times New Roman" w:eastAsia="Times New Roman" w:hAnsi="Times New Roman"/>
          <w:sz w:val="13"/>
          <w:szCs w:val="13"/>
          <w:color w:val="auto"/>
        </w:rPr>
        <w:t xml:space="preserve"> to be satisfied if the primary cause of such failure was the failure of Galera to perform any of its obligations under this Agreement. Obsidian may not rely on the failure of any conditions set forth in </w:t>
      </w:r>
      <w:r>
        <w:rPr>
          <w:rFonts w:ascii="Times New Roman" w:cs="Times New Roman" w:eastAsia="Times New Roman" w:hAnsi="Times New Roman"/>
          <w:sz w:val="13"/>
          <w:szCs w:val="13"/>
          <w:u w:val="single" w:color="auto"/>
          <w:color w:val="auto"/>
        </w:rPr>
        <w:t>Sections 8.1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8.2</w:t>
      </w:r>
      <w:r>
        <w:rPr>
          <w:rFonts w:ascii="Times New Roman" w:cs="Times New Roman" w:eastAsia="Times New Roman" w:hAnsi="Times New Roman"/>
          <w:sz w:val="13"/>
          <w:szCs w:val="13"/>
          <w:color w:val="auto"/>
        </w:rPr>
        <w:t xml:space="preserve"> to be satisfied if the primary cause of such failure was the failure of Obsidian to perform any of its obligations under this Agreement.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CLOSING DELIVERIES</w:t>
      </w:r>
    </w:p>
    <w:p>
      <w:pPr>
        <w:spacing w:after="0" w:line="141"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Closing Deliveries of Obsidian</w:t>
      </w:r>
      <w:r>
        <w:rPr>
          <w:rFonts w:ascii="Times New Roman" w:cs="Times New Roman" w:eastAsia="Times New Roman" w:hAnsi="Times New Roman"/>
          <w:sz w:val="13"/>
          <w:szCs w:val="13"/>
          <w:color w:val="auto"/>
        </w:rPr>
        <w:t>. The obligations of Galera, Parent, Obsidian Merger Sub and Galera Merger Sub to effect the Mergers and otherwise consummate the Contemplated Transactions are subject to Galera receiving the following documents, each of which shall be in full force and effect, or the written waiver by Galera of delivery:</w:t>
      </w:r>
    </w:p>
    <w:p>
      <w:pPr>
        <w:spacing w:after="0" w:line="54" w:lineRule="exact"/>
        <w:rPr>
          <w:sz w:val="20"/>
          <w:szCs w:val="20"/>
          <w:color w:val="auto"/>
        </w:rPr>
      </w:pPr>
    </w:p>
    <w:p>
      <w:pPr>
        <w:ind w:left="1120" w:hanging="173"/>
        <w:spacing w:after="0"/>
        <w:tabs>
          <w:tab w:leader="none" w:pos="11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Obsidian Stockholder Written Consents;</w:t>
      </w:r>
    </w:p>
    <w:p>
      <w:pPr>
        <w:spacing w:after="0" w:line="153"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Allocation Certificate;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108</w:t>
      </w:r>
    </w:p>
    <w:p>
      <w:pPr>
        <w:sectPr>
          <w:pgSz w:w="11900" w:h="16838" w:orient="portrait"/>
          <w:cols w:equalWidth="0" w:num="1">
            <w:col w:w="9019"/>
          </w:cols>
          <w:pgMar w:left="1440" w:top="231" w:right="1440" w:bottom="1440" w:gutter="0" w:footer="0" w:header="0"/>
        </w:sectPr>
      </w:pPr>
    </w:p>
    <w:bookmarkStart w:id="121" w:name="page122"/>
    <w:bookmarkEnd w:id="12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 the Obsidian Closing Certificate.</w:t>
      </w:r>
    </w:p>
    <w:p>
      <w:pPr>
        <w:spacing w:after="0" w:line="154" w:lineRule="exact"/>
        <w:rPr>
          <w:sz w:val="20"/>
          <w:szCs w:val="20"/>
          <w:color w:val="auto"/>
        </w:rPr>
      </w:pPr>
    </w:p>
    <w:p>
      <w:pPr>
        <w:ind w:left="640" w:right="679" w:firstLine="309"/>
        <w:spacing w:after="0" w:line="309" w:lineRule="auto"/>
        <w:rPr>
          <w:sz w:val="20"/>
          <w:szCs w:val="20"/>
          <w:color w:val="auto"/>
        </w:rPr>
      </w:pPr>
      <w:r>
        <w:rPr>
          <w:rFonts w:ascii="Times New Roman" w:cs="Times New Roman" w:eastAsia="Times New Roman" w:hAnsi="Times New Roman"/>
          <w:sz w:val="12"/>
          <w:szCs w:val="12"/>
          <w:color w:val="auto"/>
        </w:rPr>
        <w:t xml:space="preserve">9.2 </w:t>
      </w:r>
      <w:r>
        <w:rPr>
          <w:rFonts w:ascii="Times New Roman" w:cs="Times New Roman" w:eastAsia="Times New Roman" w:hAnsi="Times New Roman"/>
          <w:sz w:val="12"/>
          <w:szCs w:val="12"/>
          <w:u w:val="single" w:color="auto"/>
          <w:color w:val="auto"/>
        </w:rPr>
        <w:t>Closing Deliveries of Galera</w:t>
      </w:r>
      <w:r>
        <w:rPr>
          <w:rFonts w:ascii="Times New Roman" w:cs="Times New Roman" w:eastAsia="Times New Roman" w:hAnsi="Times New Roman"/>
          <w:sz w:val="12"/>
          <w:szCs w:val="12"/>
          <w:color w:val="auto"/>
        </w:rPr>
        <w:t>. The obligations of Obsidian to effect the Mergers and otherwise consummate the Contemplated Transactions are subject to Obsidian receiving the following documents, each of which shall be in full force and effect, or the written waiver by Obsidian of delivery:</w:t>
      </w:r>
    </w:p>
    <w:p>
      <w:pPr>
        <w:spacing w:after="0" w:line="24" w:lineRule="exact"/>
        <w:rPr>
          <w:sz w:val="20"/>
          <w:szCs w:val="20"/>
          <w:color w:val="auto"/>
        </w:rPr>
      </w:pPr>
    </w:p>
    <w:p>
      <w:pPr>
        <w:ind w:left="1120" w:hanging="173"/>
        <w:spacing w:after="0"/>
        <w:tabs>
          <w:tab w:leader="none" w:pos="112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Galera Net Cash Schedule;</w:t>
      </w:r>
    </w:p>
    <w:p>
      <w:pPr>
        <w:spacing w:after="0" w:line="153"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Galera Closing Certificate;</w:t>
      </w:r>
    </w:p>
    <w:p>
      <w:pPr>
        <w:spacing w:after="0" w:line="153"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(h)</w:t>
      </w:r>
      <w:r>
        <w:rPr>
          <w:rFonts w:ascii="Times New Roman" w:cs="Times New Roman" w:eastAsia="Times New Roman" w:hAnsi="Times New Roman"/>
          <w:sz w:val="13"/>
          <w:szCs w:val="13"/>
          <w:color w:val="auto"/>
        </w:rPr>
        <w:t>, the executed CVR Agreement; and</w:t>
      </w:r>
    </w:p>
    <w:p>
      <w:pPr>
        <w:spacing w:after="0" w:line="153"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28"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written resignations in forms satisfactory to Obsidian, dated as of the Closing Date and effective as of the Closing executed by the officers and directors of Galera who are not to continue as officers or directors of Galera pursuant to </w:t>
      </w:r>
      <w:r>
        <w:rPr>
          <w:rFonts w:ascii="Times New Roman" w:cs="Times New Roman" w:eastAsia="Times New Roman" w:hAnsi="Times New Roman"/>
          <w:sz w:val="13"/>
          <w:szCs w:val="13"/>
          <w:u w:val="single" w:color="auto"/>
          <w:color w:val="auto"/>
        </w:rPr>
        <w:t>Section 7.10</w:t>
      </w:r>
      <w:r>
        <w:rPr>
          <w:rFonts w:ascii="Times New Roman" w:cs="Times New Roman" w:eastAsia="Times New Roman" w:hAnsi="Times New Roman"/>
          <w:sz w:val="13"/>
          <w:szCs w:val="13"/>
          <w:color w:val="auto"/>
        </w:rPr>
        <w:t xml:space="preserve"> hereof.</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TERMINATION</w:t>
      </w:r>
    </w:p>
    <w:p>
      <w:pPr>
        <w:spacing w:after="0" w:line="141"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may be terminated, and the Mergers and the Contemplated Transactions may be abandoned at any time prior to the Closing Date, whether before or (subject to the terms hereof) after approval of the Galera Stockholder Matters by Galera’s stockholders, unless otherwise specified below:</w:t>
      </w:r>
    </w:p>
    <w:p>
      <w:pPr>
        <w:spacing w:after="0" w:line="54" w:lineRule="exact"/>
        <w:rPr>
          <w:sz w:val="20"/>
          <w:szCs w:val="20"/>
          <w:color w:val="auto"/>
        </w:rPr>
      </w:pPr>
    </w:p>
    <w:p>
      <w:pPr>
        <w:ind w:left="1120" w:hanging="173"/>
        <w:spacing w:after="0"/>
        <w:tabs>
          <w:tab w:leader="none" w:pos="1120" w:val="left"/>
        </w:tabs>
        <w:numPr>
          <w:ilvl w:val="1"/>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Galera and Obsidian;</w:t>
      </w:r>
    </w:p>
    <w:p>
      <w:pPr>
        <w:spacing w:after="0" w:line="153"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8" w:val="left"/>
        </w:tabs>
        <w:numPr>
          <w:ilvl w:val="1"/>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Galera and Obsidian if the Mergers shall not have been consummated by August 14, 2026 (subject to possible extension as provided in this </w:t>
      </w:r>
      <w:r>
        <w:rPr>
          <w:rFonts w:ascii="Times New Roman" w:cs="Times New Roman" w:eastAsia="Times New Roman" w:hAnsi="Times New Roman"/>
          <w:sz w:val="13"/>
          <w:szCs w:val="13"/>
          <w:u w:val="single" w:color="auto"/>
          <w:color w:val="auto"/>
        </w:rPr>
        <w:t>Section 10.1(b)</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color w:val="auto"/>
        </w:rPr>
        <w:t>Outside Date</w:t>
      </w:r>
      <w:r>
        <w:rPr>
          <w:rFonts w:ascii="Times New Roman" w:cs="Times New Roman" w:eastAsia="Times New Roman" w:hAnsi="Times New Roman"/>
          <w:sz w:val="13"/>
          <w:szCs w:val="13"/>
          <w:color w:val="auto"/>
        </w:rPr>
        <w:t xml:space="preserve">”); provided, however, that the right to terminate this Agreement under this </w:t>
      </w:r>
      <w:r>
        <w:rPr>
          <w:rFonts w:ascii="Times New Roman" w:cs="Times New Roman" w:eastAsia="Times New Roman" w:hAnsi="Times New Roman"/>
          <w:sz w:val="13"/>
          <w:szCs w:val="13"/>
          <w:u w:val="single" w:color="auto"/>
          <w:color w:val="auto"/>
        </w:rPr>
        <w:t>Section 10.1(b)</w:t>
      </w:r>
      <w:r>
        <w:rPr>
          <w:rFonts w:ascii="Times New Roman" w:cs="Times New Roman" w:eastAsia="Times New Roman" w:hAnsi="Times New Roman"/>
          <w:sz w:val="13"/>
          <w:szCs w:val="13"/>
          <w:color w:val="auto"/>
        </w:rPr>
        <w:t xml:space="preserve"> shall not be available to Galera or Obsidian if such Party’s action or failure to act has been a principal cause of the failure of the Mergers to occur on or before the Outside Date and such action or failure to act constitutes a breach of this Agreement; provided, further, however, that, in the event that the SEC has not declared effective under the Securities Act the Registration Statement by the date which is twenty-five (25) days prior to the Outside Date, then either Galera or Obsidian shall be entitled to extend the Outside Date for an additional ninety (90) days;</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21" w:val="left"/>
        </w:tabs>
        <w:numPr>
          <w:ilvl w:val="1"/>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Galera and Obsidian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Galera if the Required Obsidian Stockholder Approval shall not have been obtained and evidence thereof delivered to Galera within fifteen</w:t>
      </w:r>
    </w:p>
    <w:p>
      <w:pPr>
        <w:spacing w:after="0" w:line="26" w:lineRule="exact"/>
        <w:rPr>
          <w:rFonts w:ascii="Times New Roman" w:cs="Times New Roman" w:eastAsia="Times New Roman" w:hAnsi="Times New Roman"/>
          <w:sz w:val="12"/>
          <w:szCs w:val="12"/>
          <w:color w:val="auto"/>
        </w:rPr>
      </w:pPr>
    </w:p>
    <w:p>
      <w:pPr>
        <w:ind w:left="640" w:right="879" w:hanging="3"/>
        <w:spacing w:after="0" w:line="287" w:lineRule="auto"/>
        <w:tabs>
          <w:tab w:leader="none" w:pos="882"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days of the Registration Statement becoming effective in accordance with the provisions of the Securities Act; provided, however, that once the Required Obsidian Stockholder Approval has been obtained, Galera may not terminate this Agreement pursuant to this </w:t>
      </w:r>
      <w:r>
        <w:rPr>
          <w:rFonts w:ascii="Times New Roman" w:cs="Times New Roman" w:eastAsia="Times New Roman" w:hAnsi="Times New Roman"/>
          <w:sz w:val="12"/>
          <w:szCs w:val="12"/>
          <w:u w:val="single" w:color="auto"/>
          <w:color w:val="auto"/>
        </w:rPr>
        <w:t>Section 10.1(d)</w:t>
      </w:r>
      <w:r>
        <w:rPr>
          <w:rFonts w:ascii="Times New Roman" w:cs="Times New Roman" w:eastAsia="Times New Roman" w:hAnsi="Times New Roman"/>
          <w:sz w:val="12"/>
          <w:szCs w:val="12"/>
          <w:color w:val="auto"/>
        </w:rPr>
        <w:t>;</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109</w:t>
      </w:r>
    </w:p>
    <w:p>
      <w:pPr>
        <w:sectPr>
          <w:pgSz w:w="11900" w:h="16838" w:orient="portrait"/>
          <w:cols w:equalWidth="0" w:num="1">
            <w:col w:w="9019"/>
          </w:cols>
          <w:pgMar w:left="1440" w:top="231" w:right="1440" w:bottom="1440" w:gutter="0" w:footer="0" w:header="0"/>
        </w:sectPr>
      </w:pPr>
    </w:p>
    <w:bookmarkStart w:id="122" w:name="page123"/>
    <w:bookmarkEnd w:id="122"/>
    <w:p>
      <w:pPr>
        <w:ind w:left="640" w:right="719" w:firstLine="307"/>
        <w:spacing w:after="0" w:line="248" w:lineRule="auto"/>
        <w:tabs>
          <w:tab w:leader="none" w:pos="1121"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Obsidian if the Required Galera Stockholder Approval shall not have been obtained and evidence thereof delivered to Obsidian within fifteen (15) days of the Registration Statement becoming effective in accordance with the provisions of the Securities Act; provided, however, that once the Required Galera Stockholder Approval has been obtained, Obsidian may not terminate this Agreement pursuant to this </w:t>
      </w:r>
      <w:r>
        <w:rPr>
          <w:rFonts w:ascii="Times New Roman" w:cs="Times New Roman" w:eastAsia="Times New Roman" w:hAnsi="Times New Roman"/>
          <w:sz w:val="13"/>
          <w:szCs w:val="13"/>
          <w:u w:val="single" w:color="auto"/>
          <w:color w:val="auto"/>
        </w:rPr>
        <w:t>Section 10.1(e)</w:t>
      </w:r>
      <w:r>
        <w:rPr>
          <w:rFonts w:ascii="Times New Roman" w:cs="Times New Roman" w:eastAsia="Times New Roman" w:hAnsi="Times New Roman"/>
          <w:sz w:val="13"/>
          <w:szCs w:val="13"/>
          <w:color w:val="auto"/>
        </w:rPr>
        <w:t xml:space="preserve">; provided, further, however that in the event that the Annual Meeting Galera Stockholder Vote is not obtained, then Obsidian may not terminate this Agreement pursuant to this </w:t>
      </w:r>
      <w:r>
        <w:rPr>
          <w:rFonts w:ascii="Times New Roman" w:cs="Times New Roman" w:eastAsia="Times New Roman" w:hAnsi="Times New Roman"/>
          <w:sz w:val="13"/>
          <w:szCs w:val="13"/>
          <w:u w:val="single" w:color="auto"/>
          <w:color w:val="auto"/>
        </w:rPr>
        <w:t>Section 10.1(e)</w:t>
      </w:r>
      <w:r>
        <w:rPr>
          <w:rFonts w:ascii="Times New Roman" w:cs="Times New Roman" w:eastAsia="Times New Roman" w:hAnsi="Times New Roman"/>
          <w:sz w:val="13"/>
          <w:szCs w:val="13"/>
          <w:color w:val="auto"/>
        </w:rPr>
        <w:t xml:space="preserve"> until such time that the Required Galera Stockholder Approval is not obtained at a special meeting of holders of Galera Common Stock held to seek the Required Galera Stockholder Approval in accordance with Section 7.14;</w:t>
      </w:r>
    </w:p>
    <w:p>
      <w:pPr>
        <w:spacing w:after="0" w:line="134"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107"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Obsidian (at any time prior to the approval of the Galera Stockholder Matters by the Required Galera Stockholder Approval) if a Galera Triggering Event shall have occurred;</w:t>
      </w:r>
    </w:p>
    <w:p>
      <w:pPr>
        <w:spacing w:after="0" w:line="122" w:lineRule="exact"/>
        <w:rPr>
          <w:rFonts w:ascii="Times New Roman" w:cs="Times New Roman" w:eastAsia="Times New Roman" w:hAnsi="Times New Roman"/>
          <w:sz w:val="13"/>
          <w:szCs w:val="13"/>
          <w:color w:val="auto"/>
        </w:rPr>
      </w:pPr>
    </w:p>
    <w:p>
      <w:pPr>
        <w:jc w:val="both"/>
        <w:ind w:left="640" w:right="779" w:firstLine="307"/>
        <w:spacing w:after="0" w:line="255" w:lineRule="auto"/>
        <w:tabs>
          <w:tab w:leader="none" w:pos="1128"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Galera (at any time prior to the adoption of this Agreement and the approval of the Contemplated Transactions by the Required Obsidian Stockholder Approval) if (i) an Obsidian Triggering Event shall have occurred or (ii) the Obsidian Board or any committee thereof shall have made an Obsidian Board Adverse Recommendation Change;</w:t>
      </w:r>
    </w:p>
    <w:p>
      <w:pPr>
        <w:spacing w:after="0" w:line="130"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Obsidian, upon a material breach of any representation, warranty, covenant or agreement set forth in this Agreement by Galera, Parent, Obsidian Merger Sub or Galera Merger Sub or if any representation or warranty of Galera shall have become inaccurate such that the conditions set forth in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8.2(b)</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provided that Obsidian is not then in material breach of any representation, warranty, covenant or agreement under this Agreement; provided, further, that if such inaccuracy in Galera’s representations and warranties or breach by Galera, Parent, Obsidian Merger Sub or Galera Merger Sub is curable by Galera, Parent, Obsidian Merger Sub or Galera Merger Sub, as applicable, then this Agreement shall not terminate pursuant to this </w:t>
      </w:r>
      <w:r>
        <w:rPr>
          <w:rFonts w:ascii="Times New Roman" w:cs="Times New Roman" w:eastAsia="Times New Roman" w:hAnsi="Times New Roman"/>
          <w:sz w:val="13"/>
          <w:szCs w:val="13"/>
          <w:u w:val="single" w:color="auto"/>
          <w:color w:val="auto"/>
        </w:rPr>
        <w:t>Section 10.1(h)</w:t>
      </w:r>
      <w:r>
        <w:rPr>
          <w:rFonts w:ascii="Times New Roman" w:cs="Times New Roman" w:eastAsia="Times New Roman" w:hAnsi="Times New Roman"/>
          <w:sz w:val="13"/>
          <w:szCs w:val="13"/>
          <w:color w:val="auto"/>
        </w:rPr>
        <w:t xml:space="preserve"> as a result of such particular breach or inaccuracy until the expiration of a 30-day period commencing upon delivery of written notice from Obsidian to Galera of such breach or inaccuracy and its intention to terminate pursuant to this </w:t>
      </w:r>
      <w:r>
        <w:rPr>
          <w:rFonts w:ascii="Times New Roman" w:cs="Times New Roman" w:eastAsia="Times New Roman" w:hAnsi="Times New Roman"/>
          <w:sz w:val="13"/>
          <w:szCs w:val="13"/>
          <w:u w:val="single" w:color="auto"/>
          <w:color w:val="auto"/>
        </w:rPr>
        <w:t>Section 10.1(h)</w:t>
      </w:r>
      <w:r>
        <w:rPr>
          <w:rFonts w:ascii="Times New Roman" w:cs="Times New Roman" w:eastAsia="Times New Roman" w:hAnsi="Times New Roman"/>
          <w:sz w:val="13"/>
          <w:szCs w:val="13"/>
          <w:color w:val="auto"/>
        </w:rPr>
        <w:t xml:space="preserve"> (it being understood that this Agreement shall not terminate pursuant to this </w:t>
      </w:r>
      <w:r>
        <w:rPr>
          <w:rFonts w:ascii="Times New Roman" w:cs="Times New Roman" w:eastAsia="Times New Roman" w:hAnsi="Times New Roman"/>
          <w:sz w:val="13"/>
          <w:szCs w:val="13"/>
          <w:u w:val="single" w:color="auto"/>
          <w:color w:val="auto"/>
        </w:rPr>
        <w:t>Section 10.1(h)</w:t>
      </w:r>
      <w:r>
        <w:rPr>
          <w:rFonts w:ascii="Times New Roman" w:cs="Times New Roman" w:eastAsia="Times New Roman" w:hAnsi="Times New Roman"/>
          <w:sz w:val="13"/>
          <w:szCs w:val="13"/>
          <w:color w:val="auto"/>
        </w:rPr>
        <w:t xml:space="preserve"> as a result of such particular breach or inaccuracy if such breach by Galera, Parent, Obsidian Merger Sub or Galera Merger Sub is cured prior to such termination becoming effective);</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0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Galera, upon a material breach of any representation, warranty, covenant or agreement set forth in this Agreement by Obsidian, or if any representation or warranty of Obsidian shall have become inaccurate, in either case, such that the conditions set forth in </w:t>
      </w:r>
      <w:r>
        <w:rPr>
          <w:rFonts w:ascii="Times New Roman" w:cs="Times New Roman" w:eastAsia="Times New Roman" w:hAnsi="Times New Roman"/>
          <w:sz w:val="13"/>
          <w:szCs w:val="13"/>
          <w:u w:val="single" w:color="auto"/>
          <w:color w:val="auto"/>
        </w:rPr>
        <w:t>Section 8.3(a)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8.3(b)</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provided that none of Galera, Parent, Obsidian Merger Sub or Galera Merger Sub is then in material breach of any representation, warranty, covenant or agreement under this Agreement; provided, further, that if such inaccuracy in Obsidian’s representations and warranties or breach by Obsidian is curable by Obsidian, then this Agreement shall not terminate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as a result of such particular breach or inaccuracy until the expiration of a 30-day period commencing upon delivery of written notice from Galera to Obsidian of such breach or inaccuracy and its intention to terminate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(it being understood that this Agreement shall not terminate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as a result of such particular breach or inaccuracy if such breach by Obsidian is cured prior to such termination becoming effective);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110</w:t>
      </w:r>
    </w:p>
    <w:p>
      <w:pPr>
        <w:sectPr>
          <w:pgSz w:w="11900" w:h="16838" w:orient="portrait"/>
          <w:cols w:equalWidth="0" w:num="1">
            <w:col w:w="9019"/>
          </w:cols>
          <w:pgMar w:left="1440" w:top="231" w:right="1440" w:bottom="1440" w:gutter="0" w:footer="0" w:header="0"/>
        </w:sectPr>
      </w:pPr>
    </w:p>
    <w:bookmarkStart w:id="123" w:name="page124"/>
    <w:bookmarkEnd w:id="123"/>
    <w:p>
      <w:pPr>
        <w:ind w:left="640" w:right="679" w:firstLine="307"/>
        <w:spacing w:after="0" w:line="246" w:lineRule="auto"/>
        <w:tabs>
          <w:tab w:leader="none" w:pos="110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Galera (at any time prior to obtaining the Required Galera Stockholder Approval) and following compliance with all of the requirements set forth in the proviso to this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concurrently with Galera’s entering into a definitive agreement for a Superior Offer (a “</w:t>
      </w:r>
      <w:r>
        <w:rPr>
          <w:rFonts w:ascii="Times New Roman" w:cs="Times New Roman" w:eastAsia="Times New Roman" w:hAnsi="Times New Roman"/>
          <w:sz w:val="13"/>
          <w:szCs w:val="13"/>
          <w:b w:val="1"/>
          <w:bCs w:val="1"/>
          <w:color w:val="auto"/>
        </w:rPr>
        <w:t>Permitted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Alternative Agreement</w:t>
      </w:r>
      <w:r>
        <w:rPr>
          <w:rFonts w:ascii="Times New Roman" w:cs="Times New Roman" w:eastAsia="Times New Roman" w:hAnsi="Times New Roman"/>
          <w:sz w:val="13"/>
          <w:szCs w:val="13"/>
          <w:color w:val="auto"/>
        </w:rPr>
        <w:t>”); provided, however, that Galera shall not enter into any Permitted Alternative Agreement unless: (i) Obsidian shall have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received written notice from Galera of Galera’s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Galera shall have complied with its obligations under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xml:space="preserve"> (including with respect to delivery of all required written notices), and (iii) the Galera Board shall have determined in good faith, after consultation with its outside legal counsel and reasonable consideration of relevant factors, that the failure to enter into such Permitted Alternative Agreement would reasonably be expected to be inconsistent with its fiduciary obligations under applicable Law;</w:t>
      </w:r>
    </w:p>
    <w:p>
      <w:pPr>
        <w:spacing w:after="0" w:line="135" w:lineRule="exact"/>
        <w:rPr>
          <w:rFonts w:ascii="Times New Roman" w:cs="Times New Roman" w:eastAsia="Times New Roman" w:hAnsi="Times New Roman"/>
          <w:sz w:val="13"/>
          <w:szCs w:val="13"/>
          <w:color w:val="auto"/>
        </w:rPr>
      </w:pPr>
    </w:p>
    <w:p>
      <w:pPr>
        <w:ind w:left="640" w:right="699" w:firstLine="307"/>
        <w:spacing w:after="0" w:line="268" w:lineRule="auto"/>
        <w:tabs>
          <w:tab w:leader="none" w:pos="1128"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Obsidian (at any time prior to obtaining the Required Obsidian Stockholder Approval) and following compliance with all of the requirements set forth in the proviso to this </w:t>
      </w:r>
      <w:r>
        <w:rPr>
          <w:rFonts w:ascii="Times New Roman" w:cs="Times New Roman" w:eastAsia="Times New Roman" w:hAnsi="Times New Roman"/>
          <w:sz w:val="12"/>
          <w:szCs w:val="12"/>
          <w:u w:val="single" w:color="auto"/>
          <w:color w:val="auto"/>
        </w:rPr>
        <w:t>Section 10.1(k)</w:t>
      </w:r>
      <w:r>
        <w:rPr>
          <w:rFonts w:ascii="Times New Roman" w:cs="Times New Roman" w:eastAsia="Times New Roman" w:hAnsi="Times New Roman"/>
          <w:sz w:val="12"/>
          <w:szCs w:val="12"/>
          <w:color w:val="auto"/>
        </w:rPr>
        <w:t xml:space="preserve">, concurrently with Obsidian’s entering into a Permitted Alternative Agreement and after having paid to Galera the Obsidian Termination Fee pursuant to </w:t>
      </w:r>
      <w:r>
        <w:rPr>
          <w:rFonts w:ascii="Times New Roman" w:cs="Times New Roman" w:eastAsia="Times New Roman" w:hAnsi="Times New Roman"/>
          <w:sz w:val="12"/>
          <w:szCs w:val="12"/>
          <w:u w:val="single" w:color="auto"/>
          <w:color w:val="auto"/>
        </w:rPr>
        <w:t>Section 10.3(f)</w:t>
      </w:r>
      <w:r>
        <w:rPr>
          <w:rFonts w:ascii="Times New Roman" w:cs="Times New Roman" w:eastAsia="Times New Roman" w:hAnsi="Times New Roman"/>
          <w:sz w:val="12"/>
          <w:szCs w:val="12"/>
          <w:color w:val="auto"/>
        </w:rPr>
        <w:t xml:space="preserve">; provided, however, that Obsidian shall not enter into any Permitted Alternative Agreement unless: (i) Galera shall have received written notice from Obsidian of Obsidian’s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Obsidian shall have complied with its obligations under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(including with respect to delivery of all required written notices), and (iii) the Obsidian Board shall have determined in good faith and reasonable consideration of relevant factors, after consultation with its outside legal counsel, that the failure to enter into such Permitted Alternative Agreement would reasonably be expected to be inconsistent with its fiduciary obligations under applicable Law; or</w:t>
      </w:r>
    </w:p>
    <w:p>
      <w:pPr>
        <w:spacing w:after="0" w:line="127" w:lineRule="exact"/>
        <w:rPr>
          <w:rFonts w:ascii="Times New Roman" w:cs="Times New Roman" w:eastAsia="Times New Roman" w:hAnsi="Times New Roman"/>
          <w:sz w:val="12"/>
          <w:szCs w:val="12"/>
          <w:color w:val="auto"/>
        </w:rPr>
      </w:pPr>
    </w:p>
    <w:p>
      <w:pPr>
        <w:ind w:left="640" w:right="719" w:firstLine="307"/>
        <w:spacing w:after="0" w:line="249" w:lineRule="auto"/>
        <w:tabs>
          <w:tab w:leader="none" w:pos="110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Obsidian, if the approval of the listing of shares of Parent Common Stock on Nasdaq shall (i) have been denied by Nasdaq or (ii) not have been obtained and the Obsidian Board has determined, in good faith and after consultation with its outside counsel, that such approval is not reasonably likely to be obtained;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right to terminate this Agreement under this Section 10.1(k) shall not be available to Obsidian if Obsidian’s action or failure to act has been a principal cause of the failure of such approval being obtained and such action or failure to act constitutes a material breach of this Agreement.</w:t>
      </w:r>
    </w:p>
    <w:p>
      <w:pPr>
        <w:spacing w:after="0" w:line="134"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The Party desiring to terminate this Agreement pursuant to this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(other than pursuant to </w:t>
      </w:r>
      <w:r>
        <w:rPr>
          <w:rFonts w:ascii="Times New Roman" w:cs="Times New Roman" w:eastAsia="Times New Roman" w:hAnsi="Times New Roman"/>
          <w:sz w:val="13"/>
          <w:szCs w:val="13"/>
          <w:u w:val="single" w:color="auto"/>
          <w:color w:val="auto"/>
        </w:rPr>
        <w:t>Section 10.1(a)</w:t>
      </w:r>
      <w:r>
        <w:rPr>
          <w:rFonts w:ascii="Times New Roman" w:cs="Times New Roman" w:eastAsia="Times New Roman" w:hAnsi="Times New Roman"/>
          <w:sz w:val="13"/>
          <w:szCs w:val="13"/>
          <w:color w:val="auto"/>
        </w:rPr>
        <w:t>) shall give a notice of such termination to the other Party specifying the provisions hereof pursuant to which such termination is made and the basis therefor described in reasonable detail.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111</w:t>
      </w:r>
    </w:p>
    <w:p>
      <w:pPr>
        <w:sectPr>
          <w:pgSz w:w="11900" w:h="16838" w:orient="portrait"/>
          <w:cols w:equalWidth="0" w:num="1">
            <w:col w:w="9019"/>
          </w:cols>
          <w:pgMar w:left="1440" w:top="231" w:right="1440" w:bottom="1440" w:gutter="0" w:footer="0" w:header="0"/>
        </w:sectPr>
      </w:pPr>
    </w:p>
    <w:bookmarkStart w:id="124" w:name="page125"/>
    <w:bookmarkEnd w:id="124"/>
    <w:p>
      <w:pPr>
        <w:ind w:left="640" w:right="67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10.2 </w:t>
      </w:r>
      <w:r>
        <w:rPr>
          <w:rFonts w:ascii="Times New Roman" w:cs="Times New Roman" w:eastAsia="Times New Roman" w:hAnsi="Times New Roman"/>
          <w:sz w:val="12"/>
          <w:szCs w:val="12"/>
          <w:u w:val="single" w:color="auto"/>
          <w:color w:val="auto"/>
        </w:rPr>
        <w:t>Effect of Termination</w:t>
      </w:r>
      <w:r>
        <w:rPr>
          <w:rFonts w:ascii="Times New Roman" w:cs="Times New Roman" w:eastAsia="Times New Roman" w:hAnsi="Times New Roman"/>
          <w:sz w:val="12"/>
          <w:szCs w:val="12"/>
          <w:color w:val="auto"/>
        </w:rPr>
        <w:t xml:space="preserve">. In the event of the termination of this Agreement as provided in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this Agreement shall be of no further force or effect; provided, however, that (a) this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XI</w:t>
      </w:r>
      <w:r>
        <w:rPr>
          <w:rFonts w:ascii="Times New Roman" w:cs="Times New Roman" w:eastAsia="Times New Roman" w:hAnsi="Times New Roman"/>
          <w:sz w:val="12"/>
          <w:szCs w:val="12"/>
          <w:color w:val="auto"/>
        </w:rPr>
        <w:t xml:space="preserve"> shall survive the termination of this Agreement and shall remain in full force and effect and (b) the termination of this Agreement and the provisions of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not relieve any Party of any liability for fraud or for any willful and material breach of any representation, warranty, covenant, obligation or other provision contained in this Agreement.</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10.3 </w:t>
      </w:r>
      <w:r>
        <w:rPr>
          <w:rFonts w:ascii="Times New Roman" w:cs="Times New Roman" w:eastAsia="Times New Roman" w:hAnsi="Times New Roman"/>
          <w:sz w:val="13"/>
          <w:szCs w:val="13"/>
          <w:u w:val="single" w:color="auto"/>
          <w:color w:val="auto"/>
        </w:rPr>
        <w:t>Expenses; Termination Fees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49" w:lineRule="auto"/>
        <w:tabs>
          <w:tab w:leader="none" w:pos="1121"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all fees and expenses incurred in connection with this Agreement and the Contemplated Transactions shall be paid by the Party incurring such expenses, whether or not the Contemplated Transactions are consummated; provided, however, that Galera and Obsidian shall share equally all fees and expenses incurred in relation to the printing and filing with the SEC of any filings with the SEC, including without limitation the Registration Statement (including any financial statements and exhibits) and any amendments or supplements thereto, and paid to a financial printer or the SEC with respect to filing and registration fees.</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75" w:lineRule="auto"/>
        <w:tabs>
          <w:tab w:leader="none" w:pos="1128"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this Agreement is terminated by Galera pursuant to </w:t>
      </w:r>
      <w:r>
        <w:rPr>
          <w:rFonts w:ascii="Times New Roman" w:cs="Times New Roman" w:eastAsia="Times New Roman" w:hAnsi="Times New Roman"/>
          <w:sz w:val="12"/>
          <w:szCs w:val="12"/>
          <w:u w:val="single" w:color="auto"/>
          <w:color w:val="auto"/>
        </w:rPr>
        <w:t>Section 10.1(i), Section 10.1(d)</w:t>
      </w:r>
      <w:r>
        <w:rPr>
          <w:rFonts w:ascii="Times New Roman" w:cs="Times New Roman" w:eastAsia="Times New Roman" w:hAnsi="Times New Roman"/>
          <w:sz w:val="12"/>
          <w:szCs w:val="12"/>
          <w:color w:val="auto"/>
        </w:rPr>
        <w:t xml:space="preserve"> or clause (ii) of </w:t>
      </w:r>
      <w:r>
        <w:rPr>
          <w:rFonts w:ascii="Times New Roman" w:cs="Times New Roman" w:eastAsia="Times New Roman" w:hAnsi="Times New Roman"/>
          <w:sz w:val="12"/>
          <w:szCs w:val="12"/>
          <w:u w:val="single" w:color="auto"/>
          <w:color w:val="auto"/>
        </w:rPr>
        <w:t>Section 10.1(g)</w:t>
      </w:r>
      <w:r>
        <w:rPr>
          <w:rFonts w:ascii="Times New Roman" w:cs="Times New Roman" w:eastAsia="Times New Roman" w:hAnsi="Times New Roman"/>
          <w:sz w:val="12"/>
          <w:szCs w:val="12"/>
          <w:color w:val="auto"/>
        </w:rPr>
        <w:t xml:space="preserve"> or by Obsidian pursuant to </w:t>
      </w:r>
      <w:r>
        <w:rPr>
          <w:rFonts w:ascii="Times New Roman" w:cs="Times New Roman" w:eastAsia="Times New Roman" w:hAnsi="Times New Roman"/>
          <w:sz w:val="12"/>
          <w:szCs w:val="12"/>
          <w:u w:val="single" w:color="auto"/>
          <w:color w:val="auto"/>
        </w:rPr>
        <w:t>Section 10.1(k)</w:t>
      </w:r>
      <w:r>
        <w:rPr>
          <w:rFonts w:ascii="Times New Roman" w:cs="Times New Roman" w:eastAsia="Times New Roman" w:hAnsi="Times New Roman"/>
          <w:sz w:val="12"/>
          <w:szCs w:val="12"/>
          <w:color w:val="auto"/>
        </w:rPr>
        <w:t xml:space="preserve">, then Obsidian shall, within two (2) Business Days of delivering notice of termination in accordance therewith, pay Galera a non-refundable fee in an amount equal to $1,000,000,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up to $250,000 in reasonable and documented out-of-pocket third party expenses incurred by Galera in connection with the Contemplated Transactions (the “</w:t>
      </w:r>
      <w:r>
        <w:rPr>
          <w:rFonts w:ascii="Times New Roman" w:cs="Times New Roman" w:eastAsia="Times New Roman" w:hAnsi="Times New Roman"/>
          <w:sz w:val="12"/>
          <w:szCs w:val="12"/>
          <w:b w:val="1"/>
          <w:bCs w:val="1"/>
          <w:color w:val="auto"/>
        </w:rPr>
        <w:t>Obsidian Termination Fee</w:t>
      </w:r>
      <w:r>
        <w:rPr>
          <w:rFonts w:ascii="Times New Roman" w:cs="Times New Roman" w:eastAsia="Times New Roman" w:hAnsi="Times New Roman"/>
          <w:sz w:val="12"/>
          <w:szCs w:val="12"/>
          <w:color w:val="auto"/>
        </w:rPr>
        <w:t>”) by wire transfer of immediately available funds to an account designated by Galera. The Obsidian Termination Fee is non-refundable and shall not be credited against any other payment.</w:t>
      </w:r>
    </w:p>
    <w:p>
      <w:pPr>
        <w:spacing w:after="0" w:line="119"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this Agreement is terminated by Obsidian pursuant to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xml:space="preserve"> or by Galera pursuant to </w:t>
      </w:r>
      <w:r>
        <w:rPr>
          <w:rFonts w:ascii="Times New Roman" w:cs="Times New Roman" w:eastAsia="Times New Roman" w:hAnsi="Times New Roman"/>
          <w:sz w:val="12"/>
          <w:szCs w:val="12"/>
          <w:u w:val="single" w:color="auto"/>
          <w:color w:val="auto"/>
        </w:rPr>
        <w:t>10.1(j)</w:t>
      </w:r>
      <w:r>
        <w:rPr>
          <w:rFonts w:ascii="Times New Roman" w:cs="Times New Roman" w:eastAsia="Times New Roman" w:hAnsi="Times New Roman"/>
          <w:sz w:val="12"/>
          <w:szCs w:val="12"/>
          <w:color w:val="auto"/>
        </w:rPr>
        <w:t>, then then Galera shall, within two</w:t>
      </w:r>
    </w:p>
    <w:p>
      <w:pPr>
        <w:spacing w:after="0" w:line="26" w:lineRule="exact"/>
        <w:rPr>
          <w:rFonts w:ascii="Times New Roman" w:cs="Times New Roman" w:eastAsia="Times New Roman" w:hAnsi="Times New Roman"/>
          <w:sz w:val="12"/>
          <w:szCs w:val="12"/>
          <w:color w:val="auto"/>
        </w:rPr>
      </w:pPr>
    </w:p>
    <w:p>
      <w:pPr>
        <w:ind w:left="640" w:right="739" w:hanging="3"/>
        <w:spacing w:after="0" w:line="243" w:lineRule="auto"/>
        <w:tabs>
          <w:tab w:leader="none" w:pos="819"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of delivering notice of termination in accordance therewith, pay Obsidian a non-refundable fee in an amount equal to $500,000,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up to $250,000 in reasonable and documented out-of-pocket third party expenses incurred by Obsidian in connection with the Contemplated Transactions (the “</w:t>
      </w:r>
      <w:r>
        <w:rPr>
          <w:rFonts w:ascii="Times New Roman" w:cs="Times New Roman" w:eastAsia="Times New Roman" w:hAnsi="Times New Roman"/>
          <w:sz w:val="13"/>
          <w:szCs w:val="13"/>
          <w:b w:val="1"/>
          <w:bCs w:val="1"/>
          <w:color w:val="auto"/>
        </w:rPr>
        <w:t>Galera Termination Fee</w:t>
      </w:r>
      <w:r>
        <w:rPr>
          <w:rFonts w:ascii="Times New Roman" w:cs="Times New Roman" w:eastAsia="Times New Roman" w:hAnsi="Times New Roman"/>
          <w:sz w:val="13"/>
          <w:szCs w:val="13"/>
          <w:color w:val="auto"/>
        </w:rPr>
        <w:t>” and, together with the Obsidian Termination Fee, the “</w:t>
      </w:r>
      <w:r>
        <w:rPr>
          <w:rFonts w:ascii="Times New Roman" w:cs="Times New Roman" w:eastAsia="Times New Roman" w:hAnsi="Times New Roman"/>
          <w:sz w:val="13"/>
          <w:szCs w:val="13"/>
          <w:b w:val="1"/>
          <w:bCs w:val="1"/>
          <w:color w:val="auto"/>
        </w:rPr>
        <w:t>Termination Fees</w:t>
      </w:r>
      <w:r>
        <w:rPr>
          <w:rFonts w:ascii="Times New Roman" w:cs="Times New Roman" w:eastAsia="Times New Roman" w:hAnsi="Times New Roman"/>
          <w:sz w:val="13"/>
          <w:szCs w:val="13"/>
          <w:color w:val="auto"/>
        </w:rPr>
        <w:t>”) by wire transfer</w:t>
      </w:r>
    </w:p>
    <w:p>
      <w:pPr>
        <w:ind w:left="640" w:right="83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immediately available funds to an account designated by Obsidian. The Galera Termination Fee is non-refundable and shall not be credited against any other payment.</w:t>
      </w:r>
    </w:p>
    <w:p>
      <w:pPr>
        <w:spacing w:after="0" w:line="135" w:lineRule="exact"/>
        <w:rPr>
          <w:rFonts w:ascii="Times New Roman" w:cs="Times New Roman" w:eastAsia="Times New Roman" w:hAnsi="Times New Roman"/>
          <w:sz w:val="13"/>
          <w:szCs w:val="13"/>
          <w:color w:val="auto"/>
        </w:rPr>
      </w:pPr>
    </w:p>
    <w:p>
      <w:pPr>
        <w:ind w:left="640" w:right="699" w:firstLine="307"/>
        <w:spacing w:after="0" w:line="247" w:lineRule="auto"/>
        <w:tabs>
          <w:tab w:leader="none" w:pos="1128"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either Party fails to pay when due the Termination Fee owed by it under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then (i) such Party shall further reimburse the other Party for any additional reasonable and documented out-of-pocket costs and expenses (including reasonable and documented fees and disbursements of counsel) incurred in connection with the collection of such overdue amount and the enforcement by such Party of its rights under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(ii) the defaulting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at large United States money center banks (as published in the Wall Street Journal or any successor thereto) in effect on the date such overdue amount was originally required to be paid.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112</w:t>
      </w:r>
    </w:p>
    <w:p>
      <w:pPr>
        <w:sectPr>
          <w:pgSz w:w="11900" w:h="16838" w:orient="portrait"/>
          <w:cols w:equalWidth="0" w:num="1">
            <w:col w:w="9019"/>
          </w:cols>
          <w:pgMar w:left="1440" w:top="231" w:right="1440" w:bottom="1440" w:gutter="0" w:footer="0" w:header="0"/>
        </w:sectPr>
      </w:pPr>
    </w:p>
    <w:bookmarkStart w:id="125" w:name="page126"/>
    <w:bookmarkEnd w:id="125"/>
    <w:p>
      <w:pPr>
        <w:ind w:left="640" w:right="699" w:firstLine="307"/>
        <w:spacing w:after="0" w:line="267" w:lineRule="auto"/>
        <w:tabs>
          <w:tab w:leader="none" w:pos="1121"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Parties agree that,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the payment of the Termination Fee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be the sole and exclusive remedy of a Party following a termination of this Agreement by the other Party, it being understood that in no event shall the Party required to pay the individual fees or damages payable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be required to pay on more than one occasion.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following the termination of this Agreement under the circumstances described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and the payment of the fees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(i) each Party shall have no further liability to the other Party in connection with or arising out of this Agreement or the termination thereof or the failure of the Contemplated Transactions to be consummated, (ii) no other Party or their respective Affiliates shall be entitled to bring or maintain any other claim, action or proceeding against the terminating Party or obtain any recovery, judgment or damages of any kind against the terminating Party (or any partner, member, stockholder, director, officer, employee, Subsidiary, affiliate, agent or other representative of the terminating Party) in connection with or arising out of this Agreement or the termination thereof or the failure of the Contemplated Transactions to be consummated and (iii) all other Parties and their respective Affiliates shall be precluded from any other remedy against the terminating Party and its Affiliates, at law or in equity or otherwise, in connection with or arising out of this Agreement or the termination thereof, any breach by the such Party giving rise to such termination or the failure of the Contemplated Transactions to be consummated.</w:t>
      </w:r>
    </w:p>
    <w:p>
      <w:pPr>
        <w:spacing w:after="0" w:line="129" w:lineRule="exact"/>
        <w:rPr>
          <w:rFonts w:ascii="Times New Roman" w:cs="Times New Roman" w:eastAsia="Times New Roman" w:hAnsi="Times New Roman"/>
          <w:sz w:val="12"/>
          <w:szCs w:val="12"/>
          <w:color w:val="auto"/>
        </w:rPr>
      </w:pPr>
    </w:p>
    <w:p>
      <w:pPr>
        <w:ind w:left="1100" w:hanging="153"/>
        <w:spacing w:after="0"/>
        <w:tabs>
          <w:tab w:leader="none" w:pos="110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the Parties acknowledges that (i) the agreements contained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are an integral part of the Contemplated Transactions,</w:t>
      </w:r>
    </w:p>
    <w:p>
      <w:pPr>
        <w:spacing w:after="0" w:line="26"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26"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Obsidian Termination Fee represents a good faith, fair estimate of the damages that Galera and its Affiliates would suffer upon termination of the Agreement, (iii) the Galera Termination Fee represents a good faith, fair estimate of the damages that Obsidian and its Affiliates would suffer upon termination of the Agreement, (iv) without these agreements, the Parties would not enter into this Agreement and (v) any amount payable pursuant to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is not a penalty, but rather is liquidated damages which shall not require Galera or Obsidian or any other Person to prove actual damages.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GENERAL PROVISIONS</w:t>
      </w:r>
    </w:p>
    <w:p>
      <w:pPr>
        <w:spacing w:after="0" w:line="141" w:lineRule="exact"/>
        <w:rPr>
          <w:sz w:val="20"/>
          <w:szCs w:val="20"/>
          <w:color w:val="auto"/>
        </w:rPr>
      </w:pPr>
    </w:p>
    <w:p>
      <w:pPr>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 xml:space="preserve">11.1 </w:t>
      </w:r>
      <w:r>
        <w:rPr>
          <w:rFonts w:ascii="Times New Roman" w:cs="Times New Roman" w:eastAsia="Times New Roman" w:hAnsi="Times New Roman"/>
          <w:sz w:val="12"/>
          <w:szCs w:val="12"/>
          <w:u w:val="single" w:color="auto"/>
          <w:color w:val="auto"/>
        </w:rPr>
        <w:t>Non-Survival of Representations and Warranties</w:t>
      </w:r>
      <w:r>
        <w:rPr>
          <w:rFonts w:ascii="Times New Roman" w:cs="Times New Roman" w:eastAsia="Times New Roman" w:hAnsi="Times New Roman"/>
          <w:sz w:val="12"/>
          <w:szCs w:val="12"/>
          <w:color w:val="auto"/>
        </w:rPr>
        <w:t xml:space="preserve">. The representations and warranties of Parent, Obsidian, Obsidian Merger Sub, Galera and Galera Merger Sub contained in this Agreement or any certificate or instrument delivered pursuant to this Agreement shall terminate at the Galera Effective Time, and only the covenants that by their terms survive the Galera Effective Time and this </w:t>
      </w:r>
      <w:r>
        <w:rPr>
          <w:rFonts w:ascii="Times New Roman" w:cs="Times New Roman" w:eastAsia="Times New Roman" w:hAnsi="Times New Roman"/>
          <w:sz w:val="12"/>
          <w:szCs w:val="12"/>
          <w:u w:val="single" w:color="auto"/>
          <w:color w:val="auto"/>
        </w:rPr>
        <w:t>Article XI</w:t>
      </w:r>
      <w:r>
        <w:rPr>
          <w:rFonts w:ascii="Times New Roman" w:cs="Times New Roman" w:eastAsia="Times New Roman" w:hAnsi="Times New Roman"/>
          <w:sz w:val="12"/>
          <w:szCs w:val="12"/>
          <w:color w:val="auto"/>
        </w:rPr>
        <w:t xml:space="preserve"> shall survive the Galera Effective Time.</w:t>
      </w:r>
    </w:p>
    <w:p>
      <w:pPr>
        <w:spacing w:after="0" w:line="113"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11.2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xml:space="preserve">. This Agreement may be amended with the approval of the respective Obsidian Board, the Galera Board, and the boards of directors of Parent, Obsidian Merger Sub, and Galera Merger Sub at any time (whether before or after obtaining the Required Obsidian Stockholder Approval and the Required Galera Stockholder Approval);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after any such approval of this Agreement by a Party’s stockholders or members (including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113</w:t>
      </w:r>
    </w:p>
    <w:p>
      <w:pPr>
        <w:sectPr>
          <w:pgSz w:w="11900" w:h="16838" w:orient="portrait"/>
          <w:cols w:equalWidth="0" w:num="1">
            <w:col w:w="9019"/>
          </w:cols>
          <w:pgMar w:left="1440" w:top="231" w:right="1440" w:bottom="1440" w:gutter="0" w:footer="0" w:header="0"/>
        </w:sectPr>
      </w:pPr>
    </w:p>
    <w:bookmarkStart w:id="126" w:name="page127"/>
    <w:bookmarkEnd w:id="126"/>
    <w:p>
      <w:pPr>
        <w:jc w:val="both"/>
        <w:ind w:left="640" w:right="71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Required Obsidian Stockholder Approval and the Required Galera Stockholder Approval), no amendment shall be made which by Law requires further approval of such stockholders or members without the further approval of such stockholders or members. Prior to the Closing, this Agreement may not be amended except by an instrument in writing signed on behalf of each of Obsidian, Parent, Obsidian Merger Sub, Galera and Galera Merger Sub.</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11.3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307"/>
        <w:spacing w:after="0" w:line="249" w:lineRule="auto"/>
        <w:tabs>
          <w:tab w:leader="none" w:pos="1121"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 hereof applicable to a Party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86" w:lineRule="auto"/>
        <w:tabs>
          <w:tab w:leader="none" w:pos="1128"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13"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11.4 </w:t>
      </w:r>
      <w:r>
        <w:rPr>
          <w:rFonts w:ascii="Times New Roman" w:cs="Times New Roman" w:eastAsia="Times New Roman" w:hAnsi="Times New Roman"/>
          <w:sz w:val="13"/>
          <w:szCs w:val="13"/>
          <w:u w:val="single" w:color="auto"/>
          <w:color w:val="auto"/>
        </w:rPr>
        <w:t>Entire Agreement; Counterparts; Exchanges by Electronic Transmission or Facsimile</w:t>
      </w:r>
      <w:r>
        <w:rPr>
          <w:rFonts w:ascii="Times New Roman" w:cs="Times New Roman" w:eastAsia="Times New Roman" w:hAnsi="Times New Roman"/>
          <w:sz w:val="13"/>
          <w:szCs w:val="13"/>
          <w:color w:val="auto"/>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36" w:lineRule="exact"/>
        <w:rPr>
          <w:sz w:val="20"/>
          <w:szCs w:val="20"/>
          <w:color w:val="auto"/>
        </w:rPr>
      </w:pPr>
    </w:p>
    <w:p>
      <w:pPr>
        <w:ind w:left="640" w:right="839" w:firstLine="309"/>
        <w:spacing w:after="0" w:line="271" w:lineRule="auto"/>
        <w:rPr>
          <w:sz w:val="20"/>
          <w:szCs w:val="20"/>
          <w:color w:val="auto"/>
        </w:rPr>
      </w:pPr>
      <w:r>
        <w:rPr>
          <w:rFonts w:ascii="Times New Roman" w:cs="Times New Roman" w:eastAsia="Times New Roman" w:hAnsi="Times New Roman"/>
          <w:sz w:val="12"/>
          <w:szCs w:val="12"/>
          <w:color w:val="auto"/>
        </w:rPr>
        <w:t xml:space="preserve">11.5 </w:t>
      </w:r>
      <w:r>
        <w:rPr>
          <w:rFonts w:ascii="Times New Roman" w:cs="Times New Roman" w:eastAsia="Times New Roman" w:hAnsi="Times New Roman"/>
          <w:sz w:val="12"/>
          <w:szCs w:val="12"/>
          <w:u w:val="single" w:color="auto"/>
          <w:color w:val="auto"/>
        </w:rPr>
        <w:t>Applicable Law; Jurisdiction</w:t>
      </w:r>
      <w:r>
        <w:rPr>
          <w:rFonts w:ascii="Times New Roman" w:cs="Times New Roman" w:eastAsia="Times New Roman" w:hAnsi="Times New Roman"/>
          <w:sz w:val="12"/>
          <w:szCs w:val="12"/>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irrevocably and unconditionally</w:t>
      </w:r>
    </w:p>
    <w:p>
      <w:pPr>
        <w:ind w:left="640" w:right="719" w:hanging="3"/>
        <w:spacing w:after="0" w:line="268" w:lineRule="auto"/>
        <w:tabs>
          <w:tab w:leader="none" w:pos="812"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2"/>
          <w:szCs w:val="12"/>
          <w:u w:val="single" w:color="auto"/>
          <w:color w:val="auto"/>
        </w:rPr>
        <w:t>Section 11.5</w:t>
      </w:r>
      <w:r>
        <w:rPr>
          <w:rFonts w:ascii="Times New Roman" w:cs="Times New Roman" w:eastAsia="Times New Roman" w:hAnsi="Times New Roman"/>
          <w:sz w:val="12"/>
          <w:szCs w:val="12"/>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2"/>
          <w:szCs w:val="12"/>
          <w:u w:val="single" w:color="auto"/>
          <w:color w:val="auto"/>
        </w:rPr>
        <w:t>Section 11.7</w:t>
      </w:r>
      <w:r>
        <w:rPr>
          <w:rFonts w:ascii="Times New Roman" w:cs="Times New Roman" w:eastAsia="Times New Roman" w:hAnsi="Times New Roman"/>
          <w:sz w:val="12"/>
          <w:szCs w:val="12"/>
          <w:color w:val="auto"/>
        </w:rPr>
        <w:t xml:space="preserve"> of this Agreement and (f) irrevocably and unconditionally waives the right to trial by jury.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114</w:t>
      </w:r>
    </w:p>
    <w:p>
      <w:pPr>
        <w:sectPr>
          <w:pgSz w:w="11900" w:h="16838" w:orient="portrait"/>
          <w:cols w:equalWidth="0" w:num="1">
            <w:col w:w="9019"/>
          </w:cols>
          <w:pgMar w:left="1440" w:top="231" w:right="1440" w:bottom="1440" w:gutter="0" w:footer="0" w:header="0"/>
        </w:sectPr>
      </w:pPr>
    </w:p>
    <w:bookmarkStart w:id="127" w:name="page128"/>
    <w:bookmarkEnd w:id="127"/>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11.6 </w:t>
      </w:r>
      <w:r>
        <w:rPr>
          <w:rFonts w:ascii="Times New Roman" w:cs="Times New Roman" w:eastAsia="Times New Roman" w:hAnsi="Times New Roman"/>
          <w:sz w:val="13"/>
          <w:szCs w:val="13"/>
          <w:u w:val="single" w:color="auto"/>
          <w:color w:val="auto"/>
        </w:rPr>
        <w:t>Assignability</w:t>
      </w:r>
      <w:r>
        <w:rPr>
          <w:rFonts w:ascii="Times New Roman" w:cs="Times New Roman" w:eastAsia="Times New Roman" w:hAnsi="Times New Roman"/>
          <w:sz w:val="13"/>
          <w:szCs w:val="13"/>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Party’s prior written consent shall be void and of no effect.</w:t>
      </w:r>
    </w:p>
    <w:p>
      <w:pPr>
        <w:spacing w:after="0" w:line="133" w:lineRule="exact"/>
        <w:rPr>
          <w:sz w:val="20"/>
          <w:szCs w:val="20"/>
          <w:color w:val="auto"/>
        </w:rPr>
      </w:pPr>
    </w:p>
    <w:p>
      <w:pPr>
        <w:ind w:left="640" w:right="719" w:firstLine="309"/>
        <w:spacing w:after="0" w:line="274" w:lineRule="auto"/>
        <w:rPr>
          <w:sz w:val="20"/>
          <w:szCs w:val="20"/>
          <w:color w:val="auto"/>
        </w:rPr>
      </w:pPr>
      <w:r>
        <w:rPr>
          <w:rFonts w:ascii="Times New Roman" w:cs="Times New Roman" w:eastAsia="Times New Roman" w:hAnsi="Times New Roman"/>
          <w:sz w:val="12"/>
          <w:szCs w:val="12"/>
          <w:color w:val="auto"/>
        </w:rPr>
        <w:t xml:space="preserve">11.7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w:t>
      </w:r>
    </w:p>
    <w:p>
      <w:pPr>
        <w:spacing w:after="0" w:line="1" w:lineRule="exact"/>
        <w:rPr>
          <w:sz w:val="20"/>
          <w:szCs w:val="20"/>
          <w:color w:val="auto"/>
        </w:rPr>
      </w:pPr>
    </w:p>
    <w:p>
      <w:pPr>
        <w:ind w:left="640" w:right="699" w:hanging="3"/>
        <w:spacing w:after="0" w:line="245" w:lineRule="auto"/>
        <w:tabs>
          <w:tab w:leader="none" w:pos="819"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Galera, Parent, Obsidian Merger Sub or Galera Merger Sub:</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101 Lindenwood Drive, Suite 225</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Malvern, Pennsylvania 19355</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Mel Sorensen; Joel Sussman</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787 Seventh Avenue</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New York, New York 10019</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Asher Rubin; John Butler</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arubin@sidley.com; john.butler@sidley.com</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Obsidian:</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1030 Massachusetts Avenue</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Cambridge, MA 02138</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Chief Financial Officer</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Goodwin Procter LLP</w:t>
      </w:r>
    </w:p>
    <w:p>
      <w:pPr>
        <w:spacing w:after="0" w:line="15" w:lineRule="exact"/>
        <w:rPr>
          <w:sz w:val="20"/>
          <w:szCs w:val="20"/>
          <w:color w:val="auto"/>
        </w:rPr>
      </w:pPr>
    </w:p>
    <w:p>
      <w:pPr>
        <w:ind w:left="940" w:right="6979" w:firstLine="7"/>
        <w:spacing w:after="0" w:line="263" w:lineRule="auto"/>
        <w:tabs>
          <w:tab w:leader="none" w:pos="1161"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Northern Avenue Boston, MA 02210</w:t>
      </w: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Attention: William Collins; Gabriela Morales-Rivera; Tevia K. Pollard</w:t>
      </w:r>
    </w:p>
    <w:p>
      <w:pPr>
        <w:spacing w:after="0" w:line="2" w:lineRule="exact"/>
        <w:rPr>
          <w:rFonts w:ascii="Times New Roman" w:cs="Times New Roman" w:eastAsia="Times New Roman" w:hAnsi="Times New Roman"/>
          <w:sz w:val="12"/>
          <w:szCs w:val="12"/>
          <w:color w:val="auto"/>
        </w:rPr>
      </w:pPr>
    </w:p>
    <w:p>
      <w:pPr>
        <w:ind w:left="940" w:right="43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Email: WCollins@goodwinlaw.com; GMoralesRivera@goodwinlaw.com; TPollard@goodwinlaw.com</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115</w:t>
      </w:r>
    </w:p>
    <w:p>
      <w:pPr>
        <w:sectPr>
          <w:pgSz w:w="11900" w:h="16838" w:orient="portrait"/>
          <w:cols w:equalWidth="0" w:num="1">
            <w:col w:w="9019"/>
          </w:cols>
          <w:pgMar w:left="1440" w:top="231" w:right="1440" w:bottom="1440" w:gutter="0" w:footer="0" w:header="0"/>
        </w:sectPr>
      </w:pPr>
    </w:p>
    <w:bookmarkStart w:id="128" w:name="page129"/>
    <w:bookmarkEnd w:id="128"/>
    <w:p>
      <w:pPr>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11.8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11.9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7"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11.10 </w:t>
      </w:r>
      <w:r>
        <w:rPr>
          <w:rFonts w:ascii="Times New Roman" w:cs="Times New Roman" w:eastAsia="Times New Roman" w:hAnsi="Times New Roman"/>
          <w:sz w:val="13"/>
          <w:szCs w:val="13"/>
          <w:u w:val="single" w:color="auto"/>
          <w:color w:val="auto"/>
        </w:rPr>
        <w:t>Other Remedies; 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41"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11.11 </w:t>
      </w: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any right, benefit or remedy of any nature whatsoever under or by reason of this Agreement.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116</w:t>
      </w:r>
    </w:p>
    <w:p>
      <w:pPr>
        <w:sectPr>
          <w:pgSz w:w="11900" w:h="16838" w:orient="portrait"/>
          <w:cols w:equalWidth="0" w:num="1">
            <w:col w:w="9019"/>
          </w:cols>
          <w:pgMar w:left="1440" w:top="231" w:right="1440" w:bottom="1440" w:gutter="0" w:footer="0" w:header="0"/>
        </w:sectPr>
      </w:pPr>
    </w:p>
    <w:bookmarkStart w:id="129" w:name="page130"/>
    <w:bookmarkEnd w:id="129"/>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color w:val="auto"/>
        </w:rPr>
        <w:t>, 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0"/>
          <w:szCs w:val="10"/>
          <w:b w:val="1"/>
          <w:bCs w:val="1"/>
          <w:color w:val="auto"/>
        </w:rPr>
        <w:t>BSIDIAN</w:t>
      </w:r>
      <w:r>
        <w:rPr>
          <w:rFonts w:ascii="Times New Roman" w:cs="Times New Roman" w:eastAsia="Times New Roman" w:hAnsi="Times New Roman"/>
          <w:sz w:val="13"/>
          <w:szCs w:val="13"/>
          <w:b w:val="1"/>
          <w:bCs w:val="1"/>
          <w:color w:val="auto"/>
        </w:rPr>
        <w:t xml:space="preserve"> 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w:t>
      </w:r>
      <w:r>
        <w:rPr>
          <w:rFonts w:ascii="Times New Roman" w:cs="Times New Roman" w:eastAsia="Times New Roman" w:hAnsi="Times New Roman"/>
          <w:sz w:val="10"/>
          <w:szCs w:val="10"/>
          <w:b w:val="1"/>
          <w:bCs w:val="1"/>
          <w:color w:val="auto"/>
        </w:rPr>
        <w:t>ALERA</w:t>
      </w:r>
      <w:r>
        <w:rPr>
          <w:rFonts w:ascii="Times New Roman" w:cs="Times New Roman" w:eastAsia="Times New Roman" w:hAnsi="Times New Roman"/>
          <w:sz w:val="13"/>
          <w:szCs w:val="13"/>
          <w:b w:val="1"/>
          <w:bCs w:val="1"/>
          <w:color w:val="auto"/>
        </w:rPr>
        <w:t xml:space="preserve"> 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w:t>
      </w:r>
      <w:r>
        <w:rPr>
          <w:rFonts w:ascii="Times New Roman" w:cs="Times New Roman" w:eastAsia="Times New Roman" w:hAnsi="Times New Roman"/>
          <w:sz w:val="10"/>
          <w:szCs w:val="10"/>
          <w:b w:val="1"/>
          <w:bCs w:val="1"/>
          <w:color w:val="auto"/>
        </w:rPr>
        <w:t>AZELLE</w:t>
      </w:r>
      <w:r>
        <w:rPr>
          <w:rFonts w:ascii="Times New Roman" w:cs="Times New Roman" w:eastAsia="Times New Roman" w:hAnsi="Times New Roman"/>
          <w:sz w:val="13"/>
          <w:szCs w:val="13"/>
          <w:b w:val="1"/>
          <w:bCs w:val="1"/>
          <w:color w:val="auto"/>
        </w:rPr>
        <w:t xml:space="preserve"> P</w:t>
      </w:r>
      <w:r>
        <w:rPr>
          <w:rFonts w:ascii="Times New Roman" w:cs="Times New Roman" w:eastAsia="Times New Roman" w:hAnsi="Times New Roman"/>
          <w:sz w:val="10"/>
          <w:szCs w:val="10"/>
          <w:b w:val="1"/>
          <w:bCs w:val="1"/>
          <w:color w:val="auto"/>
        </w:rPr>
        <w:t>ARENT</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0"/>
          <w:szCs w:val="10"/>
          <w:b w:val="1"/>
          <w:bCs w:val="1"/>
          <w:color w:val="auto"/>
        </w:rPr>
        <w:t>BSIDIAN</w:t>
      </w:r>
      <w:r>
        <w:rPr>
          <w:rFonts w:ascii="Times New Roman" w:cs="Times New Roman" w:eastAsia="Times New Roman" w:hAnsi="Times New Roman"/>
          <w:sz w:val="13"/>
          <w:szCs w:val="13"/>
          <w:b w:val="1"/>
          <w:bCs w:val="1"/>
          <w:color w:val="auto"/>
        </w:rPr>
        <w:t xml:space="preserve"> 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0"/>
          <w:szCs w:val="10"/>
          <w:b w:val="1"/>
          <w:bCs w:val="1"/>
          <w:color w:val="auto"/>
        </w:rPr>
        <w:t>UB</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w:t>
      </w:r>
      <w:r>
        <w:rPr>
          <w:rFonts w:ascii="Times New Roman" w:cs="Times New Roman" w:eastAsia="Times New Roman" w:hAnsi="Times New Roman"/>
          <w:sz w:val="10"/>
          <w:szCs w:val="10"/>
          <w:b w:val="1"/>
          <w:bCs w:val="1"/>
          <w:color w:val="auto"/>
        </w:rPr>
        <w:t>ALERA</w:t>
      </w:r>
      <w:r>
        <w:rPr>
          <w:rFonts w:ascii="Times New Roman" w:cs="Times New Roman" w:eastAsia="Times New Roman" w:hAnsi="Times New Roman"/>
          <w:sz w:val="13"/>
          <w:szCs w:val="13"/>
          <w:b w:val="1"/>
          <w:bCs w:val="1"/>
          <w:color w:val="auto"/>
        </w:rPr>
        <w:t xml:space="preserve"> 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3"/>
          <w:szCs w:val="13"/>
          <w:b w:val="1"/>
          <w:bCs w:val="1"/>
          <w:color w:val="auto"/>
        </w:rPr>
        <w:t xml:space="preserve"> S</w:t>
      </w:r>
      <w:r>
        <w:rPr>
          <w:rFonts w:ascii="Times New Roman" w:cs="Times New Roman" w:eastAsia="Times New Roman" w:hAnsi="Times New Roman"/>
          <w:sz w:val="10"/>
          <w:szCs w:val="10"/>
          <w:b w:val="1"/>
          <w:bCs w:val="1"/>
          <w:color w:val="auto"/>
        </w:rPr>
        <w:t>UBSIDIARY</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117</w:t>
      </w:r>
    </w:p>
    <w:p>
      <w:pPr>
        <w:sectPr>
          <w:pgSz w:w="11900" w:h="16838" w:orient="portrait"/>
          <w:cols w:equalWidth="0" w:num="1">
            <w:col w:w="9019"/>
          </w:cols>
          <w:pgMar w:left="1440" w:top="229"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Galera Stockholder Support Agreement</w:t>
      </w:r>
    </w:p>
    <w:p>
      <w:pPr>
        <w:sectPr>
          <w:pgSz w:w="11900" w:h="16838" w:orient="portrait"/>
          <w:cols w:equalWidth="0" w:num="1">
            <w:col w:w="9019"/>
          </w:cols>
          <w:pgMar w:left="1440" w:top="229"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Obsidian Stockholder Support Agreement</w:t>
      </w:r>
    </w:p>
    <w:p>
      <w:pPr>
        <w:sectPr>
          <w:pgSz w:w="11900" w:h="16838" w:orient="portrait"/>
          <w:cols w:equalWidth="0" w:num="1">
            <w:col w:w="9019"/>
          </w:cols>
          <w:pgMar w:left="1440" w:top="229"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Obsidian Lock-Up Agreement</w:t>
      </w:r>
    </w:p>
    <w:p>
      <w:pPr>
        <w:sectPr>
          <w:pgSz w:w="11900" w:h="16838" w:orient="portrait"/>
          <w:cols w:equalWidth="0" w:num="1">
            <w:col w:w="9019"/>
          </w:cols>
          <w:pgMar w:left="1440" w:top="229"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Obsidian Stockholder Written Consent</w:t>
      </w:r>
    </w:p>
    <w:p>
      <w:pPr>
        <w:sectPr>
          <w:pgSz w:w="11900" w:h="16838" w:orient="portrait"/>
          <w:cols w:equalWidth="0" w:num="1">
            <w:col w:w="9019"/>
          </w:cols>
          <w:pgMar w:left="1440" w:top="229"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Galera Stockholder Written Consent</w:t>
      </w:r>
    </w:p>
    <w:p>
      <w:pPr>
        <w:sectPr>
          <w:pgSz w:w="11900" w:h="16838" w:orient="portrait"/>
          <w:cols w:equalWidth="0" w:num="1">
            <w:col w:w="9019"/>
          </w:cols>
          <w:pgMar w:left="1440" w:top="229" w:right="144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F</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Securities Purchase Agreement</w:t>
      </w:r>
    </w:p>
    <w:p>
      <w:pPr>
        <w:sectPr>
          <w:pgSz w:w="11900" w:h="16838" w:orient="portrait"/>
          <w:cols w:equalWidth="0" w:num="1">
            <w:col w:w="9019"/>
          </w:cols>
          <w:pgMar w:left="1440" w:top="229" w:right="144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G</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CVR Agreement</w:t>
      </w:r>
    </w:p>
    <w:p>
      <w:pPr>
        <w:sectPr>
          <w:pgSz w:w="11900" w:h="16838" w:orient="portrait"/>
          <w:cols w:equalWidth="0" w:num="1">
            <w:col w:w="9019"/>
          </w:cols>
          <w:pgMar w:left="1440" w:top="229" w:right="1440" w:bottom="1440" w:gutter="0" w:footer="0" w:header="0"/>
        </w:sectPr>
      </w:pPr>
    </w:p>
    <w:bookmarkStart w:id="137" w:name="page138"/>
    <w:bookmarkEnd w:id="13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STOCKHOLDER SUPPORT AGREEMENT</w:t>
      </w:r>
    </w:p>
    <w:p>
      <w:pPr>
        <w:spacing w:after="0" w:line="154" w:lineRule="exact"/>
        <w:rPr>
          <w:sz w:val="20"/>
          <w:szCs w:val="20"/>
          <w:color w:val="auto"/>
        </w:rPr>
      </w:pPr>
    </w:p>
    <w:p>
      <w:pPr>
        <w:ind w:left="640" w:right="959" w:firstLine="309"/>
        <w:spacing w:after="0" w:line="257" w:lineRule="auto"/>
        <w:rPr>
          <w:sz w:val="20"/>
          <w:szCs w:val="20"/>
          <w:color w:val="auto"/>
        </w:rPr>
      </w:pPr>
      <w:r>
        <w:rPr>
          <w:rFonts w:ascii="Times New Roman" w:cs="Times New Roman" w:eastAsia="Times New Roman" w:hAnsi="Times New Roman"/>
          <w:sz w:val="13"/>
          <w:szCs w:val="13"/>
          <w:color w:val="auto"/>
        </w:rPr>
        <w:t>This Support Agreement (this “</w:t>
      </w:r>
      <w:r>
        <w:rPr>
          <w:rFonts w:ascii="Times New Roman" w:cs="Times New Roman" w:eastAsia="Times New Roman" w:hAnsi="Times New Roman"/>
          <w:sz w:val="13"/>
          <w:szCs w:val="13"/>
          <w:b w:val="1"/>
          <w:bCs w:val="1"/>
          <w:color w:val="auto"/>
        </w:rPr>
        <w:t>Support Agreement</w:t>
      </w:r>
      <w:r>
        <w:rPr>
          <w:rFonts w:ascii="Times New Roman" w:cs="Times New Roman" w:eastAsia="Times New Roman" w:hAnsi="Times New Roman"/>
          <w:sz w:val="13"/>
          <w:szCs w:val="13"/>
          <w:color w:val="auto"/>
        </w:rPr>
        <w:t>”) is being delivered on [•], 2026 by the person or persons named on the signature pages hereto (collectively, the “</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as the holder of Galera Shares (as defined below) of Galera, a Delaware corporation (“</w:t>
      </w:r>
      <w:r>
        <w:rPr>
          <w:rFonts w:ascii="Times New Roman" w:cs="Times New Roman" w:eastAsia="Times New Roman" w:hAnsi="Times New Roman"/>
          <w:sz w:val="13"/>
          <w:szCs w:val="13"/>
          <w:b w:val="1"/>
          <w:bCs w:val="1"/>
          <w:color w:val="auto"/>
        </w:rPr>
        <w:t>Galera</w:t>
      </w:r>
      <w:r>
        <w:rPr>
          <w:rFonts w:ascii="Times New Roman" w:cs="Times New Roman" w:eastAsia="Times New Roman" w:hAnsi="Times New Roman"/>
          <w:sz w:val="13"/>
          <w:szCs w:val="13"/>
          <w:color w:val="auto"/>
        </w:rPr>
        <w:t>”), to Obsidian Therapeutics, Inc., a Delaware corporation (“</w:t>
      </w:r>
      <w:r>
        <w:rPr>
          <w:rFonts w:ascii="Times New Roman" w:cs="Times New Roman" w:eastAsia="Times New Roman" w:hAnsi="Times New Roman"/>
          <w:sz w:val="13"/>
          <w:szCs w:val="13"/>
          <w:b w:val="1"/>
          <w:bCs w:val="1"/>
          <w:color w:val="auto"/>
        </w:rPr>
        <w:t>Obsidian</w:t>
      </w:r>
      <w:r>
        <w:rPr>
          <w:rFonts w:ascii="Times New Roman" w:cs="Times New Roman" w:eastAsia="Times New Roman" w:hAnsi="Times New Roman"/>
          <w:sz w:val="13"/>
          <w:szCs w:val="13"/>
          <w:color w:val="auto"/>
        </w:rPr>
        <w:t>”) and to Galera.</w:t>
      </w:r>
    </w:p>
    <w:p>
      <w:pPr>
        <w:spacing w:after="0" w:line="126"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Reference is made to that certain Agreement and Plan of Merger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as amended from time to time, dated as of April 14, 2026, by and among Obsidian, Galera, Gazelle Parent,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Obsidian MergerSub, Inc., a Delaware corporation (“</w:t>
      </w:r>
      <w:r>
        <w:rPr>
          <w:rFonts w:ascii="Times New Roman" w:cs="Times New Roman" w:eastAsia="Times New Roman" w:hAnsi="Times New Roman"/>
          <w:sz w:val="13"/>
          <w:szCs w:val="13"/>
          <w:b w:val="1"/>
          <w:bCs w:val="1"/>
          <w:color w:val="auto"/>
        </w:rPr>
        <w:t>Obsidian Merger Sub</w:t>
      </w:r>
      <w:r>
        <w:rPr>
          <w:rFonts w:ascii="Times New Roman" w:cs="Times New Roman" w:eastAsia="Times New Roman" w:hAnsi="Times New Roman"/>
          <w:sz w:val="13"/>
          <w:szCs w:val="13"/>
          <w:color w:val="auto"/>
        </w:rPr>
        <w:t>”), and Gazelle Merger Subsidiary, Inc., a Delaware corporation (“</w:t>
      </w:r>
      <w:r>
        <w:rPr>
          <w:rFonts w:ascii="Times New Roman" w:cs="Times New Roman" w:eastAsia="Times New Roman" w:hAnsi="Times New Roman"/>
          <w:sz w:val="13"/>
          <w:szCs w:val="13"/>
          <w:b w:val="1"/>
          <w:bCs w:val="1"/>
          <w:color w:val="auto"/>
        </w:rPr>
        <w:t>Galera Merger Sub</w:t>
      </w:r>
      <w:r>
        <w:rPr>
          <w:rFonts w:ascii="Times New Roman" w:cs="Times New Roman" w:eastAsia="Times New Roman" w:hAnsi="Times New Roman"/>
          <w:sz w:val="13"/>
          <w:szCs w:val="13"/>
          <w:color w:val="auto"/>
        </w:rPr>
        <w:t>”). All capitalized terms that are used but not defined herein shall have the respective meanings ascribed to them in the Merger Agreement.</w:t>
      </w:r>
    </w:p>
    <w:p>
      <w:pPr>
        <w:spacing w:after="0" w:line="132"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As of the date hereof, the Holder is the record (as defined in Rule 12g5-1 promulgated under the Exchange Act) or beneficial owner (as defined in Rule 13d-3 promulgated under the Exchange Act) of the number of shares of Galera Common Stock, Galera Preferred Stock, Galera Options and Galera Warrants and other securities convertible into, or exercisable or exchangeable for, shares of Galera Common Stock, as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hereto (collectively, the “</w:t>
      </w:r>
      <w:r>
        <w:rPr>
          <w:rFonts w:ascii="Times New Roman" w:cs="Times New Roman" w:eastAsia="Times New Roman" w:hAnsi="Times New Roman"/>
          <w:sz w:val="13"/>
          <w:szCs w:val="13"/>
          <w:b w:val="1"/>
          <w:bCs w:val="1"/>
          <w:color w:val="auto"/>
        </w:rPr>
        <w:t>Galera Shares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As a condition and inducement to Obsidian’s and Galera’s willingness to enter into the Merger Agreement, the Holder has agreed to enter into this Support Agreement.</w:t>
      </w:r>
    </w:p>
    <w:p>
      <w:pPr>
        <w:spacing w:after="0" w:line="122" w:lineRule="exact"/>
        <w:rPr>
          <w:sz w:val="20"/>
          <w:szCs w:val="20"/>
          <w:color w:val="auto"/>
        </w:rPr>
      </w:pPr>
    </w:p>
    <w:p>
      <w:pPr>
        <w:ind w:left="640" w:right="659" w:firstLine="307"/>
        <w:spacing w:after="0" w:line="248" w:lineRule="auto"/>
        <w:tabs>
          <w:tab w:leader="none" w:pos="1076"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Vote</w:t>
      </w:r>
      <w:r>
        <w:rPr>
          <w:rFonts w:ascii="Times New Roman" w:cs="Times New Roman" w:eastAsia="Times New Roman" w:hAnsi="Times New Roman"/>
          <w:sz w:val="13"/>
          <w:szCs w:val="13"/>
          <w:color w:val="auto"/>
        </w:rPr>
        <w:t>. From the date hereof until the Termination Date (as defined below), the Holder agrees to vote (or cause to be voted), or deliver (or cause to be delivered) a written consent with respect to, and shall not enter into any agreement or otherwise give instructions to any person to vote in any manner inconsistent with this Support Agreement, at every meeting of the Galera shareholders (or any class or series of stockholders, as applicable) convened in connection with the matters related to the Merger Agreement, and at every adjournment or postponement thereof, and in connection with any action proposed to be taken by written consent of the stockholders of Galera, all Galera Shares it beneficially owns and is entitled to vote at such meeting:</w:t>
      </w:r>
    </w:p>
    <w:p>
      <w:pPr>
        <w:spacing w:after="0" w:line="68" w:lineRule="exact"/>
        <w:rPr>
          <w:sz w:val="20"/>
          <w:szCs w:val="20"/>
          <w:color w:val="auto"/>
        </w:rPr>
      </w:pPr>
    </w:p>
    <w:p>
      <w:pPr>
        <w:ind w:left="1320" w:right="719" w:hanging="379"/>
        <w:spacing w:after="0" w:line="279" w:lineRule="auto"/>
        <w:tabs>
          <w:tab w:leader="none" w:pos="132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favor of (i) the adoption and approval of the Merger Agreement and the terms thereof, including the Contemplated Transactions and the other actions contemplated by the Merger Agreement, (ii) the Galera Merger, (iii) all of the matters set forth in the Galera Stockholder Written Consent, and (iv) each of the items recommended by the Galera Board set forth in Galera’s preliminary proxy statement filed with the SEC on April 10, 2026 in connection with the Annual Meeting of Stockholders of Galera on May 8, 2026; and</w:t>
      </w:r>
    </w:p>
    <w:p>
      <w:pPr>
        <w:spacing w:after="0" w:line="50" w:lineRule="exact"/>
        <w:rPr>
          <w:rFonts w:ascii="Times New Roman" w:cs="Times New Roman" w:eastAsia="Times New Roman" w:hAnsi="Times New Roman"/>
          <w:sz w:val="12"/>
          <w:szCs w:val="12"/>
          <w:color w:val="auto"/>
        </w:rPr>
      </w:pPr>
    </w:p>
    <w:p>
      <w:pPr>
        <w:ind w:left="1320" w:right="699" w:hanging="379"/>
        <w:spacing w:after="0" w:line="251" w:lineRule="auto"/>
        <w:tabs>
          <w:tab w:leader="none" w:pos="132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Galera in the Merger Agreement (clauses (a) and (b) collectively, the “</w:t>
      </w:r>
      <w:r>
        <w:rPr>
          <w:rFonts w:ascii="Times New Roman" w:cs="Times New Roman" w:eastAsia="Times New Roman" w:hAnsi="Times New Roman"/>
          <w:sz w:val="13"/>
          <w:szCs w:val="13"/>
          <w:b w:val="1"/>
          <w:bCs w:val="1"/>
          <w:color w:val="auto"/>
        </w:rPr>
        <w:t>Supported Matters</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38" w:name="page139"/>
    <w:bookmarkEnd w:id="138"/>
    <w:p>
      <w:pPr>
        <w:ind w:left="640" w:right="71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in this Support Agreement shall require the Holder to vote in any manner, or deliver a written consent, with respect to any amendment to the Merger Agreement or the taking of any action that would reasonably be expected to result in the amendment, modification or waiver of a provision of the Merger Agreement in a manner that (1) decreases the Galera Exchange Ratio or changes the form or reduces the amount of the consideration payable to shareholders of Galera in the Contemplated Transactions; (2) increases the Obsidian Exchange Ratio or changes the form or increases the amount of the consideration payable to shareholders of Obsidian in the Contemplated Transactions, (3) is material and adverse to the Holder, or</w:t>
      </w:r>
    </w:p>
    <w:p>
      <w:pPr>
        <w:spacing w:after="0" w:line="1" w:lineRule="exact"/>
        <w:rPr>
          <w:sz w:val="20"/>
          <w:szCs w:val="20"/>
          <w:color w:val="auto"/>
        </w:rPr>
      </w:pPr>
    </w:p>
    <w:p>
      <w:pPr>
        <w:jc w:val="both"/>
        <w:ind w:left="640" w:right="679" w:hanging="3"/>
        <w:spacing w:after="0" w:line="244" w:lineRule="auto"/>
        <w:tabs>
          <w:tab w:leader="none" w:pos="819"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imposes any restrictions or any additional conditions on the consummation of the Contemplated Transactions. For the avoidance of doubt, other than with respect to the Supported Matters, the Holder does not have any obligation to vote, or deliver a written consent with respect to, the Galera Shares in any particular manner and, with respect to such other matters (other than the Supported Matters), the Holder shall be entitled to vote, or deliver a written consent with respect to, the Galera Shares in its sole discretion.</w:t>
      </w:r>
    </w:p>
    <w:p>
      <w:pPr>
        <w:spacing w:after="0" w:line="137" w:lineRule="exact"/>
        <w:rPr>
          <w:sz w:val="20"/>
          <w:szCs w:val="20"/>
          <w:color w:val="auto"/>
        </w:rPr>
      </w:pPr>
    </w:p>
    <w:p>
      <w:pPr>
        <w:ind w:left="640" w:right="739" w:firstLine="309"/>
        <w:spacing w:after="0" w:line="274" w:lineRule="auto"/>
        <w:rPr>
          <w:sz w:val="20"/>
          <w:szCs w:val="20"/>
          <w:color w:val="auto"/>
        </w:rPr>
      </w:pPr>
      <w:r>
        <w:rPr>
          <w:rFonts w:ascii="Times New Roman" w:cs="Times New Roman" w:eastAsia="Times New Roman" w:hAnsi="Times New Roman"/>
          <w:sz w:val="12"/>
          <w:szCs w:val="12"/>
          <w:color w:val="auto"/>
        </w:rPr>
        <w:t>From the date hereof until the Termination Date, in the event of (i) a stock split, stock dividend or distribution, or any change in the capital stock of Galera by reason of any split-up, reverse stock split, recapitalization, combination, reclassification, reincorporation, exchange of shares or the like or</w:t>
      </w:r>
    </w:p>
    <w:p>
      <w:pPr>
        <w:spacing w:after="0" w:line="1" w:lineRule="exact"/>
        <w:rPr>
          <w:sz w:val="20"/>
          <w:szCs w:val="20"/>
          <w:color w:val="auto"/>
        </w:rPr>
      </w:pPr>
    </w:p>
    <w:p>
      <w:pPr>
        <w:ind w:left="640" w:right="659" w:hanging="3"/>
        <w:spacing w:after="0" w:line="268" w:lineRule="auto"/>
        <w:tabs>
          <w:tab w:leader="none" w:pos="826"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acquisition of sole or shared voting power by the Holder of additional shares of capital stock or other equity securities of Galera, whether by the exercise of Galera Options, conversion of Galera Preferred Stock or otherwise, including, without limitation, by gift or succession, then the term “Galera Shares” shall be deemed to refer to and include such shares as well as all such stock dividends and distributions and any securities into which or for which any or all of such shares may be changed or exchanged or which are received in such transaction, and such Galera Shares shall be subject to the terms and conditions of this Support Agreement to the same extent as if they constituted Galera Shares as of the date of the execution of this Support Agreement, without the need for any further action by the parties (including, for the avoidance of doubt, with respect to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640" w:right="779" w:firstLine="307"/>
        <w:spacing w:after="0" w:line="249" w:lineRule="auto"/>
        <w:tabs>
          <w:tab w:leader="none" w:pos="1076"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Delivery of Written Consent</w:t>
      </w:r>
      <w:r>
        <w:rPr>
          <w:rFonts w:ascii="Times New Roman" w:cs="Times New Roman" w:eastAsia="Times New Roman" w:hAnsi="Times New Roman"/>
          <w:sz w:val="13"/>
          <w:szCs w:val="13"/>
          <w:color w:val="auto"/>
        </w:rPr>
        <w:t>. Promptly after the Registration Statement is declared effective under the Securities Act, the Holder agrees to irrevocably execute and deliver, or cause to be delivered, to Obsidian and Galera its duly executed counterpart to the Galera Stockholder Written Consent. The Galera Stockholder Written Consent shall be given in accordance with such procedures relating thereto, including pursuant to the Delaware General Corporation Law and each of Galera’s organizational documents so as to ensure that it is duly counted for purposes of recording the results of the Galera Stockholder Written Consent and otherwise effective for all purposes, including under the DGCL.</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66" w:lineRule="auto"/>
        <w:tabs>
          <w:tab w:leader="none" w:pos="1076"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Transfer</w:t>
      </w:r>
      <w:r>
        <w:rPr>
          <w:rFonts w:ascii="Times New Roman" w:cs="Times New Roman" w:eastAsia="Times New Roman" w:hAnsi="Times New Roman"/>
          <w:sz w:val="12"/>
          <w:szCs w:val="12"/>
          <w:color w:val="auto"/>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xml:space="preserve">”) or enter into any contract, option or other arrangement or understanding with respect to any Transfer of, any of the Galera Shares. Any Transfer or purported Transfer of Galera Shares in breach or violation of this Support Agreement shall be void and of no force or effect. Notwithstanding the foregoing, the restrictions set forth in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w:t>
      </w:r>
    </w:p>
    <w:p>
      <w:pPr>
        <w:spacing w:after="0" w:line="3" w:lineRule="exact"/>
        <w:rPr>
          <w:rFonts w:ascii="Times New Roman" w:cs="Times New Roman" w:eastAsia="Times New Roman" w:hAnsi="Times New Roman"/>
          <w:sz w:val="12"/>
          <w:szCs w:val="12"/>
          <w:color w:val="auto"/>
        </w:rPr>
      </w:pPr>
    </w:p>
    <w:p>
      <w:pPr>
        <w:ind w:left="800" w:hanging="163"/>
        <w:spacing w:after="0"/>
        <w:tabs>
          <w:tab w:leader="none" w:pos="800"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by operation of law or pursuant to a court order, such as a qualified domestic relations order, divorce decree or separation agreement;</w:t>
      </w:r>
    </w:p>
    <w:p>
      <w:pPr>
        <w:spacing w:after="0" w:line="2" w:lineRule="exact"/>
        <w:rPr>
          <w:rFonts w:ascii="Times New Roman" w:cs="Times New Roman" w:eastAsia="Times New Roman" w:hAnsi="Times New Roman"/>
          <w:sz w:val="13"/>
          <w:szCs w:val="13"/>
          <w:color w:val="auto"/>
        </w:rPr>
      </w:pPr>
    </w:p>
    <w:p>
      <w:pPr>
        <w:ind w:left="640" w:right="739" w:hanging="3"/>
        <w:spacing w:after="0" w:line="246" w:lineRule="auto"/>
        <w:tabs>
          <w:tab w:leader="none" w:pos="817"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to a partnership, limited liability company or other entity of which the Holder and/or the immediate family of the Holder are the legal and beneficial owner of all of the outstanding equity securities or similar interests; (e) Transfers to a trustor or beneficiary of the trust,</w:t>
      </w:r>
    </w:p>
    <w:p>
      <w:pPr>
        <w:sectPr>
          <w:pgSz w:w="11900" w:h="16838" w:orient="portrait"/>
          <w:cols w:equalWidth="0" w:num="1">
            <w:col w:w="9019"/>
          </w:cols>
          <w:pgMar w:left="1440" w:top="231" w:right="1440" w:bottom="1440" w:gutter="0" w:footer="0" w:header="0"/>
        </w:sectPr>
      </w:pPr>
    </w:p>
    <w:bookmarkStart w:id="139" w:name="page140"/>
    <w:bookmarkEnd w:id="139"/>
    <w:p>
      <w:pPr>
        <w:ind w:left="640" w:right="6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Galera Options or Galera Warrants, including in order to (i) pay the exercise price thereof or (ii) satisfy taxes applicable thereto; (h) the conversion of the Galera Preferred Stock into Galera Common Stock; and (i) Transfers to any Affiliate, equityholder, partner or member of such Holder;</w:t>
      </w:r>
    </w:p>
    <w:p>
      <w:pPr>
        <w:spacing w:after="0" w:line="114" w:lineRule="exact"/>
        <w:rPr>
          <w:sz w:val="20"/>
          <w:szCs w:val="20"/>
          <w:color w:val="auto"/>
        </w:rPr>
      </w:pPr>
    </w:p>
    <w:p>
      <w:pPr>
        <w:ind w:left="640" w:right="739"/>
        <w:spacing w:after="0" w:line="252" w:lineRule="auto"/>
        <w:rPr>
          <w:sz w:val="20"/>
          <w:szCs w:val="20"/>
          <w:color w:val="auto"/>
        </w:rPr>
      </w:pP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to the fullest extent permitted by applicable Law, for any permitted Transfers pursuant clauses (a) to (i) (other than clause (g)),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the Galera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the restrictions in this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and shall have the same rights and benefits under this Support Agreement.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 </w:t>
      </w:r>
      <w:r>
        <w:rPr>
          <w:rFonts w:ascii="Times New Roman" w:cs="Times New Roman" w:eastAsia="Times New Roman" w:hAnsi="Times New Roman"/>
          <w:sz w:val="13"/>
          <w:szCs w:val="13"/>
          <w:u w:val="single" w:color="auto"/>
          <w:color w:val="auto"/>
        </w:rPr>
        <w:t>Representations and Warranties of the Holder</w:t>
      </w:r>
      <w:r>
        <w:rPr>
          <w:rFonts w:ascii="Times New Roman" w:cs="Times New Roman" w:eastAsia="Times New Roman" w:hAnsi="Times New Roman"/>
          <w:sz w:val="13"/>
          <w:szCs w:val="13"/>
          <w:color w:val="auto"/>
        </w:rPr>
        <w:t>. The Holder hereby represents and warrants to Obsidian and Galera as follows:</w:t>
      </w:r>
    </w:p>
    <w:p>
      <w:pPr>
        <w:spacing w:after="0" w:line="78" w:lineRule="exact"/>
        <w:rPr>
          <w:sz w:val="20"/>
          <w:szCs w:val="20"/>
          <w:color w:val="auto"/>
        </w:rPr>
      </w:pPr>
    </w:p>
    <w:p>
      <w:pPr>
        <w:ind w:left="640" w:right="719" w:firstLine="307"/>
        <w:spacing w:after="0" w:line="267" w:lineRule="auto"/>
        <w:tabs>
          <w:tab w:leader="none" w:pos="1121"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has full power and authority (or legal capacity, if the Holder is a natural person) to execute and deliver this Support Agreement and to perform the Holder’s obligations hereunder;</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28"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Support Agreement has been duly executed and delivered by the Holder, and, assuming this Support Agreement constitutes a valid and binding obligation of Obsidian and Galera,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Obsidian and Galera is entering into the Merger Agreement in reliance upon the Holder’s execution and delivery of this Support Agreement;</w:t>
      </w:r>
    </w:p>
    <w:p>
      <w:pPr>
        <w:spacing w:after="0" w:line="134"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121"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Holder is the record or beneficial owner of the Galera Shares and does not beneficially own any securities of Galera other than the shares of Galera Common Stock and rights to purchase or otherwise acquire shares of Galera Common Stock set forth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19" w:firstLine="307"/>
        <w:spacing w:after="0" w:line="255" w:lineRule="auto"/>
        <w:tabs>
          <w:tab w:leader="none" w:pos="1128"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5" w:lineRule="auto"/>
        <w:tabs>
          <w:tab w:leader="none" w:pos="1121"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48" w:lineRule="auto"/>
        <w:tabs>
          <w:tab w:leader="none" w:pos="1107"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Holder does not have any agreement, arrangement, or understanding, whether written or oral, formal or informal, with any other holder of Galera Common Stock to act together for the purpose of acquiring, holding, voting, or disposing of shares of Galera Common Stock, nor does the Holder otherwise act in concert with any other holder of Galera Common Stock in connection with the exercise of any rights or powers arising from the ownership of Galera Common Stock and (ii) without limiting the generality of the foregoing, the Holder is not a member of a “group” (as such term is used in Section 13(d)(3) of the Exchange Act) with any other holder of any equity securities of Galera for the purpose of acquiring, holding, voting, or disposing of equity securities of Galera; and</w:t>
      </w:r>
    </w:p>
    <w:p>
      <w:pPr>
        <w:sectPr>
          <w:pgSz w:w="11900" w:h="16838" w:orient="portrait"/>
          <w:cols w:equalWidth="0" w:num="1">
            <w:col w:w="9019"/>
          </w:cols>
          <w:pgMar w:left="1440" w:top="231" w:right="1440" w:bottom="1440" w:gutter="0" w:footer="0" w:header="0"/>
        </w:sectPr>
      </w:pPr>
    </w:p>
    <w:bookmarkStart w:id="140" w:name="page141"/>
    <w:bookmarkEnd w:id="140"/>
    <w:p>
      <w:pPr>
        <w:ind w:left="640" w:right="679" w:firstLine="307"/>
        <w:spacing w:after="0" w:line="246" w:lineRule="auto"/>
        <w:tabs>
          <w:tab w:leader="none" w:pos="1128"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Holder has had the opportunity to review the Merger Agreement, including the provisions relating to the payment and allocation of the consideration to be paid to the stockholders of Galera, and this Agreement with counsel of the Holder’s own choosing. The Holder has had an opportunity to review with its own tax advisors the tax consequences of the Mergers and the Contemplated Transactions. The Holder understands that it must rely solely on its advisors and not on any statements or representations made by Obsidian or Galera, or any of their respective agents or representatives. The Holder understands that the Holder (and not Obsidian, Galera or Parent) shall be responsible for the Holder’s tax liability that may arise as a result of the Galera Merger or the transactions contemplated by the Merger Agreement. The Holder understands and acknowledges that Obsidian, Galera, Parent, Obsidian Merger Sub and Galera Merger Sub are entering into the Merger Agreement in reliance upon the Holder’s execution, delivery and performance of this Agreement.</w:t>
      </w:r>
    </w:p>
    <w:p>
      <w:pPr>
        <w:spacing w:after="0" w:line="139" w:lineRule="exact"/>
        <w:rPr>
          <w:sz w:val="20"/>
          <w:szCs w:val="20"/>
          <w:color w:val="auto"/>
        </w:rPr>
      </w:pPr>
    </w:p>
    <w:p>
      <w:pPr>
        <w:ind w:left="640" w:right="679" w:firstLine="307"/>
        <w:spacing w:after="0" w:line="247" w:lineRule="auto"/>
        <w:tabs>
          <w:tab w:leader="none" w:pos="1076" w:val="left"/>
        </w:tabs>
        <w:numPr>
          <w:ilvl w:val="2"/>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Impact on Directors’ or Officers’ Duties</w:t>
      </w:r>
      <w:r>
        <w:rPr>
          <w:rFonts w:ascii="Times New Roman" w:cs="Times New Roman" w:eastAsia="Times New Roman" w:hAnsi="Times New Roman"/>
          <w:sz w:val="13"/>
          <w:szCs w:val="13"/>
          <w:color w:val="auto"/>
        </w:rPr>
        <w:t>. Notwithstanding any provision of this Support Agreement to the contrary, the parties acknowledge that (a) the Holder is entering into this Support Agreement solely in the Holder’s capacity as a record or beneficial owner of Galera Common Stock and not in such Holder’s capacity as a director, officer or employee of Galera or in the Holder’s capacity as a trustee or fiduciary of any Galera Equity Plans and (b) nothing in this Support Agreement is intended to limit or restrict the Holder, or a designee of the Holder, who is a director or officer of Galera from taking any action or inaction or voting in favor in the Holder’s sole discretion on any matter in his or her capacity as a director of Galera or in the Holder’s capacity as a trustee or fiduciary of any Galera Equity Plans (if applicable), or fulfilling the obligations of such office, and none of such actions in such capacity shall be deemed to constitute a breach of this Support Agreement.</w:t>
      </w:r>
    </w:p>
    <w:p>
      <w:pPr>
        <w:spacing w:after="0" w:line="136" w:lineRule="exact"/>
        <w:rPr>
          <w:rFonts w:ascii="Times New Roman" w:cs="Times New Roman" w:eastAsia="Times New Roman" w:hAnsi="Times New Roman"/>
          <w:sz w:val="13"/>
          <w:szCs w:val="13"/>
          <w:color w:val="auto"/>
        </w:rPr>
      </w:pPr>
    </w:p>
    <w:p>
      <w:pPr>
        <w:ind w:left="640" w:right="719" w:firstLine="307"/>
        <w:spacing w:after="0" w:line="274" w:lineRule="auto"/>
        <w:tabs>
          <w:tab w:leader="none" w:pos="1076" w:val="left"/>
        </w:tabs>
        <w:numPr>
          <w:ilvl w:val="2"/>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w:t>
      </w:r>
    </w:p>
    <w:p>
      <w:pPr>
        <w:spacing w:after="0" w:line="1" w:lineRule="exact"/>
        <w:rPr>
          <w:rFonts w:ascii="Times New Roman" w:cs="Times New Roman" w:eastAsia="Times New Roman" w:hAnsi="Times New Roman"/>
          <w:sz w:val="12"/>
          <w:szCs w:val="12"/>
          <w:color w:val="auto"/>
        </w:rPr>
      </w:pPr>
    </w:p>
    <w:p>
      <w:pPr>
        <w:ind w:left="640" w:right="699" w:hanging="3"/>
        <w:spacing w:after="0" w:line="245" w:lineRule="auto"/>
        <w:tabs>
          <w:tab w:leader="none" w:pos="819"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54"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Obsidian,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1030 Massachusetts Avenue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Cambridge, MA 02138</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Chief Financial Officer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Goodwin Procter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100 Northern Avenue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Boston, MA 02210 Attention: William Collins; Gabriela Morales-Rivera; Tevia K. Pollard</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WCollins@goodwinlaw.com; GMoralesRivera@goodwinlaw.com;</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TPollard@goodwinlaw.com</w:t>
      </w:r>
    </w:p>
    <w:p>
      <w:pPr>
        <w:sectPr>
          <w:pgSz w:w="11900" w:h="16838" w:orient="portrait"/>
          <w:cols w:equalWidth="0" w:num="1">
            <w:col w:w="9019"/>
          </w:cols>
          <w:pgMar w:left="1440" w:top="231" w:right="1440" w:bottom="1440" w:gutter="0" w:footer="0" w:header="0"/>
        </w:sectPr>
      </w:pPr>
    </w:p>
    <w:bookmarkStart w:id="141" w:name="page142"/>
    <w:bookmarkEnd w:id="14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 if to Galera,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101 Lindenwood Drive, Suite 225</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Malvern, PA 19355</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Mel Sorensen; Joel Sussman</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787 Seventh Ave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New York, NY 10019</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Asher Rubin, John Butler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Phone: (410) 559-2881, (212) 839-8513</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arubin@sidley.com, john.butler@sidley.com</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 if to the Holder, at the e-mail address on the signature page hereto.</w:t>
      </w:r>
    </w:p>
    <w:p>
      <w:pPr>
        <w:spacing w:after="0" w:line="154" w:lineRule="exact"/>
        <w:rPr>
          <w:sz w:val="20"/>
          <w:szCs w:val="20"/>
          <w:color w:val="auto"/>
        </w:rPr>
      </w:pPr>
    </w:p>
    <w:p>
      <w:pPr>
        <w:ind w:left="640" w:right="699" w:firstLine="307"/>
        <w:spacing w:after="0" w:line="274" w:lineRule="auto"/>
        <w:tabs>
          <w:tab w:leader="none" w:pos="1076"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Support Agreement shall automatically terminate upon the earliest to occur of (a) such date and time as the Merger Agreement shall have been validly terminated, (b) such date and time as there is any amendment of any term or provision of the Merger Agreement that</w:t>
      </w:r>
    </w:p>
    <w:p>
      <w:pPr>
        <w:spacing w:after="0" w:line="1" w:lineRule="exact"/>
        <w:rPr>
          <w:rFonts w:ascii="Times New Roman" w:cs="Times New Roman" w:eastAsia="Times New Roman" w:hAnsi="Times New Roman"/>
          <w:sz w:val="12"/>
          <w:szCs w:val="12"/>
          <w:color w:val="auto"/>
        </w:rPr>
      </w:pPr>
    </w:p>
    <w:p>
      <w:pPr>
        <w:ind w:left="640" w:right="779" w:hanging="3"/>
        <w:spacing w:after="0" w:line="244" w:lineRule="auto"/>
        <w:tabs>
          <w:tab w:leader="none" w:pos="791"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decreases the Galera Exchange Ratio or changes the form or reduces the amount of the consideration payable to shareholders of Galera in the Contemplated Transactions or (ii) increases the Obsidian Exchange Ratio or changes the form or increases the amount of the consideration payable to shareholders of Obsidian in the Contemplated Transactions, (c) the Outside Date, unless the Outside Date is extended for an additional ninety (90) day period as set forth in the Merger Agreement (but without taking into account any extension thereof agreed by the parties following the date of this Support Agreement), (d) the Galera Effective Time and (e) such date and time as a written agreement executed by the parties hereto to terminate this Support Agreement is effective (such date, the “</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859" w:firstLine="307"/>
        <w:spacing w:after="0" w:line="251" w:lineRule="auto"/>
        <w:tabs>
          <w:tab w:leader="none" w:pos="1076"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Stop Transfer Instructions</w:t>
      </w:r>
      <w:r>
        <w:rPr>
          <w:rFonts w:ascii="Times New Roman" w:cs="Times New Roman" w:eastAsia="Times New Roman" w:hAnsi="Times New Roman"/>
          <w:sz w:val="13"/>
          <w:szCs w:val="13"/>
          <w:color w:val="auto"/>
        </w:rPr>
        <w:t>. At all times commencing with the execution and delivery of this Support Agreement and continuing until the Termination Date, in furtherance of this Support Agreement, the Holder hereby authorizes Galera or its counsel to notify Galera’s transfer agent that there is a stop transfer order with respect to all of the Galera Shares (and that this Support Agreement places limits on the voting and transfer of such Galera Shares).</w:t>
      </w:r>
    </w:p>
    <w:p>
      <w:pPr>
        <w:spacing w:after="0" w:line="13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Irrevocable Proxy</w:t>
      </w:r>
      <w:r>
        <w:rPr>
          <w:rFonts w:ascii="Times New Roman" w:cs="Times New Roman" w:eastAsia="Times New Roman" w:hAnsi="Times New Roman"/>
          <w:sz w:val="13"/>
          <w:szCs w:val="13"/>
          <w:color w:val="auto"/>
        </w:rPr>
        <w:t>. By execution of this Agreement, the Holder does hereby appoint Galera and any of its designees with full power of</w:t>
      </w:r>
    </w:p>
    <w:p>
      <w:pPr>
        <w:spacing w:after="0" w:line="15" w:lineRule="exact"/>
        <w:rPr>
          <w:rFonts w:ascii="Times New Roman" w:cs="Times New Roman" w:eastAsia="Times New Roman" w:hAnsi="Times New Roman"/>
          <w:sz w:val="13"/>
          <w:szCs w:val="13"/>
          <w:color w:val="auto"/>
        </w:rPr>
      </w:pPr>
    </w:p>
    <w:p>
      <w:pPr>
        <w:ind w:left="640" w:right="679"/>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 xml:space="preserve">substitution and resubstitution, as the Holder’s true and lawful attorney and irrevocable proxy, to the fullest extent of the Holder’s rights with respect to the Galera Shares, to vote and exercise all voting and related rights, including the right to sign the Holder’s name (solely in its capacity as a stockholder) to any stockholder consent, if the Holder fails to vote his, her or its Galera Shares, or otherwise fails to perform or comply with such Stockholder’s obligations under this Agreement, solely with respect to the matters set forth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hereof by 5:00 p.m. (Eastern Time) on the day immediately preceding the meeting date (or date upon which written consents are requested to be submitted), provided the Holder has received information</w:t>
      </w:r>
    </w:p>
    <w:p>
      <w:pPr>
        <w:sectPr>
          <w:pgSz w:w="11900" w:h="16838" w:orient="portrait"/>
          <w:cols w:equalWidth="0" w:num="1">
            <w:col w:w="9019"/>
          </w:cols>
          <w:pgMar w:left="1440" w:top="231" w:right="1440" w:bottom="1440" w:gutter="0" w:footer="0" w:header="0"/>
        </w:sectPr>
      </w:pPr>
    </w:p>
    <w:bookmarkStart w:id="142" w:name="page143"/>
    <w:bookmarkEnd w:id="142"/>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regarding the meeting or request for written consent at least five (5) Business Days before such shareholder meeting or any consent solicitation or other vote taken of Galera’s stockholders. The Holder intends this proxy to be irrevocable and coupled with an interest hereunder until the Termination Date, hereby revokes (or agrees to cause to be revoked) any proxy previously granted by the Holder with respect to the Galera Shares and represents that none of such previously-granted proxies are irrevocable. The Holder hereby affirms that the proxy set forth in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is given in connection with, and granted in consideration of, and as an inducement to Obsidian, Galera, Parent, Obsidian Merger Sub and Galera Merger Sub to enter into the Merger Agreement and that such proxy is given to secure the obligations of the Holder under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Galera Shares with respect to the matters set forth in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 xml:space="preserve"> until after the Termination Date. With respect to any Galera Shares that are owned beneficially by the Holder but are not held of record by the Holder (other than shares beneficially owned by the Holder that are held in the name of a bank, broker or nominee), the Holder shall take all action necessary to cause the record holder of such Galera Shares to grant the irrevocable proxy and take all other actions provided for in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with respect to such Galera Shares. Notwithstanding anything contained herein to the contrary, this irrevocable proxy shall automatically terminate upon the Termination Date.</w:t>
      </w:r>
    </w:p>
    <w:p>
      <w:pPr>
        <w:spacing w:after="0" w:line="139" w:lineRule="exact"/>
        <w:rPr>
          <w:sz w:val="20"/>
          <w:szCs w:val="20"/>
          <w:color w:val="auto"/>
        </w:rPr>
      </w:pPr>
    </w:p>
    <w:p>
      <w:pPr>
        <w:ind w:left="640" w:right="719" w:firstLine="307"/>
        <w:spacing w:after="0" w:line="248" w:lineRule="auto"/>
        <w:tabs>
          <w:tab w:leader="none" w:pos="1139"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Galera Board Adverse Recommendation Change</w:t>
      </w:r>
      <w:r>
        <w:rPr>
          <w:rFonts w:ascii="Times New Roman" w:cs="Times New Roman" w:eastAsia="Times New Roman" w:hAnsi="Times New Roman"/>
          <w:sz w:val="13"/>
          <w:szCs w:val="13"/>
          <w:color w:val="auto"/>
        </w:rPr>
        <w:t>. In the event of a Galera Board Adverse Recommendation Change made in compliance with the terms of the Merger Agreement, then the aggregate number of Galera Shares hereunder shall be reduced (with such reduction applying to each Holder, subject to a similar voting agreement, on a pro rata basis in accordance with each Holder’s relative Galera Shares and rounded up to the nearest whole Galera Share) without any action by Galera or the Holders such that the number of Galera Shares held, collectively, by all Holders, subject to a similar voting agreement, shall represent in the aggregate that number of shares (after such reduction) equal to twenty-five percent (25%) of the outstanding shares of Galera Common Stock.</w:t>
      </w:r>
    </w:p>
    <w:p>
      <w:pPr>
        <w:spacing w:after="0" w:line="134" w:lineRule="exact"/>
        <w:rPr>
          <w:rFonts w:ascii="Times New Roman" w:cs="Times New Roman" w:eastAsia="Times New Roman" w:hAnsi="Times New Roman"/>
          <w:sz w:val="13"/>
          <w:szCs w:val="13"/>
          <w:color w:val="auto"/>
        </w:rPr>
      </w:pPr>
    </w:p>
    <w:p>
      <w:pPr>
        <w:ind w:left="640" w:right="1079" w:firstLine="307"/>
        <w:spacing w:after="0" w:line="267" w:lineRule="auto"/>
        <w:tabs>
          <w:tab w:leader="none" w:pos="1134"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Appraisal Rights</w:t>
      </w:r>
      <w:r>
        <w:rPr>
          <w:rFonts w:ascii="Times New Roman" w:cs="Times New Roman" w:eastAsia="Times New Roman" w:hAnsi="Times New Roman"/>
          <w:sz w:val="13"/>
          <w:szCs w:val="13"/>
          <w:color w:val="auto"/>
        </w:rPr>
        <w:t>. The Holder hereby waives, and agrees not to exercise or assert, any appraisal rights under applicable Law, including Section 262 of Delaware Law, in connection with the Galera Merger.</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39"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Legal Actions</w:t>
      </w:r>
      <w:r>
        <w:rPr>
          <w:rFonts w:ascii="Times New Roman" w:cs="Times New Roman" w:eastAsia="Times New Roman" w:hAnsi="Times New Roman"/>
          <w:sz w:val="13"/>
          <w:szCs w:val="13"/>
          <w:color w:val="auto"/>
        </w:rPr>
        <w:t>. The Holder will not in its capacity as a stockholder of Galera bring, commence, institute, maintain, prosecute or voluntarily aid any Legal Proceeding which (i) challenges the validity or seeks to 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Galera Board, constitutes a breach of any fiduciary duty of the Galera Board or any member thereof.</w:t>
      </w:r>
    </w:p>
    <w:p>
      <w:pPr>
        <w:spacing w:after="0" w:line="134"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39"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Support Agreement constitutes the entire agreement, and supersedes all prior agreements and understanding, both written and oral, among the parties hereto with respect to the subject matter hereof and is fully binding on the parties hereto.</w:t>
      </w:r>
    </w:p>
    <w:p>
      <w:pPr>
        <w:sectPr>
          <w:pgSz w:w="11900" w:h="16838" w:orient="portrait"/>
          <w:cols w:equalWidth="0" w:num="1">
            <w:col w:w="9019"/>
          </w:cols>
          <w:pgMar w:left="1440" w:top="231" w:right="1440" w:bottom="1440" w:gutter="0" w:footer="0" w:header="0"/>
        </w:sectPr>
      </w:pPr>
    </w:p>
    <w:bookmarkStart w:id="143" w:name="page144"/>
    <w:bookmarkEnd w:id="143"/>
    <w:p>
      <w:pPr>
        <w:ind w:left="640" w:right="659" w:firstLine="307"/>
        <w:spacing w:after="0" w:line="246" w:lineRule="auto"/>
        <w:tabs>
          <w:tab w:leader="none" w:pos="113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Counterparts</w:t>
      </w:r>
      <w:r>
        <w:rPr>
          <w:rFonts w:ascii="Times New Roman" w:cs="Times New Roman" w:eastAsia="Times New Roman" w:hAnsi="Times New Roman"/>
          <w:sz w:val="13"/>
          <w:szCs w:val="13"/>
          <w:color w:val="auto"/>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fax or .pdf, .tif, .gif, .jpg or similar attachment to electronic mail (any such delivery, an “</w:t>
      </w:r>
      <w:r>
        <w:rPr>
          <w:rFonts w:ascii="Times New Roman" w:cs="Times New Roman" w:eastAsia="Times New Roman" w:hAnsi="Times New Roman"/>
          <w:sz w:val="13"/>
          <w:szCs w:val="13"/>
          <w:b w:val="1"/>
          <w:bCs w:val="1"/>
          <w:color w:val="auto"/>
        </w:rPr>
        <w:t>Electronic Delivery</w:t>
      </w:r>
      <w:r>
        <w:rPr>
          <w:rFonts w:ascii="Times New Roman" w:cs="Times New Roman" w:eastAsia="Times New Roman" w:hAnsi="Times New Roman"/>
          <w:sz w:val="13"/>
          <w:szCs w:val="13"/>
          <w:color w:val="auto"/>
        </w:rPr>
        <w:t>”),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38" w:lineRule="exact"/>
        <w:rPr>
          <w:rFonts w:ascii="Times New Roman" w:cs="Times New Roman" w:eastAsia="Times New Roman" w:hAnsi="Times New Roman"/>
          <w:sz w:val="13"/>
          <w:szCs w:val="13"/>
          <w:color w:val="auto"/>
        </w:rPr>
      </w:pPr>
    </w:p>
    <w:p>
      <w:pPr>
        <w:jc w:val="both"/>
        <w:ind w:left="640" w:right="719" w:firstLine="307"/>
        <w:spacing w:after="0" w:line="251" w:lineRule="auto"/>
        <w:tabs>
          <w:tab w:leader="none" w:pos="113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Neither this Support Agreement nor any of the rights, interests or obligations under this Support Agreement shall be assigned, in whole or in part, by operation of law or otherwise by any of the parties without the prior written consent of the other parties. Any purported assignment without such consent shall be void. Subject to the preceding sentences, the terms of this Support Agreement shall be binding upon and shall inure to the benefit of each of the parties hereto and their respective successors and assigns.</w:t>
      </w:r>
    </w:p>
    <w:p>
      <w:pPr>
        <w:spacing w:after="0" w:line="132"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This Support Agreement may not be amended or modified except in writing signed by each of the parties hereto.</w:t>
      </w:r>
    </w:p>
    <w:p>
      <w:pPr>
        <w:spacing w:after="0" w:line="153"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3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Jurisdiction; Waiver of Jury Trial</w:t>
      </w:r>
      <w:r>
        <w:rPr>
          <w:rFonts w:ascii="Times New Roman" w:cs="Times New Roman" w:eastAsia="Times New Roman" w:hAnsi="Times New Roman"/>
          <w:sz w:val="13"/>
          <w:szCs w:val="13"/>
          <w:color w:val="auto"/>
        </w:rPr>
        <w:t>.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3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3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All fees, costs and expenses incurred in connection with this Support Agreement and the transactions contemplated hereby shall be paid by the party hereto incurring such fees, costs and expenses.</w:t>
      </w:r>
    </w:p>
    <w:p>
      <w:pPr>
        <w:sectPr>
          <w:pgSz w:w="11900" w:h="16838" w:orient="portrait"/>
          <w:cols w:equalWidth="0" w:num="1">
            <w:col w:w="9019"/>
          </w:cols>
          <w:pgMar w:left="1440" w:top="231" w:right="1440" w:bottom="1440" w:gutter="0" w:footer="0" w:header="0"/>
        </w:sectPr>
      </w:pPr>
    </w:p>
    <w:bookmarkStart w:id="144" w:name="page145"/>
    <w:bookmarkEnd w:id="144"/>
    <w:p>
      <w:pPr>
        <w:ind w:left="640" w:right="679" w:firstLine="307"/>
        <w:spacing w:after="0" w:line="246" w:lineRule="auto"/>
        <w:tabs>
          <w:tab w:leader="none" w:pos="1139"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Non-Recourse</w:t>
      </w:r>
      <w:r>
        <w:rPr>
          <w:rFonts w:ascii="Times New Roman" w:cs="Times New Roman" w:eastAsia="Times New Roman" w:hAnsi="Times New Roman"/>
          <w:sz w:val="13"/>
          <w:szCs w:val="13"/>
          <w:color w:val="auto"/>
        </w:rPr>
        <w:t>.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Obsidian or Galera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remainder of the page is intentionally left blank.]</w:t>
      </w:r>
    </w:p>
    <w:p>
      <w:pPr>
        <w:sectPr>
          <w:pgSz w:w="11900" w:h="16838" w:orient="portrait"/>
          <w:cols w:equalWidth="0" w:num="1">
            <w:col w:w="9019"/>
          </w:cols>
          <w:pgMar w:left="1440" w:top="231" w:right="1440" w:bottom="1440" w:gutter="0" w:footer="0" w:header="0"/>
        </w:sectPr>
      </w:pPr>
    </w:p>
    <w:bookmarkStart w:id="145" w:name="page146"/>
    <w:bookmarkEnd w:id="14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hereto have executed this Support Agreement as of the date first set forth above.</w:t>
      </w:r>
    </w:p>
    <w:p>
      <w:pPr>
        <w:spacing w:after="0" w:line="171"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3"/>
          <w:szCs w:val="13"/>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203200</wp:posOffset>
            </wp:positionV>
            <wp:extent cx="196151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9525</wp:posOffset>
            </wp:positionV>
            <wp:extent cx="166687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6687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E-mail:</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46" w:name="page147"/>
    <w:bookmarkEnd w:id="146"/>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Agreed to and Acknowledged as of the date first set forth above: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OBSIDIAN: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GALERA:</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9019"/>
          </w:cols>
          <w:pgMar w:left="1440" w:top="231" w:right="1440"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Galera Shares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1760" w:type="dxa"/>
            <w:vAlign w:val="bottom"/>
            <w:vMerge w:val="restart"/>
          </w:tcPr>
          <w:p>
            <w:pPr>
              <w:ind w:left="740"/>
              <w:spacing w:after="0"/>
              <w:rPr>
                <w:sz w:val="20"/>
                <w:szCs w:val="20"/>
                <w:color w:val="auto"/>
              </w:rPr>
            </w:pPr>
            <w:r>
              <w:rPr>
                <w:rFonts w:ascii="Times New Roman" w:cs="Times New Roman" w:eastAsia="Times New Roman" w:hAnsi="Times New Roman"/>
                <w:sz w:val="10"/>
                <w:szCs w:val="10"/>
                <w:b w:val="1"/>
                <w:bCs w:val="1"/>
                <w:color w:val="auto"/>
              </w:rPr>
              <w:t>Holder</w:t>
            </w:r>
          </w:p>
        </w:tc>
        <w:tc>
          <w:tcPr>
            <w:tcW w:w="120" w:type="dxa"/>
            <w:vAlign w:val="bottom"/>
            <w:vMerge w:val="restart"/>
          </w:tcPr>
          <w:p>
            <w:pPr>
              <w:spacing w:after="0"/>
              <w:rPr>
                <w:sz w:val="10"/>
                <w:szCs w:val="1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Galera</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Galera Preferred</w:t>
            </w:r>
          </w:p>
        </w:tc>
        <w:tc>
          <w:tcPr>
            <w:tcW w:w="12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b w:val="1"/>
                <w:bCs w:val="1"/>
                <w:color w:val="auto"/>
              </w:rPr>
              <w:t>Galera Options</w:t>
            </w:r>
          </w:p>
        </w:tc>
        <w:tc>
          <w:tcPr>
            <w:tcW w:w="80" w:type="dxa"/>
            <w:vAlign w:val="bottom"/>
            <w:vMerge w:val="restart"/>
          </w:tcPr>
          <w:p>
            <w:pPr>
              <w:spacing w:after="0"/>
              <w:rPr>
                <w:sz w:val="10"/>
                <w:szCs w:val="10"/>
                <w:color w:val="auto"/>
              </w:rPr>
            </w:pP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Galera Warrants</w:t>
            </w:r>
          </w:p>
        </w:tc>
        <w:tc>
          <w:tcPr>
            <w:tcW w:w="0" w:type="dxa"/>
            <w:vAlign w:val="bottom"/>
          </w:tcPr>
          <w:p>
            <w:pPr>
              <w:spacing w:after="0"/>
              <w:rPr>
                <w:sz w:val="1"/>
                <w:szCs w:val="1"/>
                <w:color w:val="auto"/>
              </w:rPr>
            </w:pPr>
          </w:p>
        </w:tc>
      </w:tr>
      <w:tr>
        <w:trPr>
          <w:trHeight w:val="130"/>
        </w:trPr>
        <w:tc>
          <w:tcPr>
            <w:tcW w:w="17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 w:type="dxa"/>
            <w:vAlign w:val="bottom"/>
          </w:tcPr>
          <w:p>
            <w:pPr>
              <w:spacing w:after="0"/>
              <w:rPr>
                <w:sz w:val="11"/>
                <w:szCs w:val="1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40" w:type="dxa"/>
            <w:vAlign w:val="bottom"/>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148" w:name="page149"/>
    <w:bookmarkEnd w:id="14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STOCKHOLDER SUPPORT AGREEMENT</w:t>
      </w:r>
    </w:p>
    <w:p>
      <w:pPr>
        <w:spacing w:after="0" w:line="154" w:lineRule="exact"/>
        <w:rPr>
          <w:sz w:val="20"/>
          <w:szCs w:val="20"/>
          <w:color w:val="auto"/>
        </w:rPr>
      </w:pPr>
    </w:p>
    <w:p>
      <w:pPr>
        <w:ind w:left="640" w:right="959" w:firstLine="309"/>
        <w:spacing w:after="0" w:line="257" w:lineRule="auto"/>
        <w:rPr>
          <w:sz w:val="20"/>
          <w:szCs w:val="20"/>
          <w:color w:val="auto"/>
        </w:rPr>
      </w:pPr>
      <w:r>
        <w:rPr>
          <w:rFonts w:ascii="Times New Roman" w:cs="Times New Roman" w:eastAsia="Times New Roman" w:hAnsi="Times New Roman"/>
          <w:sz w:val="13"/>
          <w:szCs w:val="13"/>
          <w:color w:val="auto"/>
        </w:rPr>
        <w:t>This Support Agreement (this “</w:t>
      </w:r>
      <w:r>
        <w:rPr>
          <w:rFonts w:ascii="Times New Roman" w:cs="Times New Roman" w:eastAsia="Times New Roman" w:hAnsi="Times New Roman"/>
          <w:sz w:val="13"/>
          <w:szCs w:val="13"/>
          <w:b w:val="1"/>
          <w:bCs w:val="1"/>
          <w:color w:val="auto"/>
        </w:rPr>
        <w:t>Support Agreement</w:t>
      </w:r>
      <w:r>
        <w:rPr>
          <w:rFonts w:ascii="Times New Roman" w:cs="Times New Roman" w:eastAsia="Times New Roman" w:hAnsi="Times New Roman"/>
          <w:sz w:val="13"/>
          <w:szCs w:val="13"/>
          <w:color w:val="auto"/>
        </w:rPr>
        <w:t>”) is being delivered on [•], 2026 by the person or persons named on the signature pages hereto (collectively, the “</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as the holder of Obsidian Shares (as defined below) of Obsidian Therapeutics, Inc., a Delaware corporation (“</w:t>
      </w:r>
      <w:r>
        <w:rPr>
          <w:rFonts w:ascii="Times New Roman" w:cs="Times New Roman" w:eastAsia="Times New Roman" w:hAnsi="Times New Roman"/>
          <w:sz w:val="13"/>
          <w:szCs w:val="13"/>
          <w:b w:val="1"/>
          <w:bCs w:val="1"/>
          <w:color w:val="auto"/>
        </w:rPr>
        <w:t>Obsidian</w:t>
      </w:r>
      <w:r>
        <w:rPr>
          <w:rFonts w:ascii="Times New Roman" w:cs="Times New Roman" w:eastAsia="Times New Roman" w:hAnsi="Times New Roman"/>
          <w:sz w:val="13"/>
          <w:szCs w:val="13"/>
          <w:color w:val="auto"/>
        </w:rPr>
        <w:t>”), to Galera Therapeutics, Inc., a Delaware corporation (“</w:t>
      </w:r>
      <w:r>
        <w:rPr>
          <w:rFonts w:ascii="Times New Roman" w:cs="Times New Roman" w:eastAsia="Times New Roman" w:hAnsi="Times New Roman"/>
          <w:sz w:val="13"/>
          <w:szCs w:val="13"/>
          <w:b w:val="1"/>
          <w:bCs w:val="1"/>
          <w:color w:val="auto"/>
        </w:rPr>
        <w:t>Galera</w:t>
      </w:r>
      <w:r>
        <w:rPr>
          <w:rFonts w:ascii="Times New Roman" w:cs="Times New Roman" w:eastAsia="Times New Roman" w:hAnsi="Times New Roman"/>
          <w:sz w:val="13"/>
          <w:szCs w:val="13"/>
          <w:color w:val="auto"/>
        </w:rPr>
        <w:t>”) and to Obsidian.</w:t>
      </w:r>
    </w:p>
    <w:p>
      <w:pPr>
        <w:spacing w:after="0" w:line="126"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Reference is made to that certain Agreement and Plan of Merger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as amended from time to time, dated as of [•], 2026, by and among Obsidian, Galera, Gazelle Parent,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Onyx MergerSub, Inc., a Delaware corporation and a direct, wholly owned subsidiary of Parent (“</w:t>
      </w:r>
      <w:r>
        <w:rPr>
          <w:rFonts w:ascii="Times New Roman" w:cs="Times New Roman" w:eastAsia="Times New Roman" w:hAnsi="Times New Roman"/>
          <w:sz w:val="13"/>
          <w:szCs w:val="13"/>
          <w:b w:val="1"/>
          <w:bCs w:val="1"/>
          <w:color w:val="auto"/>
        </w:rPr>
        <w:t>Obsidian Merger Sub</w:t>
      </w:r>
      <w:r>
        <w:rPr>
          <w:rFonts w:ascii="Times New Roman" w:cs="Times New Roman" w:eastAsia="Times New Roman" w:hAnsi="Times New Roman"/>
          <w:sz w:val="13"/>
          <w:szCs w:val="13"/>
          <w:color w:val="auto"/>
        </w:rPr>
        <w:t>”) and Gazelle Merger Subsidiary, Inc., a Delaware corporation and direct, wholly owned subsidiary of Parent (“</w:t>
      </w:r>
      <w:r>
        <w:rPr>
          <w:rFonts w:ascii="Times New Roman" w:cs="Times New Roman" w:eastAsia="Times New Roman" w:hAnsi="Times New Roman"/>
          <w:sz w:val="13"/>
          <w:szCs w:val="13"/>
          <w:b w:val="1"/>
          <w:bCs w:val="1"/>
          <w:color w:val="auto"/>
        </w:rPr>
        <w:t>Galera Merger Sub</w:t>
      </w:r>
      <w:r>
        <w:rPr>
          <w:rFonts w:ascii="Times New Roman" w:cs="Times New Roman" w:eastAsia="Times New Roman" w:hAnsi="Times New Roman"/>
          <w:sz w:val="13"/>
          <w:szCs w:val="13"/>
          <w:color w:val="auto"/>
        </w:rPr>
        <w:t>”). All capitalized terms that are used but not defined herein shall have the respective meanings ascribed to them in the Merger Agreement.</w:t>
      </w:r>
    </w:p>
    <w:p>
      <w:pPr>
        <w:spacing w:after="0" w:line="133"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As of the date hereof, the Holder is the record (as defined in Rule 12g5-1 promulgated under the Exchange Act) or beneficial owner (as defined in Rule 13d-3 promulgated under the Exchange Act) of the number of shares of Obsidian Common Stock, Obsidian Preferred Stock, Obsidian Options and other securities convertible into, or exercisable or exchangeable for, shares of Obsidian Common Stock, as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hereto (collectively, the “</w:t>
      </w:r>
      <w:r>
        <w:rPr>
          <w:rFonts w:ascii="Times New Roman" w:cs="Times New Roman" w:eastAsia="Times New Roman" w:hAnsi="Times New Roman"/>
          <w:sz w:val="13"/>
          <w:szCs w:val="13"/>
          <w:b w:val="1"/>
          <w:bCs w:val="1"/>
          <w:color w:val="auto"/>
        </w:rPr>
        <w:t>Obsidian Shares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As a condition and inducement to Obsidian’s and Galera’s willingness to enter into the Merger Agreement, the Holder has agreed to enter into this Support Agreement.</w:t>
      </w:r>
    </w:p>
    <w:p>
      <w:pPr>
        <w:spacing w:after="0" w:line="122" w:lineRule="exact"/>
        <w:rPr>
          <w:sz w:val="20"/>
          <w:szCs w:val="20"/>
          <w:color w:val="auto"/>
        </w:rPr>
      </w:pPr>
    </w:p>
    <w:p>
      <w:pPr>
        <w:ind w:left="640" w:right="679" w:firstLine="307"/>
        <w:spacing w:after="0" w:line="248" w:lineRule="auto"/>
        <w:tabs>
          <w:tab w:leader="none" w:pos="1076"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Vote</w:t>
      </w:r>
      <w:r>
        <w:rPr>
          <w:rFonts w:ascii="Times New Roman" w:cs="Times New Roman" w:eastAsia="Times New Roman" w:hAnsi="Times New Roman"/>
          <w:sz w:val="13"/>
          <w:szCs w:val="13"/>
          <w:color w:val="auto"/>
        </w:rPr>
        <w:t>. From the date hereof until the Termination Date (as defined below), the Holder agrees to vote (or cause to be voted), or deliver (or cause to be delivered) a written consent with respect to, and shall not enter into any agreement or otherwise give instructions to any person to vote in any manner inconsistent with this Support Agreement, at every meeting of the Obsidian shareholders (or any class or series of stockholders, as applicable) convened in connection with the matters related to the Merger Agreement, and at every adjournment or postponement thereof, and in connection with any action proposed to be taken by written consent of the stockholders of Obsidian, all Obsidian Shares it beneficially owns and is entitled to vote at such meeting:</w:t>
      </w:r>
    </w:p>
    <w:p>
      <w:pPr>
        <w:spacing w:after="0" w:line="68" w:lineRule="exact"/>
        <w:rPr>
          <w:sz w:val="20"/>
          <w:szCs w:val="20"/>
          <w:color w:val="auto"/>
        </w:rPr>
      </w:pPr>
    </w:p>
    <w:p>
      <w:pPr>
        <w:ind w:left="1320" w:right="719" w:hanging="379"/>
        <w:spacing w:after="0" w:line="255" w:lineRule="auto"/>
        <w:tabs>
          <w:tab w:leader="none" w:pos="132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favor of (i) the adoption and approval of the Merger Agreement and the terms thereof, including the Contemplated Transactions and the other actions contemplated by the Merger Agreement, (ii) the Obsidian Merger and (iii) all of the matters set forth in the Obsidian Stockholder Written Consent; and</w:t>
      </w:r>
    </w:p>
    <w:p>
      <w:pPr>
        <w:spacing w:after="0" w:line="63" w:lineRule="exact"/>
        <w:rPr>
          <w:rFonts w:ascii="Times New Roman" w:cs="Times New Roman" w:eastAsia="Times New Roman" w:hAnsi="Times New Roman"/>
          <w:sz w:val="13"/>
          <w:szCs w:val="13"/>
          <w:color w:val="auto"/>
        </w:rPr>
      </w:pPr>
    </w:p>
    <w:p>
      <w:pPr>
        <w:ind w:left="1320" w:right="699" w:hanging="379"/>
        <w:spacing w:after="0" w:line="251" w:lineRule="auto"/>
        <w:tabs>
          <w:tab w:leader="none" w:pos="132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Obsidian in the Merger Agreement (clauses (a) and (b) collectively, the “</w:t>
      </w:r>
      <w:r>
        <w:rPr>
          <w:rFonts w:ascii="Times New Roman" w:cs="Times New Roman" w:eastAsia="Times New Roman" w:hAnsi="Times New Roman"/>
          <w:sz w:val="13"/>
          <w:szCs w:val="13"/>
          <w:b w:val="1"/>
          <w:bCs w:val="1"/>
          <w:color w:val="auto"/>
        </w:rPr>
        <w:t>Supported Matters</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49" w:name="page150"/>
    <w:bookmarkEnd w:id="149"/>
    <w:p>
      <w:pPr>
        <w:ind w:left="640" w:right="71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in this Support Agreement shall require the Holder to vote in any manner, or deliver a written consent, with respect to any amendment to the Merger Agreement or the taking of any action that would reasonably be expected to result in the amendment, modification or waiver of a provision of the Merger Agreement in a manner that (1) decreases the Obsidian Exchange Ratio or changes the form or reduces the amount of the consideration payable to shareholders of Obsidian in the Contemplated Transactions; (2) increases the Galera Exchange Ratio or changes the form or increases the amount of the consideration payable to shareholders of Galera in the Contemplated Transactions, (3) is material and adverse to the Holder, or</w:t>
      </w:r>
    </w:p>
    <w:p>
      <w:pPr>
        <w:spacing w:after="0" w:line="1" w:lineRule="exact"/>
        <w:rPr>
          <w:sz w:val="20"/>
          <w:szCs w:val="20"/>
          <w:color w:val="auto"/>
        </w:rPr>
      </w:pPr>
    </w:p>
    <w:p>
      <w:pPr>
        <w:jc w:val="both"/>
        <w:ind w:left="640" w:right="679" w:hanging="3"/>
        <w:spacing w:after="0" w:line="244" w:lineRule="auto"/>
        <w:tabs>
          <w:tab w:leader="none" w:pos="819"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imposes any restrictions or any additional conditions on the consummation of the Contemplated Transactions. For the avoidance of doubt, other than with respect to the Supported Matters, the Holder does not have any obligation to vote, or deliver a written consent with respect to, the Obsidian Shares in any particular manner and, with respect to such other matters (other than the Supported Matters), the Holder shall be entitled to vote, or deliver a written consent with respect to, the Obsidian Shares in its sole discretion.</w:t>
      </w:r>
    </w:p>
    <w:p>
      <w:pPr>
        <w:spacing w:after="0" w:line="137"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 xml:space="preserve">From the date hereof until the Termination Date, in the event of (i) a stock split, stock dividend or distribution, or any change in the capital stock of Obsidian by reason of any split-up, reverse stock split, recapitalization, combination, reclassification, reincorporation, exchange of shares or the like or (ii) the acquisition of sole or shared voting power by the Holder of additional shares of capital stock or other equity securities of Obsidian, whether by the exercise of Obsidian Options, conversion of Obsidian Preferred Stock or otherwise, including, without limitation, by gift or succession, then the term “Obsidian Shares” shall be deemed to refer to and include such shares as well as all such stock dividends and distributions and any securities into which or for which any or all of such shares may be changed or exchanged or which are received in such transaction, and such Obsidian Shares shall be subject to the terms and conditions of this Support Agreement to the same extent as if they constituted Obsidian Shares as of the date of the execution of this Support Agreement, without the need for any further action by the parties (including, for the avoidance of doubt, with respect to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640" w:right="659" w:firstLine="307"/>
        <w:spacing w:after="0" w:line="249" w:lineRule="auto"/>
        <w:tabs>
          <w:tab w:leader="none" w:pos="1076"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Delivery of Written Consent</w:t>
      </w:r>
      <w:r>
        <w:rPr>
          <w:rFonts w:ascii="Times New Roman" w:cs="Times New Roman" w:eastAsia="Times New Roman" w:hAnsi="Times New Roman"/>
          <w:sz w:val="13"/>
          <w:szCs w:val="13"/>
          <w:color w:val="auto"/>
        </w:rPr>
        <w:t>. Promptly after the Registration Statement is declared effective under the Securities Act, the Holder agrees to irrevocably execute and deliver, or cause to be delivered, to Obsidian and Galera its duly executed counterpart to the Obsidian Stockholder Written Consent. The Obsidian Stockholder Written Consent shall be given in accordance with such procedures relating thereto, including pursuant to the Delaware General Corporation Law and each of Obsidian’s organizational documents so as to ensure that it is duly counted for purposes of recording the results of the Obsidian Stockholder Written Consent and otherwise effective for all purposes, including under the DGCL.</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076"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Transfer</w:t>
      </w:r>
      <w:r>
        <w:rPr>
          <w:rFonts w:ascii="Times New Roman" w:cs="Times New Roman" w:eastAsia="Times New Roman" w:hAnsi="Times New Roman"/>
          <w:sz w:val="13"/>
          <w:szCs w:val="13"/>
          <w:color w:val="auto"/>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cs="Times New Roman" w:eastAsia="Times New Roman" w:hAnsi="Times New Roman"/>
          <w:sz w:val="13"/>
          <w:szCs w:val="13"/>
          <w:b w:val="1"/>
          <w:bCs w:val="1"/>
          <w:color w:val="auto"/>
        </w:rPr>
        <w:t>Transfer</w:t>
      </w:r>
      <w:r>
        <w:rPr>
          <w:rFonts w:ascii="Times New Roman" w:cs="Times New Roman" w:eastAsia="Times New Roman" w:hAnsi="Times New Roman"/>
          <w:sz w:val="13"/>
          <w:szCs w:val="13"/>
          <w:color w:val="auto"/>
        </w:rPr>
        <w:t xml:space="preserve">”) or enter into any contract, option or other arrangement or understanding with respect to any Transfer of, any of the Obsidian Shares. Any Transfer or purported Transfer of Obsidian Shares in breach or violation of this Support Agreement shall be void and of no force or effect. Notwithstanding the foregoing, the restrictions set forth in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 (c) Transfers by operation of law or pursuant to a court order, such as a qualified domestic relations order, divorce decree or separation agreement; (d) Transfers to a partnership, limited liability company or other entity of which the Holder and/or the immediate family of the Holder are the legal and beneficial owner of all of the</w:t>
      </w:r>
    </w:p>
    <w:p>
      <w:pPr>
        <w:sectPr>
          <w:pgSz w:w="11900" w:h="16838" w:orient="portrait"/>
          <w:cols w:equalWidth="0" w:num="1">
            <w:col w:w="9019"/>
          </w:cols>
          <w:pgMar w:left="1440" w:top="231" w:right="1440" w:bottom="1440" w:gutter="0" w:footer="0" w:header="0"/>
        </w:sectPr>
      </w:pPr>
    </w:p>
    <w:bookmarkStart w:id="150" w:name="page151"/>
    <w:bookmarkEnd w:id="150"/>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outstanding equity securities or similar interests; (e) Transfers to a trustor or beneficiary of the trust, 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Obsidian Options or Obsidian Warrants, including in order to (i) pay the exercise price thereof or (ii) satisfy taxes applicable thereto; (h) the conversion of the Obsidian Preferred Stock into Obsidian Common Stock; and (i) Transfers to any Affiliate, equityholder, partner or member of such Holder;</w:t>
      </w:r>
    </w:p>
    <w:p>
      <w:pPr>
        <w:spacing w:after="0" w:line="132" w:lineRule="exact"/>
        <w:rPr>
          <w:sz w:val="20"/>
          <w:szCs w:val="20"/>
          <w:color w:val="auto"/>
        </w:rPr>
      </w:pPr>
    </w:p>
    <w:p>
      <w:pPr>
        <w:ind w:left="640" w:right="739"/>
        <w:spacing w:after="0" w:line="252" w:lineRule="auto"/>
        <w:rPr>
          <w:sz w:val="20"/>
          <w:szCs w:val="20"/>
          <w:color w:val="auto"/>
        </w:rPr>
      </w:pP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to the fullest extent permitted by applicable Law, for any permitted Transfers pursuant clauses (a) to (i) (other than clause (g)),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the Obsidian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the restrictions in this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and shall have the same rights and benefits under this Support Agreement.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 </w:t>
      </w:r>
      <w:r>
        <w:rPr>
          <w:rFonts w:ascii="Times New Roman" w:cs="Times New Roman" w:eastAsia="Times New Roman" w:hAnsi="Times New Roman"/>
          <w:sz w:val="13"/>
          <w:szCs w:val="13"/>
          <w:u w:val="single" w:color="auto"/>
          <w:color w:val="auto"/>
        </w:rPr>
        <w:t>Representations and Warranties of the Holder</w:t>
      </w:r>
      <w:r>
        <w:rPr>
          <w:rFonts w:ascii="Times New Roman" w:cs="Times New Roman" w:eastAsia="Times New Roman" w:hAnsi="Times New Roman"/>
          <w:sz w:val="13"/>
          <w:szCs w:val="13"/>
          <w:color w:val="auto"/>
        </w:rPr>
        <w:t>. The Holder hereby represents and warrants to Obsidian and Galera as follows:</w:t>
      </w:r>
    </w:p>
    <w:p>
      <w:pPr>
        <w:spacing w:after="0" w:line="78" w:lineRule="exact"/>
        <w:rPr>
          <w:sz w:val="20"/>
          <w:szCs w:val="20"/>
          <w:color w:val="auto"/>
        </w:rPr>
      </w:pPr>
    </w:p>
    <w:p>
      <w:pPr>
        <w:ind w:left="640" w:right="699" w:firstLine="307"/>
        <w:spacing w:after="0" w:line="267" w:lineRule="auto"/>
        <w:tabs>
          <w:tab w:leader="none" w:pos="1121"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has full power and authority (or legal capacity, if the Holder is a natural person) to execute and deliver this Support Agreement and to perform the Holder’s obligations hereunder;</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28"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Support Agreement has been duly executed and delivered by the Holder, and, assuming this Support Agreement constitutes a valid and binding obligation of Obsidian and Galera,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Obsidian and Galera is entering into the Merger Agreement in reliance upon the Holder’s execution and delivery of this Support Agreement;</w:t>
      </w:r>
    </w:p>
    <w:p>
      <w:pPr>
        <w:spacing w:after="0" w:line="134" w:lineRule="exact"/>
        <w:rPr>
          <w:rFonts w:ascii="Times New Roman" w:cs="Times New Roman" w:eastAsia="Times New Roman" w:hAnsi="Times New Roman"/>
          <w:sz w:val="13"/>
          <w:szCs w:val="13"/>
          <w:color w:val="auto"/>
        </w:rPr>
      </w:pPr>
    </w:p>
    <w:p>
      <w:pPr>
        <w:ind w:left="640" w:right="899" w:firstLine="307"/>
        <w:spacing w:after="0" w:line="309" w:lineRule="auto"/>
        <w:tabs>
          <w:tab w:leader="none" w:pos="1121"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Holder is the record or beneficial owner of the Obsidian Shares and does not beneficially own any securities of Obsidian other than the shares of Obsidian Common Stock and rights to purchase or otherwise acquire shares of Obsidian Common Stock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719" w:firstLine="307"/>
        <w:spacing w:after="0" w:line="255" w:lineRule="auto"/>
        <w:tabs>
          <w:tab w:leader="none" w:pos="1128"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5" w:lineRule="auto"/>
        <w:tabs>
          <w:tab w:leader="none" w:pos="1121"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07"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Holder does not have any agreement, arrangement, or understanding, whether written or oral, formal or informal, with any other holder of Obsidian Common Stock to act together for the purpose of acquiring, holding, voting, or disposing of shares of Obsidian Common Stock, nor does the Holder otherwise act in concert with any other holder of Obsidian Common Stock in connection with the exercise of any rights or powers arising from the ownership of Obsidian Common Stock and (ii) without limiting the generality of the foregoing, the Holder is not a member of a “group” (as such term is used in Section 13(d)(3) of the Exchange Act) with any other holder of any equity securities of Obsidian for the purpose of acquiring, holding, voting, or disposing of equity securities of Obsidian; and</w:t>
      </w:r>
    </w:p>
    <w:p>
      <w:pPr>
        <w:sectPr>
          <w:pgSz w:w="11900" w:h="16838" w:orient="portrait"/>
          <w:cols w:equalWidth="0" w:num="1">
            <w:col w:w="9019"/>
          </w:cols>
          <w:pgMar w:left="1440" w:top="231" w:right="1440" w:bottom="1440" w:gutter="0" w:footer="0" w:header="0"/>
        </w:sectPr>
      </w:pPr>
    </w:p>
    <w:bookmarkStart w:id="151" w:name="page152"/>
    <w:bookmarkEnd w:id="151"/>
    <w:p>
      <w:pPr>
        <w:ind w:left="640" w:right="679" w:firstLine="307"/>
        <w:spacing w:after="0" w:line="246" w:lineRule="auto"/>
        <w:tabs>
          <w:tab w:leader="none" w:pos="1128"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Holder has had the opportunity to review the Merger Agreement, including the provisions relating to the payment and allocation of the consideration to be paid to the stockholders of Obsidian, and this Agreement with counsel of the Holder’s own choosing. The Holder has had an opportunity to review with its own tax advisors the tax consequences of the Mergers and the Contemplated Transactions. The Holder understands that it must rely solely on its advisors and not on any statements or representations made by Obsidian or Galera, or any of their respective agents or representatives. The Holder understands that the Holder (and not Obsidian, Galera or Parent) shall be responsible for the Holder’s tax liability that may arise as a result of the Obsidian Merger or the transactions contemplated by the Merger Agreement. The Holder understands and acknowledges that Obsidian, Galera, Parent, Obsidian Merger Sub and Galera Merger Sub are entering into the Merger Agreement in reliance upon the Holder’s execution, delivery and performance of this Agreement.</w:t>
      </w:r>
    </w:p>
    <w:p>
      <w:pPr>
        <w:spacing w:after="0" w:line="139" w:lineRule="exact"/>
        <w:rPr>
          <w:sz w:val="20"/>
          <w:szCs w:val="20"/>
          <w:color w:val="auto"/>
        </w:rPr>
      </w:pPr>
    </w:p>
    <w:p>
      <w:pPr>
        <w:ind w:left="640" w:right="659" w:firstLine="307"/>
        <w:spacing w:after="0" w:line="247" w:lineRule="auto"/>
        <w:tabs>
          <w:tab w:leader="none" w:pos="1076" w:val="left"/>
        </w:tabs>
        <w:numPr>
          <w:ilvl w:val="1"/>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Impact on Directors’ or Officers’ Duties</w:t>
      </w:r>
      <w:r>
        <w:rPr>
          <w:rFonts w:ascii="Times New Roman" w:cs="Times New Roman" w:eastAsia="Times New Roman" w:hAnsi="Times New Roman"/>
          <w:sz w:val="13"/>
          <w:szCs w:val="13"/>
          <w:color w:val="auto"/>
        </w:rPr>
        <w:t>. Notwithstanding any provision of this Support Agreement to the contrary, the parties acknowledge that (a) the Holder is entering into this Support Agreement solely in the Holder’s capacity as a record or beneficial owner of Obsidian Common Stock and not in such Holder’s capacity as a director, officer or employee of Obsidian or in the Holder’s capacity as a trustee or fiduciary of any Obsidian Equity Plans and (b) nothing in this Support Agreement is intended to limit or restrict the Holder, or a designee of the Holder, who is a director or officer of Obsidian from taking any action or inaction or voting in favor in the Holder’s sole discretion on any matter in his or her capacity as a director of Obsidian or in the Holder’s capacity as a trustee or fiduciary of any Obsidian Equity Plans (if applicable), or fulfilling the obligations of such office, and none of such actions in such capacity shall be deemed to constitute a breach of this Support Agreement.</w:t>
      </w:r>
    </w:p>
    <w:p>
      <w:pPr>
        <w:spacing w:after="0" w:line="136" w:lineRule="exact"/>
        <w:rPr>
          <w:rFonts w:ascii="Times New Roman" w:cs="Times New Roman" w:eastAsia="Times New Roman" w:hAnsi="Times New Roman"/>
          <w:sz w:val="13"/>
          <w:szCs w:val="13"/>
          <w:color w:val="auto"/>
        </w:rPr>
      </w:pPr>
    </w:p>
    <w:p>
      <w:pPr>
        <w:ind w:left="640" w:right="719" w:firstLine="307"/>
        <w:spacing w:after="0" w:line="274" w:lineRule="auto"/>
        <w:tabs>
          <w:tab w:leader="none" w:pos="1076" w:val="left"/>
        </w:tabs>
        <w:numPr>
          <w:ilvl w:val="1"/>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w:t>
      </w:r>
    </w:p>
    <w:p>
      <w:pPr>
        <w:spacing w:after="0" w:line="1" w:lineRule="exact"/>
        <w:rPr>
          <w:rFonts w:ascii="Times New Roman" w:cs="Times New Roman" w:eastAsia="Times New Roman" w:hAnsi="Times New Roman"/>
          <w:sz w:val="12"/>
          <w:szCs w:val="12"/>
          <w:color w:val="auto"/>
        </w:rPr>
      </w:pPr>
    </w:p>
    <w:p>
      <w:pPr>
        <w:ind w:left="640" w:right="699" w:hanging="3"/>
        <w:spacing w:after="0" w:line="245" w:lineRule="auto"/>
        <w:tabs>
          <w:tab w:leader="none" w:pos="819"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if to Obsidian,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1030 Massachusetts Avenue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Cambridge, MA 02138</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Chief Financial Officer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Goodwin Procter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100 Northern Avenue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Boston, MA 02210</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William Collins; Gabriela Morales-Rivera; Tevia K. Pollard</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WCollins@goodwinlaw.com; GMoralesRivera@goodwinlaw.com;</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TPollard@goodwinlaw.com</w:t>
      </w:r>
    </w:p>
    <w:p>
      <w:pPr>
        <w:sectPr>
          <w:pgSz w:w="11900" w:h="16838" w:orient="portrait"/>
          <w:cols w:equalWidth="0" w:num="1">
            <w:col w:w="9019"/>
          </w:cols>
          <w:pgMar w:left="1440" w:top="231" w:right="1440" w:bottom="1440" w:gutter="0" w:footer="0" w:header="0"/>
        </w:sectPr>
      </w:pPr>
    </w:p>
    <w:bookmarkStart w:id="152" w:name="page153"/>
    <w:bookmarkEnd w:id="15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 if to Galera,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101 Lindenwood Drive, Suite 225</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Malvern, PA 19355</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Mel Sorensen; Joel Sussman</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787 Seventh Ave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New York, NY 10019</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Asher Rubin, John Butler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Phone: (410) 559-2881, (212) 839-8513</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arubin@sidley.com, john.butler@sidley.com</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 if to the Holder, at the e-mail address on the signature page hereto.</w:t>
      </w:r>
    </w:p>
    <w:p>
      <w:pPr>
        <w:spacing w:after="0" w:line="154" w:lineRule="exact"/>
        <w:rPr>
          <w:sz w:val="20"/>
          <w:szCs w:val="20"/>
          <w:color w:val="auto"/>
        </w:rPr>
      </w:pPr>
    </w:p>
    <w:p>
      <w:pPr>
        <w:ind w:left="640" w:right="699" w:firstLine="307"/>
        <w:spacing w:after="0" w:line="274" w:lineRule="auto"/>
        <w:tabs>
          <w:tab w:leader="none" w:pos="1076"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Support Agreement shall automatically terminate upon the earliest to occur of (a) such date and time as the Merger Agreement shall have been validly terminated, (b) such date and time as there is any amendment of any term or provision of the Merger Agreement that</w:t>
      </w:r>
    </w:p>
    <w:p>
      <w:pPr>
        <w:spacing w:after="0" w:line="1" w:lineRule="exact"/>
        <w:rPr>
          <w:rFonts w:ascii="Times New Roman" w:cs="Times New Roman" w:eastAsia="Times New Roman" w:hAnsi="Times New Roman"/>
          <w:sz w:val="12"/>
          <w:szCs w:val="12"/>
          <w:color w:val="auto"/>
        </w:rPr>
      </w:pPr>
    </w:p>
    <w:p>
      <w:pPr>
        <w:ind w:left="640" w:right="759" w:hanging="3"/>
        <w:spacing w:after="0" w:line="244" w:lineRule="auto"/>
        <w:tabs>
          <w:tab w:leader="none" w:pos="791"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decreases the Obsidian Exchange Ratio or changes the form or reduces the amount of the consideration payable to shareholders of Obsidian in the Contemplated Transactions or (ii) increases the Galera Exchange Ratio or changes the form or increases the amount of the consideration payable to shareholders of Galera in the Contemplated Transactions, (c) the Outside Date, unless the Outside Date is extended for an additional ninety (90) day period as set forth in the Merger Agreement (but without taking into account any extension thereof agreed by the parties following the date of this Support Agreement), (d) the Obsidian Effective Time and (e) such date and time as a written agreement executed by the parties hereto to terminate this Support Agreement is effective (such date, the “</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076" w:val="left"/>
        </w:tabs>
        <w:numPr>
          <w:ilvl w:val="1"/>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Stop Transfer Instructions</w:t>
      </w:r>
      <w:r>
        <w:rPr>
          <w:rFonts w:ascii="Times New Roman" w:cs="Times New Roman" w:eastAsia="Times New Roman" w:hAnsi="Times New Roman"/>
          <w:sz w:val="13"/>
          <w:szCs w:val="13"/>
          <w:color w:val="auto"/>
        </w:rPr>
        <w:t>. At all times commencing with the execution and delivery of this Support Agreement and continuing until the Termination Date, in furtherance of this Support Agreement, the Holder hereby authorizes Obsidian or its counsel to notify Obsidian’s transfer agent that there is a stop transfer order with respect to all of the Obsidian Shares (and that this Support Agreement places limits on the voting and transfer of such Obsidian Shares).</w:t>
      </w:r>
    </w:p>
    <w:p>
      <w:pPr>
        <w:spacing w:after="0" w:line="132"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076" w:val="left"/>
        </w:tabs>
        <w:numPr>
          <w:ilvl w:val="1"/>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Irrevocable Proxy</w:t>
      </w:r>
      <w:r>
        <w:rPr>
          <w:rFonts w:ascii="Times New Roman" w:cs="Times New Roman" w:eastAsia="Times New Roman" w:hAnsi="Times New Roman"/>
          <w:sz w:val="13"/>
          <w:szCs w:val="13"/>
          <w:color w:val="auto"/>
        </w:rPr>
        <w:t xml:space="preserve">. By execution of this Agreement, the Holder does hereby appoint Obsidian and any of its designees with full power of substitution and resubstitution, as the Holder’s true and lawful attorney and irrevocable proxy, to the fullest extent of the Holder’s rights with respect to the Obsidian Shares, to vote and exercise all voting and related rights, including the right to sign the Holder’s name (solely in its capacity as a stockholder) to any stockholder consent, if the Holder fails to vote his, her or its Obsidian Shares, or otherwise fails to perform or comply with such Stockholder’s obligations under this Agreement, solely with respect to the matters set forth in </w:t>
      </w:r>
      <w:r>
        <w:rPr>
          <w:rFonts w:ascii="Times New Roman" w:cs="Times New Roman" w:eastAsia="Times New Roman" w:hAnsi="Times New Roman"/>
          <w:sz w:val="13"/>
          <w:szCs w:val="13"/>
          <w:u w:val="single" w:color="auto"/>
          <w:color w:val="auto"/>
        </w:rPr>
        <w:t>Section 1(a)</w:t>
      </w:r>
    </w:p>
    <w:p>
      <w:pPr>
        <w:sectPr>
          <w:pgSz w:w="11900" w:h="16838" w:orient="portrait"/>
          <w:cols w:equalWidth="0" w:num="1">
            <w:col w:w="9019"/>
          </w:cols>
          <w:pgMar w:left="1440" w:top="231" w:right="1440" w:bottom="1440" w:gutter="0" w:footer="0" w:header="0"/>
        </w:sectPr>
      </w:pPr>
    </w:p>
    <w:bookmarkStart w:id="153" w:name="page154"/>
    <w:bookmarkEnd w:id="153"/>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hereof by 5:00 p.m. (Eastern Time) on the day immediately preceding the meeting date (or date upon which written consents are requested to be submitted), provided the Holder has received information regarding the meeting or request for written consent at least five (5) Business Days before such shareholder meeting or any consent solicitation or other vote taken of Obsidian’s stockholders. The Holder intends this proxy to be irrevocable and coupled with an interest hereunder until the Termination Date, hereby revokes (or agrees to cause to be revoked) any proxy previously granted by the Holder with respect to the Obsidian Shares and represents that none of such previously-granted proxies are irrevocable. The Holder hereby affirms that the proxy set forth in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is given in connection with, and granted in consideration of, and as an inducement to Obsidian, Galera, Parent, Obsidian Merger Sub and Galera Merger Sub to enter into the Merger Agreement and that such proxy is given to secure the obligations of the Holder under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Obsidian Shares with respect to the matters set forth in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 xml:space="preserve"> until after the Termination Date. With respect to any Obsidian Shares that are owned beneficially by the Holder but are not held of record by the Holder (other than shares beneficially owned by the Holder that are held in the name of a bank, broker or nominee), the Holder shall take all action necessary to cause the record holder of such Obsidian Shares to grant the irrevocable proxy and take all other actions provided for in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with respect to such Obsidian Shares. Notwithstanding anything contained herein to the contrary, this irrevocable proxy shall automatically terminate upon the Termination Date.</w:t>
      </w:r>
    </w:p>
    <w:p>
      <w:pPr>
        <w:spacing w:after="0" w:line="137" w:lineRule="exact"/>
        <w:rPr>
          <w:sz w:val="20"/>
          <w:szCs w:val="20"/>
          <w:color w:val="auto"/>
        </w:rPr>
      </w:pPr>
    </w:p>
    <w:p>
      <w:pPr>
        <w:ind w:left="640" w:right="679" w:firstLine="307"/>
        <w:spacing w:after="0" w:line="248" w:lineRule="auto"/>
        <w:tabs>
          <w:tab w:leader="none" w:pos="1139"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Obsidian Board Adverse Recommendation Change</w:t>
      </w:r>
      <w:r>
        <w:rPr>
          <w:rFonts w:ascii="Times New Roman" w:cs="Times New Roman" w:eastAsia="Times New Roman" w:hAnsi="Times New Roman"/>
          <w:sz w:val="13"/>
          <w:szCs w:val="13"/>
          <w:color w:val="auto"/>
        </w:rPr>
        <w:t>. In the event of a Obsidian Board Adverse Recommendation Change made in compliance with the terms of the Merger Agreement, then the aggregate number of Obsidian Shares hereunder shall be reduced (with such reduction applying to each Holder, subject to a similar voting agreement, on a pro rata basis in accordance with each Holder’s relative Obsidian Shares and rounded up to the nearest whole Obsidian Share) without any action by Obsidian or the Holders such that the number of Obsidian Shares held, collectively, by all Holders, subject to a similar voting agreement, shall represent in the aggregate that number of shares (after such reduction) equal to twenty-five percent (25%) of the outstanding shares of Obsidian Common Stock.</w:t>
      </w:r>
    </w:p>
    <w:p>
      <w:pPr>
        <w:spacing w:after="0" w:line="134" w:lineRule="exact"/>
        <w:rPr>
          <w:rFonts w:ascii="Times New Roman" w:cs="Times New Roman" w:eastAsia="Times New Roman" w:hAnsi="Times New Roman"/>
          <w:sz w:val="13"/>
          <w:szCs w:val="13"/>
          <w:color w:val="auto"/>
        </w:rPr>
      </w:pPr>
    </w:p>
    <w:p>
      <w:pPr>
        <w:ind w:left="640" w:right="1079" w:firstLine="307"/>
        <w:spacing w:after="0" w:line="267" w:lineRule="auto"/>
        <w:tabs>
          <w:tab w:leader="none" w:pos="1134"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Appraisal Rights</w:t>
      </w:r>
      <w:r>
        <w:rPr>
          <w:rFonts w:ascii="Times New Roman" w:cs="Times New Roman" w:eastAsia="Times New Roman" w:hAnsi="Times New Roman"/>
          <w:sz w:val="13"/>
          <w:szCs w:val="13"/>
          <w:color w:val="auto"/>
        </w:rPr>
        <w:t>. The Holder hereby waives, and agrees not to exercise or assert, any appraisal rights under applicable Law, including Section 262 of Delaware Law, in connection with the Obsidian Merger.</w:t>
      </w:r>
    </w:p>
    <w:p>
      <w:pPr>
        <w:spacing w:after="0" w:line="122"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39"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Legal Actions</w:t>
      </w:r>
      <w:r>
        <w:rPr>
          <w:rFonts w:ascii="Times New Roman" w:cs="Times New Roman" w:eastAsia="Times New Roman" w:hAnsi="Times New Roman"/>
          <w:sz w:val="13"/>
          <w:szCs w:val="13"/>
          <w:color w:val="auto"/>
        </w:rPr>
        <w:t>. The Holder will not in its capacity as a stockholder of Obsidian bring, commence, institute, maintain, prosecute or voluntarily aid any Legal Proceeding which (i) challenges the validity or seeks to 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Obsidian Board, constitutes a breach of any fiduciary duty of the Obsidian Board or any member thereof.</w:t>
      </w:r>
    </w:p>
    <w:p>
      <w:pPr>
        <w:spacing w:after="0" w:line="134"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39"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Support Agreement constitutes the entire agreement, and supersedes all prior agreements and understanding, both written and oral, among the parties hereto with respect to the subject matter hereof and is fully binding on the parties hereto.</w:t>
      </w:r>
    </w:p>
    <w:p>
      <w:pPr>
        <w:sectPr>
          <w:pgSz w:w="11900" w:h="16838" w:orient="portrait"/>
          <w:cols w:equalWidth="0" w:num="1">
            <w:col w:w="9019"/>
          </w:cols>
          <w:pgMar w:left="1440" w:top="231" w:right="1440" w:bottom="1440" w:gutter="0" w:footer="0" w:header="0"/>
        </w:sectPr>
      </w:pPr>
    </w:p>
    <w:bookmarkStart w:id="154" w:name="page155"/>
    <w:bookmarkEnd w:id="154"/>
    <w:p>
      <w:pPr>
        <w:ind w:left="640" w:right="659" w:firstLine="307"/>
        <w:spacing w:after="0" w:line="246" w:lineRule="auto"/>
        <w:tabs>
          <w:tab w:leader="none" w:pos="1139"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Counterparts</w:t>
      </w:r>
      <w:r>
        <w:rPr>
          <w:rFonts w:ascii="Times New Roman" w:cs="Times New Roman" w:eastAsia="Times New Roman" w:hAnsi="Times New Roman"/>
          <w:sz w:val="13"/>
          <w:szCs w:val="13"/>
          <w:color w:val="auto"/>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fax or .pdf, .tif, .gif, .jpg or similar attachment to electronic mail (any such delivery, an “</w:t>
      </w:r>
      <w:r>
        <w:rPr>
          <w:rFonts w:ascii="Times New Roman" w:cs="Times New Roman" w:eastAsia="Times New Roman" w:hAnsi="Times New Roman"/>
          <w:sz w:val="13"/>
          <w:szCs w:val="13"/>
          <w:b w:val="1"/>
          <w:bCs w:val="1"/>
          <w:color w:val="auto"/>
        </w:rPr>
        <w:t>Electronic Delivery</w:t>
      </w:r>
      <w:r>
        <w:rPr>
          <w:rFonts w:ascii="Times New Roman" w:cs="Times New Roman" w:eastAsia="Times New Roman" w:hAnsi="Times New Roman"/>
          <w:sz w:val="13"/>
          <w:szCs w:val="13"/>
          <w:color w:val="auto"/>
        </w:rPr>
        <w:t>”),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38" w:lineRule="exact"/>
        <w:rPr>
          <w:rFonts w:ascii="Times New Roman" w:cs="Times New Roman" w:eastAsia="Times New Roman" w:hAnsi="Times New Roman"/>
          <w:sz w:val="13"/>
          <w:szCs w:val="13"/>
          <w:color w:val="auto"/>
        </w:rPr>
      </w:pPr>
    </w:p>
    <w:p>
      <w:pPr>
        <w:jc w:val="both"/>
        <w:ind w:left="640" w:right="719" w:firstLine="307"/>
        <w:spacing w:after="0" w:line="251" w:lineRule="auto"/>
        <w:tabs>
          <w:tab w:leader="none" w:pos="1139"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Neither this Support Agreement nor any of the rights, interests or obligations under this Support Agreement shall be assigned, in whole or in part, by operation of law or otherwise by any of the parties without the prior written consent of the other parties. Any purported assignment without such consent shall be void. Subject to the preceding sentences, the terms of this Support Agreement shall be binding upon and shall inure to the benefit of each of the parties hereto and their respective successors and assigns.</w:t>
      </w:r>
    </w:p>
    <w:p>
      <w:pPr>
        <w:spacing w:after="0" w:line="132"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This Support Agreement may not be amended or modified except in writing signed by each of the parties hereto.</w:t>
      </w:r>
    </w:p>
    <w:p>
      <w:pPr>
        <w:spacing w:after="0" w:line="153"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39"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Jurisdiction; Waiver of Jury Trial</w:t>
      </w:r>
      <w:r>
        <w:rPr>
          <w:rFonts w:ascii="Times New Roman" w:cs="Times New Roman" w:eastAsia="Times New Roman" w:hAnsi="Times New Roman"/>
          <w:sz w:val="13"/>
          <w:szCs w:val="13"/>
          <w:color w:val="auto"/>
        </w:rPr>
        <w:t>.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39"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39"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All fees, costs and expenses incurred in connection with this Support Agreement and the transactions contemplated hereby shall be paid by the party hereto incurring such fees, costs and expenses.</w:t>
      </w:r>
    </w:p>
    <w:p>
      <w:pPr>
        <w:sectPr>
          <w:pgSz w:w="11900" w:h="16838" w:orient="portrait"/>
          <w:cols w:equalWidth="0" w:num="1">
            <w:col w:w="9019"/>
          </w:cols>
          <w:pgMar w:left="1440" w:top="231" w:right="1440" w:bottom="1440" w:gutter="0" w:footer="0" w:header="0"/>
        </w:sectPr>
      </w:pPr>
    </w:p>
    <w:bookmarkStart w:id="155" w:name="page156"/>
    <w:bookmarkEnd w:id="155"/>
    <w:p>
      <w:pPr>
        <w:ind w:left="640" w:right="679" w:firstLine="307"/>
        <w:spacing w:after="0" w:line="246" w:lineRule="auto"/>
        <w:tabs>
          <w:tab w:leader="none" w:pos="1139"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Non-Recourse</w:t>
      </w:r>
      <w:r>
        <w:rPr>
          <w:rFonts w:ascii="Times New Roman" w:cs="Times New Roman" w:eastAsia="Times New Roman" w:hAnsi="Times New Roman"/>
          <w:sz w:val="13"/>
          <w:szCs w:val="13"/>
          <w:color w:val="auto"/>
        </w:rPr>
        <w:t>.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Obsidian or Galera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remainder of the page is intentionally left blank.]</w:t>
      </w:r>
    </w:p>
    <w:p>
      <w:pPr>
        <w:sectPr>
          <w:pgSz w:w="11900" w:h="16838" w:orient="portrait"/>
          <w:cols w:equalWidth="0" w:num="1">
            <w:col w:w="9019"/>
          </w:cols>
          <w:pgMar w:left="1440" w:top="231" w:right="1440" w:bottom="1440" w:gutter="0" w:footer="0" w:header="0"/>
        </w:sectPr>
      </w:pPr>
    </w:p>
    <w:bookmarkStart w:id="156" w:name="page157"/>
    <w:bookmarkEnd w:id="15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hereto have executed this Support Agreement as of the date first set forth above.</w:t>
      </w:r>
    </w:p>
    <w:p>
      <w:pPr>
        <w:spacing w:after="0" w:line="171"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3"/>
          <w:szCs w:val="13"/>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203200</wp:posOffset>
            </wp:positionV>
            <wp:extent cx="196151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9525</wp:posOffset>
            </wp:positionV>
            <wp:extent cx="166687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6687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E-mail:</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Agreed to and Acknowledged as of the date first set forth above: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OBSIDIAN: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GALERA:</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Obsidian Shares</w:t>
      </w:r>
    </w:p>
    <w:p>
      <w:pPr>
        <w:spacing w:after="0" w:line="171" w:lineRule="exact"/>
        <w:rPr>
          <w:sz w:val="20"/>
          <w:szCs w:val="20"/>
          <w:color w:val="auto"/>
        </w:rPr>
      </w:pPr>
    </w:p>
    <w:p>
      <w:pPr>
        <w:ind w:left="1380"/>
        <w:spacing w:after="0"/>
        <w:tabs>
          <w:tab w:leader="none" w:pos="2680" w:val="left"/>
          <w:tab w:leader="none" w:pos="4260" w:val="left"/>
          <w:tab w:leader="none" w:pos="6040" w:val="left"/>
          <w:tab w:leader="none" w:pos="7320" w:val="left"/>
        </w:tabs>
        <w:rPr>
          <w:sz w:val="20"/>
          <w:szCs w:val="20"/>
          <w:color w:val="auto"/>
        </w:rPr>
      </w:pPr>
      <w:r>
        <w:rPr>
          <w:rFonts w:ascii="Times New Roman" w:cs="Times New Roman" w:eastAsia="Times New Roman" w:hAnsi="Times New Roman"/>
          <w:sz w:val="10"/>
          <w:szCs w:val="10"/>
          <w:b w:val="1"/>
          <w:bCs w:val="1"/>
          <w:color w:val="auto"/>
        </w:rPr>
        <w:t>Holder</w:t>
      </w:r>
      <w:r>
        <w:rPr>
          <w:sz w:val="20"/>
          <w:szCs w:val="20"/>
          <w:color w:val="auto"/>
        </w:rPr>
        <w:tab/>
      </w:r>
      <w:r>
        <w:rPr>
          <w:rFonts w:ascii="Times New Roman" w:cs="Times New Roman" w:eastAsia="Times New Roman" w:hAnsi="Times New Roman"/>
          <w:sz w:val="10"/>
          <w:szCs w:val="10"/>
          <w:b w:val="1"/>
          <w:bCs w:val="1"/>
          <w:color w:val="auto"/>
        </w:rPr>
        <w:t>Obsidian Common Stock</w:t>
      </w:r>
      <w:r>
        <w:rPr>
          <w:sz w:val="20"/>
          <w:szCs w:val="20"/>
          <w:color w:val="auto"/>
        </w:rPr>
        <w:tab/>
      </w:r>
      <w:r>
        <w:rPr>
          <w:rFonts w:ascii="Times New Roman" w:cs="Times New Roman" w:eastAsia="Times New Roman" w:hAnsi="Times New Roman"/>
          <w:sz w:val="10"/>
          <w:szCs w:val="10"/>
          <w:b w:val="1"/>
          <w:bCs w:val="1"/>
          <w:color w:val="auto"/>
        </w:rPr>
        <w:t>Obsidian Preferred Stock</w:t>
      </w:r>
      <w:r>
        <w:rPr>
          <w:sz w:val="20"/>
          <w:szCs w:val="20"/>
          <w:color w:val="auto"/>
        </w:rPr>
        <w:tab/>
      </w:r>
      <w:r>
        <w:rPr>
          <w:rFonts w:ascii="Times New Roman" w:cs="Times New Roman" w:eastAsia="Times New Roman" w:hAnsi="Times New Roman"/>
          <w:sz w:val="10"/>
          <w:szCs w:val="10"/>
          <w:b w:val="1"/>
          <w:bCs w:val="1"/>
          <w:color w:val="auto"/>
        </w:rPr>
        <w:t>Obsidian Options</w:t>
      </w:r>
      <w:r>
        <w:rPr>
          <w:sz w:val="20"/>
          <w:szCs w:val="20"/>
          <w:color w:val="auto"/>
        </w:rPr>
        <w:tab/>
      </w:r>
      <w:r>
        <w:rPr>
          <w:rFonts w:ascii="Times New Roman" w:cs="Times New Roman" w:eastAsia="Times New Roman" w:hAnsi="Times New Roman"/>
          <w:sz w:val="10"/>
          <w:szCs w:val="10"/>
          <w:b w:val="1"/>
          <w:bCs w:val="1"/>
          <w:color w:val="auto"/>
        </w:rPr>
        <w:t>Obsidian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58" w:name="page159"/>
    <w:bookmarkEnd w:id="15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10.3</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LOCK-UP AGREEMENT</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 2026</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1030 Massachusetts Avenue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Cambridge, MA 02138</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76"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The undersigned signatory of this lock-up agreement (this “</w:t>
      </w:r>
      <w:r>
        <w:rPr>
          <w:rFonts w:ascii="Times New Roman" w:cs="Times New Roman" w:eastAsia="Times New Roman" w:hAnsi="Times New Roman"/>
          <w:sz w:val="13"/>
          <w:szCs w:val="13"/>
          <w:b w:val="1"/>
          <w:bCs w:val="1"/>
          <w:i w:val="1"/>
          <w:iCs w:val="1"/>
          <w:color w:val="auto"/>
        </w:rPr>
        <w:t>Lock-Up Agreement</w:t>
      </w:r>
      <w:r>
        <w:rPr>
          <w:rFonts w:ascii="Times New Roman" w:cs="Times New Roman" w:eastAsia="Times New Roman" w:hAnsi="Times New Roman"/>
          <w:sz w:val="13"/>
          <w:szCs w:val="13"/>
          <w:color w:val="auto"/>
        </w:rPr>
        <w:t>”) understands that Obsidian Therapeutics,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has entered into an Agreement and Plan of Merger, dated as of April 14, 2026 (as the same may be amended from time to time,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with Galera Therapeutics, Inc., a Delaware corporation (“</w:t>
      </w:r>
      <w:r>
        <w:rPr>
          <w:rFonts w:ascii="Times New Roman" w:cs="Times New Roman" w:eastAsia="Times New Roman" w:hAnsi="Times New Roman"/>
          <w:sz w:val="13"/>
          <w:szCs w:val="13"/>
          <w:b w:val="1"/>
          <w:bCs w:val="1"/>
          <w:i w:val="1"/>
          <w:iCs w:val="1"/>
          <w:color w:val="auto"/>
        </w:rPr>
        <w:t>Galera</w:t>
      </w:r>
      <w:r>
        <w:rPr>
          <w:rFonts w:ascii="Times New Roman" w:cs="Times New Roman" w:eastAsia="Times New Roman" w:hAnsi="Times New Roman"/>
          <w:sz w:val="13"/>
          <w:szCs w:val="13"/>
          <w:color w:val="auto"/>
        </w:rPr>
        <w:t>”), Gazelle Parent, Inc., a Delaware corporation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Onyx MergerSub, Inc., a Delaware corporation and a direct, wholly owned subsidiary of Parent and Gazelle Merger Subsidiary, Inc., a Delaware corporation and a direct, wholly owned subsidiary of Parent. Capitalized terms used but not otherwise defined herein shall have the respective meanings ascribed to such terms in the Merger Agreement.</w:t>
      </w:r>
    </w:p>
    <w:p>
      <w:pPr>
        <w:spacing w:after="0" w:line="137"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As a condition and inducement to each of the parties to enter into the Merger Agreement, and for other good and valuable consideration, the receipt and sufficiency of which is hereby acknowledged, the undersigned hereby irrevocably agrees that, subject to the exceptions set forth herein, without the prior written consent of Parent and, solely prior to the Closing, the Company, the undersigned will not, during the period commencing upon the Closing and ending on the date that is 180 days after the Closing Date (the “</w:t>
      </w:r>
      <w:r>
        <w:rPr>
          <w:rFonts w:ascii="Times New Roman" w:cs="Times New Roman" w:eastAsia="Times New Roman" w:hAnsi="Times New Roman"/>
          <w:sz w:val="13"/>
          <w:szCs w:val="13"/>
          <w:b w:val="1"/>
          <w:bCs w:val="1"/>
          <w:i w:val="1"/>
          <w:iCs w:val="1"/>
          <w:color w:val="auto"/>
        </w:rPr>
        <w:t>Restricted Period</w:t>
      </w:r>
      <w:r>
        <w:rPr>
          <w:rFonts w:ascii="Times New Roman" w:cs="Times New Roman" w:eastAsia="Times New Roman" w:hAnsi="Times New Roman"/>
          <w:sz w:val="13"/>
          <w:szCs w:val="13"/>
          <w:color w:val="auto"/>
        </w:rPr>
        <w:t>”):</w:t>
      </w:r>
    </w:p>
    <w:p>
      <w:pPr>
        <w:spacing w:after="0" w:line="66" w:lineRule="exact"/>
        <w:rPr>
          <w:sz w:val="20"/>
          <w:szCs w:val="20"/>
          <w:color w:val="auto"/>
        </w:rPr>
      </w:pPr>
    </w:p>
    <w:p>
      <w:pPr>
        <w:ind w:left="1640" w:right="799" w:hanging="311"/>
        <w:spacing w:after="0" w:line="246" w:lineRule="auto"/>
        <w:tabs>
          <w:tab w:leader="none" w:pos="164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Parent Common Stock (including without limitation, Parent Common Stock or such other securities which may be deemed to be beneficially owned (as such term is used in Rule 13d-3 of the Exchange Act) by the undersigned in accordance with the rules and regulations of the SEC and securities of Parent which may be issued upon exercise of an option to purchase Parent Common Stock or warrant or settlement of a Parent restricted stock unit) that are currently or hereafter owned of record or beneficially (including holding as a custodian) by the undersigned (collectively, the “</w:t>
      </w:r>
      <w:r>
        <w:rPr>
          <w:rFonts w:ascii="Times New Roman" w:cs="Times New Roman" w:eastAsia="Times New Roman" w:hAnsi="Times New Roman"/>
          <w:sz w:val="13"/>
          <w:szCs w:val="13"/>
          <w:b w:val="1"/>
          <w:bCs w:val="1"/>
          <w:i w:val="1"/>
          <w:iCs w:val="1"/>
          <w:color w:val="auto"/>
        </w:rPr>
        <w:t>Undersigned’s Shares</w:t>
      </w:r>
      <w:r>
        <w:rPr>
          <w:rFonts w:ascii="Times New Roman" w:cs="Times New Roman" w:eastAsia="Times New Roman" w:hAnsi="Times New Roman"/>
          <w:sz w:val="13"/>
          <w:szCs w:val="13"/>
          <w:color w:val="auto"/>
        </w:rPr>
        <w:t>”);</w:t>
      </w:r>
    </w:p>
    <w:p>
      <w:pPr>
        <w:spacing w:after="0" w:line="72" w:lineRule="exact"/>
        <w:rPr>
          <w:rFonts w:ascii="Times New Roman" w:cs="Times New Roman" w:eastAsia="Times New Roman" w:hAnsi="Times New Roman"/>
          <w:sz w:val="13"/>
          <w:szCs w:val="13"/>
          <w:color w:val="auto"/>
        </w:rPr>
      </w:pPr>
    </w:p>
    <w:p>
      <w:pPr>
        <w:ind w:left="1640" w:right="759" w:hanging="311"/>
        <w:spacing w:after="0" w:line="255" w:lineRule="auto"/>
        <w:tabs>
          <w:tab w:leader="none" w:pos="164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Parent Common Stock or other securities, in cash or otherwise;</w:t>
      </w:r>
    </w:p>
    <w:p>
      <w:pPr>
        <w:spacing w:after="0" w:line="63" w:lineRule="exact"/>
        <w:rPr>
          <w:rFonts w:ascii="Times New Roman" w:cs="Times New Roman" w:eastAsia="Times New Roman" w:hAnsi="Times New Roman"/>
          <w:sz w:val="13"/>
          <w:szCs w:val="13"/>
          <w:color w:val="auto"/>
        </w:rPr>
      </w:pPr>
    </w:p>
    <w:p>
      <w:pPr>
        <w:ind w:left="1640" w:right="719" w:hanging="311"/>
        <w:spacing w:after="0" w:line="251" w:lineRule="auto"/>
        <w:tabs>
          <w:tab w:leader="none" w:pos="164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demand for, or exercise any right with respect to, the registration of any shares of Parent Common Stock or any security convertible into or exercisable or exchangeable for Parent Common Stock (other than such rights set forth in the Merger Agreement or the obligations of the Company or the combined company under that certain Registration Rights Agreement dated as of [•], 2026 entered into by and among Galera and the several investors signatory thereto); or</w:t>
      </w:r>
    </w:p>
    <w:p>
      <w:pPr>
        <w:spacing w:after="0" w:line="66"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disclose the intention to do any of the foregoing.</w:t>
      </w:r>
    </w:p>
    <w:p>
      <w:pPr>
        <w:sectPr>
          <w:pgSz w:w="11900" w:h="16838" w:orient="portrait"/>
          <w:cols w:equalWidth="0" w:num="1">
            <w:col w:w="9019"/>
          </w:cols>
          <w:pgMar w:left="1440" w:top="229" w:right="1440" w:bottom="1440" w:gutter="0" w:footer="0" w:header="0"/>
        </w:sectPr>
      </w:pPr>
    </w:p>
    <w:bookmarkStart w:id="159" w:name="page160"/>
    <w:bookmarkEnd w:id="159"/>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restrictions and obligations contemplated by this Lock-Up Agreement shall not apply to:</w:t>
      </w:r>
    </w:p>
    <w:p>
      <w:pPr>
        <w:spacing w:after="0" w:line="78" w:lineRule="exact"/>
        <w:rPr>
          <w:sz w:val="20"/>
          <w:szCs w:val="20"/>
          <w:color w:val="auto"/>
        </w:rPr>
      </w:pPr>
    </w:p>
    <w:p>
      <w:pPr>
        <w:ind w:left="1120" w:hanging="173"/>
        <w:spacing w:after="0"/>
        <w:tabs>
          <w:tab w:leader="none" w:pos="112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the Undersigned’s Shares:</w:t>
      </w:r>
    </w:p>
    <w:p>
      <w:pPr>
        <w:spacing w:after="0" w:line="87" w:lineRule="exact"/>
        <w:rPr>
          <w:rFonts w:ascii="Times New Roman" w:cs="Times New Roman" w:eastAsia="Times New Roman" w:hAnsi="Times New Roman"/>
          <w:sz w:val="13"/>
          <w:szCs w:val="13"/>
          <w:color w:val="auto"/>
        </w:rPr>
      </w:pPr>
    </w:p>
    <w:p>
      <w:pPr>
        <w:ind w:left="1640" w:right="699" w:hanging="311"/>
        <w:spacing w:after="0" w:line="247" w:lineRule="auto"/>
        <w:tabs>
          <w:tab w:leader="none" w:pos="1640"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undersigned is a </w:t>
      </w:r>
      <w:r>
        <w:rPr>
          <w:rFonts w:ascii="Times New Roman" w:cs="Times New Roman" w:eastAsia="Times New Roman" w:hAnsi="Times New Roman"/>
          <w:sz w:val="13"/>
          <w:szCs w:val="13"/>
          <w:u w:val="single" w:color="auto"/>
          <w:color w:val="auto"/>
        </w:rPr>
        <w:t>natural person</w:t>
      </w:r>
      <w:r>
        <w:rPr>
          <w:rFonts w:ascii="Times New Roman" w:cs="Times New Roman" w:eastAsia="Times New Roman" w:hAnsi="Times New Roman"/>
          <w:sz w:val="13"/>
          <w:szCs w:val="13"/>
          <w:color w:val="auto"/>
        </w:rPr>
        <w:t>, (A) to any person related to the undersigned by blood or adoption who is an immediate family member of the undersigned, or by marriage or domestic partnership (a “</w:t>
      </w:r>
      <w:r>
        <w:rPr>
          <w:rFonts w:ascii="Times New Roman" w:cs="Times New Roman" w:eastAsia="Times New Roman" w:hAnsi="Times New Roman"/>
          <w:sz w:val="13"/>
          <w:szCs w:val="13"/>
          <w:b w:val="1"/>
          <w:bCs w:val="1"/>
          <w:i w:val="1"/>
          <w:iCs w:val="1"/>
          <w:color w:val="auto"/>
        </w:rPr>
        <w:t>Family Member</w:t>
      </w:r>
      <w:r>
        <w:rPr>
          <w:rFonts w:ascii="Times New Roman" w:cs="Times New Roman" w:eastAsia="Times New Roman" w:hAnsi="Times New Roman"/>
          <w:sz w:val="13"/>
          <w:szCs w:val="13"/>
          <w:color w:val="auto"/>
        </w:rPr>
        <w:t>”), or to a trust formed for the direct or indirect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Internal Revenue Code of 1986, as amended,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69" w:lineRule="exact"/>
        <w:rPr>
          <w:rFonts w:ascii="Times New Roman" w:cs="Times New Roman" w:eastAsia="Times New Roman" w:hAnsi="Times New Roman"/>
          <w:sz w:val="13"/>
          <w:szCs w:val="13"/>
          <w:color w:val="auto"/>
        </w:rPr>
      </w:pPr>
    </w:p>
    <w:p>
      <w:pPr>
        <w:ind w:left="1640" w:right="779" w:hanging="311"/>
        <w:spacing w:after="0" w:line="266" w:lineRule="auto"/>
        <w:tabs>
          <w:tab w:leader="none" w:pos="1640" w:val="left"/>
        </w:tabs>
        <w:numPr>
          <w:ilvl w:val="1"/>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undersigned is a </w:t>
      </w:r>
      <w:r>
        <w:rPr>
          <w:rFonts w:ascii="Times New Roman" w:cs="Times New Roman" w:eastAsia="Times New Roman" w:hAnsi="Times New Roman"/>
          <w:sz w:val="12"/>
          <w:szCs w:val="12"/>
          <w:u w:val="single" w:color="auto"/>
          <w:color w:val="auto"/>
        </w:rPr>
        <w:t>corporation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partnership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limited liability company</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other entity</w:t>
      </w:r>
      <w:r>
        <w:rPr>
          <w:rFonts w:ascii="Times New Roman" w:cs="Times New Roman" w:eastAsia="Times New Roman" w:hAnsi="Times New Roman"/>
          <w:sz w:val="12"/>
          <w:szCs w:val="12"/>
          <w:color w:val="auto"/>
        </w:rPr>
        <w:t>, (A) to another corporation, partnership, limited liability company, or other entity that is an affiliate (as defined under Rule 12b-2 of the Exchange Act) of the undersigned, including investment funds or other entities under common control or management or advisement with the undersigned (including, for the avoidance of doubt, where the undersigned is a partnership, to its general partner or a successor partnership or fund, or any other funds managed by such partnership), (B) as a distribution or dividend to equity holders, including, without limitation,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Internal Revenue Code of 1986, as amended, (D) transfers or dispositions not involving a change in beneficial ownership or</w:t>
      </w:r>
    </w:p>
    <w:p>
      <w:pPr>
        <w:spacing w:after="0" w:line="1" w:lineRule="exact"/>
        <w:rPr>
          <w:rFonts w:ascii="Times New Roman" w:cs="Times New Roman" w:eastAsia="Times New Roman" w:hAnsi="Times New Roman"/>
          <w:sz w:val="12"/>
          <w:szCs w:val="12"/>
          <w:color w:val="auto"/>
        </w:rPr>
      </w:pPr>
    </w:p>
    <w:p>
      <w:pPr>
        <w:ind w:left="1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 with prior written consent of Parent; or</w:t>
      </w:r>
    </w:p>
    <w:p>
      <w:pPr>
        <w:spacing w:after="0" w:line="74" w:lineRule="exact"/>
        <w:rPr>
          <w:rFonts w:ascii="Times New Roman" w:cs="Times New Roman" w:eastAsia="Times New Roman" w:hAnsi="Times New Roman"/>
          <w:sz w:val="12"/>
          <w:szCs w:val="12"/>
          <w:color w:val="auto"/>
        </w:rPr>
      </w:pPr>
    </w:p>
    <w:p>
      <w:pPr>
        <w:ind w:left="1640" w:hanging="311"/>
        <w:spacing w:after="0"/>
        <w:tabs>
          <w:tab w:leader="none" w:pos="1640"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undersigned is a </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to any grantors or beneficiaries of the trust;</w:t>
      </w:r>
    </w:p>
    <w:p>
      <w:pPr>
        <w:spacing w:after="0" w:line="154"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provided that, in the case of any transfer or distribution pursuant to this clause (a), such transfer is not for value and each donee, heir, beneficiary or other transferee or distributee shall sign and deliver to Parent a lock-up agreement in the form of this Lock-Up Agreement with respect to the shares of Parent Common Stock or such other securities that have been so transferred or distributed;</w:t>
      </w:r>
    </w:p>
    <w:p>
      <w:pPr>
        <w:spacing w:after="0" w:line="130" w:lineRule="exact"/>
        <w:rPr>
          <w:sz w:val="20"/>
          <w:szCs w:val="20"/>
          <w:color w:val="auto"/>
        </w:rPr>
      </w:pPr>
    </w:p>
    <w:p>
      <w:pPr>
        <w:ind w:left="640" w:right="659" w:firstLine="693"/>
        <w:spacing w:after="0" w:line="275" w:lineRule="auto"/>
        <w:tabs>
          <w:tab w:leader="none" w:pos="1515"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an option to purchase Parent Common Stock (including a net or cashless exercise of an option to purchase Parent Common Stock), and any related transfer of shares of Parent Common Stock to Parent or sale of Parent Common Stock in the open market, in each case, for the purpose of paying the exercise price of such options or for paying taxes (including estimated taxes) during the Restricted Period due as a result of the exercise of such options; provided that, for the avoidance of doubt, the underlying shares of Parent Common Stock held by the undersigned following such exercise and any such open market sales shall continue to be subject to the restrictions on transfer set forth in this Lock-Up Agreement;</w:t>
      </w:r>
    </w:p>
    <w:p>
      <w:pPr>
        <w:spacing w:after="0" w:line="119" w:lineRule="exact"/>
        <w:rPr>
          <w:rFonts w:ascii="Times New Roman" w:cs="Times New Roman" w:eastAsia="Times New Roman" w:hAnsi="Times New Roman"/>
          <w:sz w:val="12"/>
          <w:szCs w:val="12"/>
          <w:color w:val="auto"/>
        </w:rPr>
      </w:pPr>
    </w:p>
    <w:p>
      <w:pPr>
        <w:ind w:left="640" w:right="899" w:firstLine="693"/>
        <w:spacing w:after="0" w:line="267" w:lineRule="auto"/>
        <w:tabs>
          <w:tab w:leader="none" w:pos="1508"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disposition (including a forfeiture or repurchase) to Parent of any shares of restricted stock granted pursuant to the terms of any employee benefit plan or restricted stock purchase agreement;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60" w:name="page161"/>
    <w:bookmarkEnd w:id="160"/>
    <w:p>
      <w:pPr>
        <w:ind w:left="640" w:right="659" w:firstLine="693"/>
        <w:spacing w:after="0" w:line="249" w:lineRule="auto"/>
        <w:tabs>
          <w:tab w:leader="none" w:pos="1515"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exercise of an option to purchase shares of Parent Common Stock (including a net or cashless exercise of an option to purchase shares of Parent Common Stock ),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for the avoidance of doubt, the underlying shares of Parent Common Stock shall continue to be subject to the restrictions on transfer set forth in this Lock-Up Agreement;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48" w:lineRule="auto"/>
        <w:tabs>
          <w:tab w:leader="none" w:pos="1508"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vesting of any restricted stock unit or settlement of any other equity award that represents the right to receive shares of Parent Common Stock, and transfers to Parent, or sales of Parent Common Stock in the open market, in connection with the vesting of any restricted stock unit or settlement of any other equity award that represents the right to receive shares of Parent Common Stock settled in Parent Common Stock, in each case, to pay any tax withholding obligations due during the Restricted Period; provided that, for the avoidance of doubt, the underlying shares of Parent Common Stock held by the undersigned following such vesting or settlement and any such open market sales shall continue to be subject to the restrictions on transfer set forth in this Lock-Up Agreement;</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52" w:lineRule="auto"/>
        <w:tabs>
          <w:tab w:leader="none" w:pos="1494"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establishment of a trading plan pursuant to Rule 10b5-1 under the Exchange Act (a “</w:t>
      </w:r>
      <w:r>
        <w:rPr>
          <w:rFonts w:ascii="Times New Roman" w:cs="Times New Roman" w:eastAsia="Times New Roman" w:hAnsi="Times New Roman"/>
          <w:sz w:val="13"/>
          <w:szCs w:val="13"/>
          <w:b w:val="1"/>
          <w:bCs w:val="1"/>
          <w:i w:val="1"/>
          <w:iCs w:val="1"/>
          <w:color w:val="auto"/>
        </w:rPr>
        <w:t>10b5-1 Plan</w:t>
      </w:r>
      <w:r>
        <w:rPr>
          <w:rFonts w:ascii="Times New Roman" w:cs="Times New Roman" w:eastAsia="Times New Roman" w:hAnsi="Times New Roman"/>
          <w:sz w:val="13"/>
          <w:szCs w:val="13"/>
          <w:color w:val="auto"/>
        </w:rPr>
        <w:t>”) for the transfer of Parent Common Stock; provided that such plan does not provide for any transfers of Parent Common Stock during the Restricted Period, or the sale of Parent Common Stock pursuant to a 10b5-1 Plan existing as of the date of the Merger Agreement (which, for clarity, shall not be amended during the Restricted Period, but may be terminated during the Restricted Period);</w:t>
      </w:r>
    </w:p>
    <w:p>
      <w:pPr>
        <w:spacing w:after="0" w:line="132" w:lineRule="exact"/>
        <w:rPr>
          <w:rFonts w:ascii="Times New Roman" w:cs="Times New Roman" w:eastAsia="Times New Roman" w:hAnsi="Times New Roman"/>
          <w:sz w:val="13"/>
          <w:szCs w:val="13"/>
          <w:color w:val="auto"/>
        </w:rPr>
      </w:pPr>
    </w:p>
    <w:p>
      <w:pPr>
        <w:jc w:val="both"/>
        <w:ind w:left="640" w:right="719" w:firstLine="693"/>
        <w:spacing w:after="0" w:line="251" w:lineRule="auto"/>
        <w:tabs>
          <w:tab w:leader="none" w:pos="1515"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sales, dispositions, or the entering into of transactions (including, without limitation, any swap, hedge or similar agreement) by the undersigned of or relating to shares of capital stock or other securities of Parent purchased or acquired by the undersigned on the open market, in a public offering by Parent, or that otherwise do not involve or relate to shares of Parent Common Stock issued pursuant to the Merger Agreement in respect of shares of the Company;</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15"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 bona fide third party tender offer, merger, consolidation or other similar transaction made to all holders of Parent’s capital stock involving a change of control of Parent that is approved by Parent’s Board of Directors, provided that in the event that such tender offer, merger, consolidation or other such transaction is not completed, the Undersigned’s Shares shall remain subject to the restrictions contained in this Lock-Up Agreement; or</w:t>
      </w:r>
    </w:p>
    <w:p>
      <w:pPr>
        <w:spacing w:after="0" w:line="132"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an order of a court or regulatory agency;</w:t>
      </w:r>
    </w:p>
    <w:p>
      <w:pPr>
        <w:spacing w:after="0" w:line="153"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487"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sales, dispositions or the entering into of transactions (including, without limitation, any swap, hedge or similar agreement), by the undersigned relating to shares of Parent Common Stock issued pursuant to the Merger Agreement in respect of shares of Galera, if any, purchased from Galera pursuant to the Concurrent PIPE Financing (as defined in the Merger Agreement) (the “</w:t>
      </w:r>
      <w:r>
        <w:rPr>
          <w:rFonts w:ascii="Times New Roman" w:cs="Times New Roman" w:eastAsia="Times New Roman" w:hAnsi="Times New Roman"/>
          <w:sz w:val="13"/>
          <w:szCs w:val="13"/>
          <w:b w:val="1"/>
          <w:bCs w:val="1"/>
          <w:i w:val="1"/>
          <w:iCs w:val="1"/>
          <w:color w:val="auto"/>
        </w:rPr>
        <w:t>Galera Concurrent PIPE Financing Released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color w:val="auto"/>
        </w:rPr>
        <w:t>”) or issued in exchange for, or on conversion or exercise of, any securities issued as part of the Concurrent PIPE Financing. The number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Galera Concurrent PIPE Financing Released Shares held by each stockholder of Galera is set forth opposite his, her or its name on Schedule I to this Lock-Up Agreement under the heading “Galera Concurrent PIPE Financing Released Shares”;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61" w:name="page162"/>
    <w:bookmarkEnd w:id="161"/>
    <w:p>
      <w:pPr>
        <w:ind w:left="640" w:right="67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and </w:t>
      </w:r>
      <w:r>
        <w:rPr>
          <w:rFonts w:ascii="Times New Roman" w:cs="Times New Roman" w:eastAsia="Times New Roman" w:hAnsi="Times New Roman"/>
          <w:sz w:val="12"/>
          <w:szCs w:val="12"/>
          <w:i w:val="1"/>
          <w:iCs w:val="1"/>
          <w:u w:val="single" w:color="auto"/>
          <w:color w:val="auto"/>
        </w:rPr>
        <w:t>provided, further</w:t>
      </w:r>
      <w:r>
        <w:rPr>
          <w:rFonts w:ascii="Times New Roman" w:cs="Times New Roman" w:eastAsia="Times New Roman" w:hAnsi="Times New Roman"/>
          <w:sz w:val="12"/>
          <w:szCs w:val="12"/>
          <w:color w:val="auto"/>
        </w:rPr>
        <w:t xml:space="preserve">, that, with respect to each of (a), (b), (c), (d), (e) and (f)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shares of Parent Common Stock or in connection with the net settlement of any other equity award that represents the right to receive in the future shares of Parent Common Stock settled in Parent Common Stock that would otherwise expire during the Restricted Period, </w:t>
      </w:r>
      <w:r>
        <w:rPr>
          <w:rFonts w:ascii="Times New Roman" w:cs="Times New Roman" w:eastAsia="Times New Roman" w:hAnsi="Times New Roman"/>
          <w:sz w:val="12"/>
          <w:szCs w:val="12"/>
          <w:i w:val="1"/>
          <w:iCs w:val="1"/>
          <w:u w:val="single" w:color="auto"/>
          <w:color w:val="auto"/>
        </w:rPr>
        <w:t>provided</w:t>
      </w:r>
    </w:p>
    <w:p>
      <w:pPr>
        <w:ind w:left="640" w:right="739"/>
        <w:spacing w:after="0" w:line="287" w:lineRule="auto"/>
        <w:rPr>
          <w:sz w:val="20"/>
          <w:szCs w:val="20"/>
          <w:color w:val="auto"/>
        </w:rPr>
      </w:pPr>
      <w:r>
        <w:rPr>
          <w:rFonts w:ascii="Times New Roman" w:cs="Times New Roman" w:eastAsia="Times New Roman" w:hAnsi="Times New Roman"/>
          <w:sz w:val="12"/>
          <w:szCs w:val="12"/>
          <w:i w:val="1"/>
          <w:iCs w:val="1"/>
          <w:u w:val="single" w:color="auto"/>
          <w:color w:val="auto"/>
        </w:rPr>
        <w:t>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 reasonable notice shall be provided to Parent prior to any such filing and (2) such filing, report or announcement shall clearly indicate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footnotes therein, in reasonable detail, a description of the circumstances of the transfer and that the shares remain subject to this Lock-Up Agreement).</w:t>
      </w:r>
    </w:p>
    <w:p>
      <w:pPr>
        <w:spacing w:after="0" w:line="112" w:lineRule="exact"/>
        <w:rPr>
          <w:sz w:val="20"/>
          <w:szCs w:val="20"/>
          <w:color w:val="auto"/>
        </w:rPr>
      </w:pPr>
    </w:p>
    <w:p>
      <w:pPr>
        <w:ind w:left="640" w:right="719" w:firstLine="309"/>
        <w:spacing w:after="0" w:line="247" w:lineRule="auto"/>
        <w:rPr>
          <w:sz w:val="20"/>
          <w:szCs w:val="20"/>
          <w:color w:val="auto"/>
        </w:rPr>
      </w:pPr>
      <w:r>
        <w:rPr>
          <w:rFonts w:ascii="Times New Roman" w:cs="Times New Roman" w:eastAsia="Times New Roman" w:hAnsi="Times New Roman"/>
          <w:sz w:val="13"/>
          <w:szCs w:val="13"/>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other securities convertible into or exercisable or exchangeable for Parent Common Stock:</w:t>
      </w:r>
    </w:p>
    <w:p>
      <w:pPr>
        <w:spacing w:after="0" w:line="60" w:lineRule="exact"/>
        <w:rPr>
          <w:sz w:val="20"/>
          <w:szCs w:val="20"/>
          <w:color w:val="auto"/>
        </w:rPr>
      </w:pPr>
    </w:p>
    <w:p>
      <w:pPr>
        <w:ind w:left="940" w:right="899"/>
        <w:spacing w:after="0" w:line="309" w:lineRule="auto"/>
        <w:rPr>
          <w:sz w:val="20"/>
          <w:szCs w:val="20"/>
          <w:color w:val="auto"/>
        </w:rPr>
      </w:pPr>
      <w:r>
        <w:rPr>
          <w:rFonts w:ascii="Times New Roman" w:cs="Times New Roman" w:eastAsia="Times New Roman" w:hAnsi="Times New Roman"/>
          <w:sz w:val="12"/>
          <w:szCs w:val="12"/>
          <w:color w:val="auto"/>
        </w:rPr>
        <w:t>THE SHARES REPRESENTED BY THIS CERTIFICATE ARE SUBJECT TO AND MAY ONLY BE TRANSFERRED IN COMPLIANCE WITH A LOCK-UP AGREEMENT, A COPY OF WHICH IS ON FILE AT THE PRINCIPAL OFFICE OF THE COMPANY.</w:t>
      </w:r>
    </w:p>
    <w:p>
      <w:pPr>
        <w:spacing w:after="0" w:line="100" w:lineRule="exact"/>
        <w:rPr>
          <w:sz w:val="20"/>
          <w:szCs w:val="20"/>
          <w:color w:val="auto"/>
        </w:rPr>
      </w:pPr>
    </w:p>
    <w:p>
      <w:pPr>
        <w:jc w:val="both"/>
        <w:ind w:left="640" w:right="959" w:firstLine="309"/>
        <w:spacing w:after="0" w:line="255" w:lineRule="auto"/>
        <w:rPr>
          <w:sz w:val="20"/>
          <w:szCs w:val="20"/>
          <w:color w:val="auto"/>
        </w:rPr>
      </w:pPr>
      <w:r>
        <w:rPr>
          <w:rFonts w:ascii="Times New Roman" w:cs="Times New Roman" w:eastAsia="Times New Roman" w:hAnsi="Times New Roman"/>
          <w:sz w:val="13"/>
          <w:szCs w:val="13"/>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30"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The undersigned understands that if the Merger Agreement is terminated for any reason, the undersigned shall be released from all obligations under this Lock-Up Agreement. The undersigned understands that Parent and the Company are proceeding with the Contemplated Transactions in reliance upon this Lock-Up Agreement. Notwithstanding anything to the contrary contained herein, this Lock-Up Agreement will automatically terminate and the undersigned shall be released from all obligations under this Lock-Up Agreement upon the earliest to occur, if any, of (i) the Company advising the undersigned in writing that it has determined not to proceed with the Contemplated Transactions or (ii) the Merger Agreement being validly terminated pursuant to its terms.</w:t>
      </w:r>
    </w:p>
    <w:p>
      <w:pPr>
        <w:spacing w:after="0" w:line="135"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were not performed in accordance with its specific terms or were otherwise breached. It is accordingly agreed that Parent and the Company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62" w:name="page163"/>
    <w:bookmarkEnd w:id="162"/>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the event that any holder of Parent’s securities that are subject to a substantially similar agreement entered into by such holder, other than the undersigned, is permitted by Parent (or prior to the Closing, the Company), including through any written consent granted under subparagraph (a)(ii)(E) above, to sell or otherwise transfer or dispose of shares of Parent Common Stock for value other than as permitted by this or a substantially similar agreement entered into by such holder or is granted an early release from the restrictions described herein during the Restricted Period, the same percentage of shares of the Undersigned’s Shares shall be immediately and fully released on the same terms from any remaining restrictions set forth herein (the “</w:t>
      </w:r>
      <w:r>
        <w:rPr>
          <w:rFonts w:ascii="Times New Roman" w:cs="Times New Roman" w:eastAsia="Times New Roman" w:hAnsi="Times New Roman"/>
          <w:sz w:val="13"/>
          <w:szCs w:val="13"/>
          <w:b w:val="1"/>
          <w:bCs w:val="1"/>
          <w:i w:val="1"/>
          <w:iCs w:val="1"/>
          <w:color w:val="auto"/>
        </w:rPr>
        <w:t>Pro-Rata Release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color w:val="auto"/>
        </w:rPr>
        <w:t>, that such Pro-Rata Release shall not be applied unless and until permission or early release has been granted by Parent, and solely prior to the Closing, the Company, to an equity holder or equity holders to sell or otherwise transfer or dispose of all or a portion of such equity holder’s shares of Parent Common Stock that, when combined with all such other such permissions and early releases, represent an aggregate amount in excess of [•]% of the number of shares of Parent Common Stock originally subject to a substantially similar agreements. Parent shall notify the undersigned of any Pro-Rata Release of its shares on the same day that any permission that triggers the Pro-Rata Release is granted.</w:t>
      </w:r>
    </w:p>
    <w:p>
      <w:pPr>
        <w:spacing w:after="0" w:line="141" w:lineRule="exact"/>
        <w:rPr>
          <w:sz w:val="20"/>
          <w:szCs w:val="20"/>
          <w:color w:val="auto"/>
        </w:rPr>
      </w:pPr>
    </w:p>
    <w:p>
      <w:pPr>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Upon the release of any of the Undersigned’s Shares from this Lock-Up Agreement, Parent will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w:t>
      </w:r>
    </w:p>
    <w:p>
      <w:pPr>
        <w:spacing w:after="0" w:line="13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w:t>
      </w:r>
    </w:p>
    <w:p>
      <w:pPr>
        <w:spacing w:after="0" w:line="137"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the Merger Agreement and to the undersigned at his, her or its address or email address (providing confirmation of transmission) set forth on the signature page hereto (or at such other address for a party as shall be specified by like notice).</w:t>
      </w:r>
    </w:p>
    <w:p>
      <w:pPr>
        <w:spacing w:after="0" w:line="133"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facsimile, electronic mail (including any electronic signature covered by the U.S. federal ESIGN Act of 2000, Uniform Electronic Transactions Act, the Electronic Signatures and Records Act or other applicable law, e.g., www.docusign.com) or electronic transmission in .pdf format shall be sufficient to bind such parties to the terms and conditions of this Lock-Up Agreement.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63" w:name="page164"/>
    <w:bookmarkEnd w:id="163"/>
    <w:tbl>
      <w:tblPr>
        <w:tblLayout w:type="fixed"/>
        <w:tblInd w:w="900" w:type="dxa"/>
        <w:tblCellMar>
          <w:top w:w="0" w:type="dxa"/>
          <w:left w:w="0" w:type="dxa"/>
          <w:bottom w:w="0" w:type="dxa"/>
          <w:right w:w="0" w:type="dxa"/>
        </w:tblCellMar>
      </w:tblPr>
      <w:tr>
        <w:trPr>
          <w:trHeight w:val="165"/>
        </w:trPr>
        <w:tc>
          <w:tcPr>
            <w:tcW w:w="3020" w:type="dxa"/>
            <w:vAlign w:val="bottom"/>
          </w:tcPr>
          <w:p>
            <w:pPr>
              <w:spacing w:after="0"/>
              <w:rPr>
                <w:sz w:val="14"/>
                <w:szCs w:val="14"/>
                <w:color w:val="auto"/>
              </w:rPr>
            </w:pPr>
          </w:p>
        </w:tc>
        <w:tc>
          <w:tcPr>
            <w:tcW w:w="44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Very truly yours,</w:t>
            </w:r>
          </w:p>
        </w:tc>
      </w:tr>
      <w:tr>
        <w:trPr>
          <w:trHeight w:val="275"/>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Print Name of Stockholder:</w:t>
            </w:r>
          </w:p>
        </w:tc>
        <w:tc>
          <w:tcPr>
            <w:tcW w:w="44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4"/>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312"/>
        </w:trPr>
        <w:tc>
          <w:tcPr>
            <w:tcW w:w="30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Signature (for individuals):</w:t>
            </w:r>
          </w:p>
        </w:tc>
      </w:tr>
      <w:tr>
        <w:trPr>
          <w:trHeight w:val="303"/>
        </w:trPr>
        <w:tc>
          <w:tcPr>
            <w:tcW w:w="3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302"/>
        </w:trPr>
        <w:tc>
          <w:tcPr>
            <w:tcW w:w="30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Signature (for entities):</w:t>
            </w:r>
          </w:p>
        </w:tc>
      </w:tr>
      <w:tr>
        <w:trPr>
          <w:trHeight w:val="303"/>
        </w:trPr>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By: </w:t>
            </w:r>
          </w:p>
        </w:tc>
      </w:tr>
      <w:tr>
        <w:trPr>
          <w:trHeight w:val="151"/>
        </w:trPr>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Name: </w:t>
            </w:r>
          </w:p>
        </w:tc>
      </w:tr>
      <w:tr>
        <w:trPr>
          <w:trHeight w:val="151"/>
        </w:trPr>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 </w:t>
            </w:r>
          </w:p>
        </w:tc>
        <w:tc>
          <w:tcPr>
            <w:tcW w:w="80" w:type="dxa"/>
            <w:vAlign w:val="bottom"/>
            <w:tcBorders>
              <w:top w:val="single" w:sz="8" w:color="auto"/>
              <w:bottom w:val="single" w:sz="8" w:color="auto"/>
            </w:tcBorders>
          </w:tcPr>
          <w:p>
            <w:pPr>
              <w:spacing w:after="0"/>
              <w:rPr>
                <w:sz w:val="13"/>
                <w:szCs w:val="13"/>
                <w:color w:val="auto"/>
              </w:rPr>
            </w:pPr>
          </w:p>
        </w:tc>
        <w:tc>
          <w:tcPr>
            <w:tcW w:w="2760" w:type="dxa"/>
            <w:vAlign w:val="bottom"/>
            <w:tcBorders>
              <w:top w:val="single" w:sz="8" w:color="auto"/>
              <w:bottom w:val="single" w:sz="8" w:color="auto"/>
            </w:tcBorders>
          </w:tcPr>
          <w:p>
            <w:pPr>
              <w:spacing w:after="0"/>
              <w:rPr>
                <w:sz w:val="13"/>
                <w:szCs w:val="13"/>
                <w:color w:val="auto"/>
              </w:rPr>
            </w:pPr>
          </w:p>
        </w:tc>
      </w:tr>
      <w:tr>
        <w:trPr>
          <w:trHeight w:val="473"/>
        </w:trPr>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6"/>
              </w:rPr>
              <w:t>Email Address:</w:t>
            </w:r>
          </w:p>
        </w:tc>
        <w:tc>
          <w:tcPr>
            <w:tcW w:w="3500" w:type="dxa"/>
            <w:vAlign w:val="bottom"/>
            <w:tcBorders>
              <w:bottom w:val="single" w:sz="8" w:color="auto"/>
            </w:tcBorders>
            <w:gridSpan w:val="3"/>
          </w:tcPr>
          <w:p>
            <w:pPr>
              <w:spacing w:after="0"/>
              <w:rPr>
                <w:sz w:val="24"/>
                <w:szCs w:val="24"/>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Accepted and Agreed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Gazelle Parent, Inc.</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9525</wp:posOffset>
            </wp:positionV>
            <wp:extent cx="180530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05305" cy="571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9525</wp:posOffset>
            </wp:positionV>
            <wp:extent cx="152844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28445" cy="571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9525</wp:posOffset>
            </wp:positionV>
            <wp:extent cx="152844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28445"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Accepted and Agreed by Obsidian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9525</wp:posOffset>
            </wp:positionV>
            <wp:extent cx="180530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05305" cy="571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9525</wp:posOffset>
            </wp:positionV>
            <wp:extent cx="152844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28445" cy="571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9525</wp:posOffset>
            </wp:positionV>
            <wp:extent cx="152844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28445" cy="571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Lock-Up Agreement]</w:t>
      </w:r>
    </w:p>
    <w:p>
      <w:pPr>
        <w:sectPr>
          <w:pgSz w:w="11900" w:h="16838" w:orient="portrait"/>
          <w:cols w:equalWidth="0" w:num="1">
            <w:col w:w="9019"/>
          </w:cols>
          <w:pgMar w:left="1440" w:top="231"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Galera Concurrent PIPE Financing Released Shares</w:t>
      </w:r>
    </w:p>
    <w:p>
      <w:pPr>
        <w:spacing w:after="0" w:line="171" w:lineRule="exact"/>
        <w:rPr>
          <w:sz w:val="20"/>
          <w:szCs w:val="20"/>
          <w:color w:val="auto"/>
        </w:rPr>
      </w:pPr>
    </w:p>
    <w:p>
      <w:pPr>
        <w:ind w:left="2440"/>
        <w:spacing w:after="0"/>
        <w:tabs>
          <w:tab w:leader="none" w:pos="5360" w:val="left"/>
        </w:tabs>
        <w:rPr>
          <w:sz w:val="20"/>
          <w:szCs w:val="20"/>
          <w:color w:val="auto"/>
        </w:rPr>
      </w:pPr>
      <w:r>
        <w:rPr>
          <w:rFonts w:ascii="Times New Roman" w:cs="Times New Roman" w:eastAsia="Times New Roman" w:hAnsi="Times New Roman"/>
          <w:sz w:val="10"/>
          <w:szCs w:val="10"/>
          <w:b w:val="1"/>
          <w:bCs w:val="1"/>
          <w:color w:val="auto"/>
        </w:rPr>
        <w:t>Investor</w:t>
      </w:r>
      <w:r>
        <w:rPr>
          <w:sz w:val="20"/>
          <w:szCs w:val="20"/>
          <w:color w:val="auto"/>
        </w:rPr>
        <w:tab/>
      </w:r>
      <w:r>
        <w:rPr>
          <w:rFonts w:ascii="Times New Roman" w:cs="Times New Roman" w:eastAsia="Times New Roman" w:hAnsi="Times New Roman"/>
          <w:sz w:val="10"/>
          <w:szCs w:val="10"/>
          <w:b w:val="1"/>
          <w:bCs w:val="1"/>
          <w:color w:val="auto"/>
        </w:rPr>
        <w:t>Galera Concurrent PIPE Financing Released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Lock-Up Agreement]</w:t>
      </w:r>
    </w:p>
    <w:p>
      <w:pPr>
        <w:sectPr>
          <w:pgSz w:w="11900" w:h="16838" w:orient="portrait"/>
          <w:cols w:equalWidth="0" w:num="1">
            <w:col w:w="9019"/>
          </w:cols>
          <w:pgMar w:left="1440" w:top="229" w:right="1440" w:bottom="1440" w:gutter="0" w:footer="0" w:header="0"/>
        </w:sectPr>
      </w:pPr>
    </w:p>
    <w:bookmarkStart w:id="165" w:name="page166"/>
    <w:bookmarkEnd w:id="16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10.4</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PURCHASE AGREEMENT</w:t>
      </w:r>
    </w:p>
    <w:p>
      <w:pPr>
        <w:spacing w:after="0" w:line="154" w:lineRule="exact"/>
        <w:rPr>
          <w:sz w:val="20"/>
          <w:szCs w:val="20"/>
          <w:color w:val="auto"/>
        </w:rPr>
      </w:pPr>
    </w:p>
    <w:p>
      <w:pPr>
        <w:jc w:val="both"/>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SECURITIES PURCHASE AGREEMENT</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dated as of April 14, 2026, by and among Galera Therapeutics,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Gazelle Parent,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xml:space="preserve">”) (solely with respect to </w:t>
      </w:r>
      <w:r>
        <w:rPr>
          <w:rFonts w:ascii="Times New Roman" w:cs="Times New Roman" w:eastAsia="Times New Roman" w:hAnsi="Times New Roman"/>
          <w:sz w:val="13"/>
          <w:szCs w:val="13"/>
          <w:u w:val="single" w:color="auto"/>
          <w:color w:val="auto"/>
        </w:rPr>
        <w:t>Sections 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5.12</w:t>
      </w:r>
      <w:r>
        <w:rPr>
          <w:rFonts w:ascii="Times New Roman" w:cs="Times New Roman" w:eastAsia="Times New Roman" w:hAnsi="Times New Roman"/>
          <w:sz w:val="13"/>
          <w:szCs w:val="13"/>
          <w:color w:val="auto"/>
        </w:rPr>
        <w:t xml:space="preserve"> hereof), Obsidian Therapeutics, Inc., a Delaware corporation (“</w:t>
      </w:r>
      <w:r>
        <w:rPr>
          <w:rFonts w:ascii="Times New Roman" w:cs="Times New Roman" w:eastAsia="Times New Roman" w:hAnsi="Times New Roman"/>
          <w:sz w:val="13"/>
          <w:szCs w:val="13"/>
          <w:b w:val="1"/>
          <w:bCs w:val="1"/>
          <w:color w:val="auto"/>
        </w:rPr>
        <w:t>Obsidian</w:t>
      </w:r>
      <w:r>
        <w:rPr>
          <w:rFonts w:ascii="Times New Roman" w:cs="Times New Roman" w:eastAsia="Times New Roman" w:hAnsi="Times New Roman"/>
          <w:sz w:val="13"/>
          <w:szCs w:val="13"/>
          <w:color w:val="auto"/>
        </w:rPr>
        <w:t xml:space="preserve">”) (solely with respect to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hereof), and each of the Persons listed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attached to this Agreement (each, an “</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together, the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11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and the Investors are executing and delivering this Agreement in reliance upon the exemption from securities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registration afforded by Section 4(a)(2) of the U.S.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each Investor, severally and not jointly, wishes to purchase, and the Company wishes to issue and sell, upon the terms and</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conditions stated in this Agreement, an aggregate of approximately $350,000,000 worth of shares (the “</w:t>
      </w:r>
      <w:r>
        <w:rPr>
          <w:rFonts w:ascii="Times New Roman" w:cs="Times New Roman" w:eastAsia="Times New Roman" w:hAnsi="Times New Roman"/>
          <w:sz w:val="13"/>
          <w:szCs w:val="13"/>
          <w:b w:val="1"/>
          <w:bCs w:val="1"/>
          <w:color w:val="auto"/>
        </w:rPr>
        <w:t>Preferred Shares</w:t>
      </w:r>
      <w:r>
        <w:rPr>
          <w:rFonts w:ascii="Times New Roman" w:cs="Times New Roman" w:eastAsia="Times New Roman" w:hAnsi="Times New Roman"/>
          <w:sz w:val="13"/>
          <w:szCs w:val="13"/>
          <w:color w:val="auto"/>
        </w:rPr>
        <w:t>”) of Series C Non-Voting</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Convertible Preferred Stock, par value $0.001 per share (the “</w:t>
      </w:r>
      <w:r>
        <w:rPr>
          <w:rFonts w:ascii="Times New Roman" w:cs="Times New Roman" w:eastAsia="Times New Roman" w:hAnsi="Times New Roman"/>
          <w:sz w:val="12"/>
          <w:szCs w:val="12"/>
          <w:b w:val="1"/>
          <w:bCs w:val="1"/>
          <w:color w:val="auto"/>
        </w:rPr>
        <w:t>Series C Preferred Stock</w:t>
      </w:r>
      <w:r>
        <w:rPr>
          <w:rFonts w:ascii="Times New Roman" w:cs="Times New Roman" w:eastAsia="Times New Roman" w:hAnsi="Times New Roman"/>
          <w:sz w:val="12"/>
          <w:szCs w:val="12"/>
          <w:color w:val="auto"/>
        </w:rPr>
        <w:t>”) of the Company, at a per share purchase price equal to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Share Price (as defined below), having the designation, preferences, conversion or other rights, voting powers, restrictions, limitations as to dividends,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qualifications and terms and conditions as specified in the Certificate of Designations, substantially in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Certificate of Designations</w:t>
      </w:r>
      <w:r>
        <w:rPr>
          <w:rFonts w:ascii="Times New Roman" w:cs="Times New Roman" w:eastAsia="Times New Roman" w:hAnsi="Times New Roman"/>
          <w:sz w:val="12"/>
          <w:szCs w:val="12"/>
          <w:color w:val="auto"/>
        </w:rPr>
        <w:t>”), which will be convertible into shares (the “</w:t>
      </w:r>
      <w:r>
        <w:rPr>
          <w:rFonts w:ascii="Times New Roman" w:cs="Times New Roman" w:eastAsia="Times New Roman" w:hAnsi="Times New Roman"/>
          <w:sz w:val="12"/>
          <w:szCs w:val="12"/>
          <w:b w:val="1"/>
          <w:bCs w:val="1"/>
          <w:color w:val="auto"/>
        </w:rPr>
        <w:t>Conversion Shares</w:t>
      </w:r>
      <w:r>
        <w:rPr>
          <w:rFonts w:ascii="Times New Roman" w:cs="Times New Roman" w:eastAsia="Times New Roman" w:hAnsi="Times New Roman"/>
          <w:sz w:val="12"/>
          <w:szCs w:val="12"/>
          <w:color w:val="auto"/>
        </w:rPr>
        <w:t>”) of the Company’s common stock, par value $0.001</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per share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in accordance with the terms set forth in the Certificate of Designations.</w:t>
      </w:r>
    </w:p>
    <w:p>
      <w:pPr>
        <w:spacing w:after="0" w:line="139" w:lineRule="exact"/>
        <w:rPr>
          <w:sz w:val="20"/>
          <w:szCs w:val="20"/>
          <w:color w:val="auto"/>
        </w:rPr>
      </w:pPr>
    </w:p>
    <w:p>
      <w:pPr>
        <w:ind w:left="640" w:right="81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contemporaneously with the sale of the Preferred Shares, the Company and the Investors will execute and deliver a Registration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Rights Agreement,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Registration Rights Agreement</w:t>
      </w:r>
      <w:r>
        <w:rPr>
          <w:rFonts w:ascii="Times New Roman" w:cs="Times New Roman" w:eastAsia="Times New Roman" w:hAnsi="Times New Roman"/>
          <w:sz w:val="13"/>
          <w:szCs w:val="13"/>
          <w:color w:val="auto"/>
        </w:rPr>
        <w:t>”), pursuant to which the Company will agree to provide certain registration rights with respect to the Exchange Shares (as defined in the Registration Rights Agreement) under the Securities Act and applicable state securities laws;</w:t>
      </w:r>
    </w:p>
    <w:p>
      <w:pPr>
        <w:spacing w:after="0" w:line="130"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is party to that certain Agreement and Plan of Merger by and among the Company, Obsidian, Parent, Onyx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MergerSub, Inc., a Delaware corporation and a direct, wholly owned subsidiary of Parent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Onyx Merger Sub</w:t>
      </w:r>
      <w:r>
        <w:rPr>
          <w:rFonts w:ascii="Times New Roman" w:cs="Times New Roman" w:eastAsia="Times New Roman" w:hAnsi="Times New Roman"/>
          <w:sz w:val="13"/>
          <w:szCs w:val="13"/>
          <w:color w:val="auto"/>
        </w:rPr>
        <w:t xml:space="preserve">”), and Gazelle Merger Subsidiary, Inc., a Delaware corporation and a direct, wholly owned subsidiary of Parent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Gazelle Merger Sub</w:t>
      </w:r>
      <w:r>
        <w:rPr>
          <w:rFonts w:ascii="Times New Roman" w:cs="Times New Roman" w:eastAsia="Times New Roman" w:hAnsi="Times New Roman"/>
          <w:sz w:val="13"/>
          <w:szCs w:val="13"/>
          <w:color w:val="auto"/>
        </w:rPr>
        <w:t xml:space="preserve">”), dated April 14, 2026 (as amended from time to time in accordance with the terms thereof and </w:t>
      </w:r>
      <w:r>
        <w:rPr>
          <w:rFonts w:ascii="Times New Roman" w:cs="Times New Roman" w:eastAsia="Times New Roman" w:hAnsi="Times New Roman"/>
          <w:sz w:val="13"/>
          <w:szCs w:val="13"/>
          <w:u w:val="single" w:color="auto"/>
          <w:color w:val="auto"/>
        </w:rPr>
        <w:t>Section 5.13</w:t>
      </w:r>
      <w:r>
        <w:rPr>
          <w:rFonts w:ascii="Times New Roman" w:cs="Times New Roman" w:eastAsia="Times New Roman" w:hAnsi="Times New Roman"/>
          <w:sz w:val="13"/>
          <w:szCs w:val="13"/>
          <w:color w:val="auto"/>
        </w:rPr>
        <w:t xml:space="preserve"> hereof, and as supplemented by any disclosure schedules or letters thereto,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pursuant to which (i) Onyx Merger Sub will merge with and into Obsidian and Obsidian will become a wholly-owned subsidiary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Parent (the “</w:t>
      </w:r>
      <w:r>
        <w:rPr>
          <w:rFonts w:ascii="Times New Roman" w:cs="Times New Roman" w:eastAsia="Times New Roman" w:hAnsi="Times New Roman"/>
          <w:sz w:val="13"/>
          <w:szCs w:val="13"/>
          <w:b w:val="1"/>
          <w:bCs w:val="1"/>
          <w:color w:val="auto"/>
        </w:rPr>
        <w:t>Obsidian Merger</w:t>
      </w:r>
      <w:r>
        <w:rPr>
          <w:rFonts w:ascii="Times New Roman" w:cs="Times New Roman" w:eastAsia="Times New Roman" w:hAnsi="Times New Roman"/>
          <w:sz w:val="13"/>
          <w:szCs w:val="13"/>
          <w:color w:val="auto"/>
        </w:rPr>
        <w:t>”) and (ii) Gazelle Merger Sub will merge with and into Galera and Galera will become a wholly-owned subsidiary of Parent (the “</w:t>
      </w:r>
      <w:r>
        <w:rPr>
          <w:rFonts w:ascii="Times New Roman" w:cs="Times New Roman" w:eastAsia="Times New Roman" w:hAnsi="Times New Roman"/>
          <w:sz w:val="13"/>
          <w:szCs w:val="13"/>
          <w:b w:val="1"/>
          <w:bCs w:val="1"/>
          <w:color w:val="auto"/>
        </w:rPr>
        <w:t>Galera Merger</w:t>
      </w:r>
      <w:r>
        <w:rPr>
          <w:rFonts w:ascii="Times New Roman" w:cs="Times New Roman" w:eastAsia="Times New Roman" w:hAnsi="Times New Roman"/>
          <w:sz w:val="13"/>
          <w:szCs w:val="13"/>
          <w:color w:val="auto"/>
        </w:rPr>
        <w:t>” and, together with the Obsidian Merger, the “</w:t>
      </w:r>
      <w:r>
        <w:rPr>
          <w:rFonts w:ascii="Times New Roman" w:cs="Times New Roman" w:eastAsia="Times New Roman" w:hAnsi="Times New Roman"/>
          <w:sz w:val="13"/>
          <w:szCs w:val="13"/>
          <w:b w:val="1"/>
          <w:bCs w:val="1"/>
          <w:color w:val="auto"/>
        </w:rPr>
        <w:t>Mergers</w:t>
      </w:r>
      <w:r>
        <w:rPr>
          <w:rFonts w:ascii="Times New Roman" w:cs="Times New Roman" w:eastAsia="Times New Roman" w:hAnsi="Times New Roman"/>
          <w:sz w:val="13"/>
          <w:szCs w:val="13"/>
          <w:color w:val="auto"/>
        </w:rPr>
        <w:t>”), with Parent acting as the parent company for the combined businesses of Obsidian and Galera;</w:t>
      </w:r>
    </w:p>
    <w:p>
      <w:pPr>
        <w:spacing w:after="0" w:line="134"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upon consummation of the Mergers and pursuant to the terms and conditions in the Merger Agreement, the Conversion Shares shall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 exchanged for Exchange Shares on the Closing Date (as defined in the Merger Agreement); and</w:t>
      </w:r>
    </w:p>
    <w:p>
      <w:pPr>
        <w:sectPr>
          <w:pgSz w:w="11900" w:h="16838" w:orient="portrait"/>
          <w:cols w:equalWidth="0" w:num="1">
            <w:col w:w="9019"/>
          </w:cols>
          <w:pgMar w:left="1440" w:top="229" w:right="1440" w:bottom="1440" w:gutter="0" w:footer="0" w:header="0"/>
        </w:sectPr>
      </w:pPr>
    </w:p>
    <w:bookmarkStart w:id="166" w:name="page167"/>
    <w:bookmarkEnd w:id="166"/>
    <w:p>
      <w:pPr>
        <w:ind w:left="640" w:right="7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NOW THEREFORE</w:t>
      </w:r>
      <w:r>
        <w:rPr>
          <w:rFonts w:ascii="Times New Roman" w:cs="Times New Roman" w:eastAsia="Times New Roman" w:hAnsi="Times New Roman"/>
          <w:sz w:val="13"/>
          <w:szCs w:val="13"/>
          <w:color w:val="auto"/>
        </w:rPr>
        <w:t>, in consideration of the mutual agreements, representations, warranties and covenants herein contained, the Company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each Investor, severally and not jointly, agree as follows:</w:t>
      </w:r>
    </w:p>
    <w:p>
      <w:pPr>
        <w:spacing w:after="0" w:line="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As used in this Agreement, the following terms shall have the following respective meanings:</w:t>
      </w:r>
    </w:p>
    <w:p>
      <w:pPr>
        <w:spacing w:after="0" w:line="76" w:lineRule="exact"/>
        <w:rPr>
          <w:sz w:val="20"/>
          <w:szCs w:val="20"/>
          <w:color w:val="auto"/>
        </w:rPr>
      </w:pPr>
    </w:p>
    <w:p>
      <w:pPr>
        <w:ind w:left="640" w:right="8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2026 SEC Reports</w:t>
      </w:r>
      <w:r>
        <w:rPr>
          <w:rFonts w:ascii="Times New Roman" w:cs="Times New Roman" w:eastAsia="Times New Roman" w:hAnsi="Times New Roman"/>
          <w:sz w:val="13"/>
          <w:szCs w:val="13"/>
          <w:color w:val="auto"/>
        </w:rPr>
        <w:t>” means (a) the Company’s Annual Report on Form 10-K for the fiscal year ended December 31, 2025, (b) any Quarterly Reports on Form 10-Q filed in 2026, (c) proxy statements, or (d) any Current Reports on Form 8-K filed or furnished (as applicable) by the Company after January 1, 2026 and prior to the Business Day immediately preceding the date hereof, together in each case with any documents incorporated by reference therein or exhibits thereto.</w:t>
      </w:r>
    </w:p>
    <w:p>
      <w:pPr>
        <w:spacing w:after="0" w:line="130" w:lineRule="exact"/>
        <w:rPr>
          <w:sz w:val="20"/>
          <w:szCs w:val="20"/>
          <w:color w:val="auto"/>
        </w:rPr>
      </w:pPr>
    </w:p>
    <w:p>
      <w:pPr>
        <w:ind w:left="640" w:right="10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with respect to any Person, any other Person that, directly or indirectly through one or more intermediaries, controls, is controlled by or is under common control with such Person.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Purchase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Benefit Plan</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Benefit Plans</w:t>
      </w:r>
      <w:r>
        <w:rPr>
          <w:rFonts w:ascii="Times New Roman" w:cs="Times New Roman" w:eastAsia="Times New Roman" w:hAnsi="Times New Roman"/>
          <w:sz w:val="13"/>
          <w:szCs w:val="13"/>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Board of Directors</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Bylaws</w:t>
      </w:r>
      <w:r>
        <w:rPr>
          <w:rFonts w:ascii="Times New Roman" w:cs="Times New Roman" w:eastAsia="Times New Roman" w:hAnsi="Times New Roman"/>
          <w:sz w:val="13"/>
          <w:szCs w:val="13"/>
          <w:color w:val="auto"/>
        </w:rPr>
        <w:t>” means the Amended and Restated Bylaws of the Company, as currently in effect and as in effect on the Closing Date.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Designation</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Incorporation</w:t>
      </w:r>
      <w:r>
        <w:rPr>
          <w:rFonts w:ascii="Times New Roman" w:cs="Times New Roman" w:eastAsia="Times New Roman" w:hAnsi="Times New Roman"/>
          <w:sz w:val="13"/>
          <w:szCs w:val="13"/>
          <w:color w:val="auto"/>
        </w:rPr>
        <w:t>” means the Restated Certificate of Incorporation of the Company, as amended, as currently in effect and as in effect on the Closing Date.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U.S. Internal Revenue Code of 1986,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means the common stock, par value $0.001 per share, of the Company.</w:t>
      </w:r>
    </w:p>
    <w:p>
      <w:pPr>
        <w:spacing w:after="0" w:line="154" w:lineRule="exact"/>
        <w:rPr>
          <w:sz w:val="20"/>
          <w:szCs w:val="20"/>
          <w:color w:val="auto"/>
        </w:rPr>
      </w:pPr>
    </w:p>
    <w:p>
      <w:pPr>
        <w:jc w:val="both"/>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 Equivalents</w:t>
      </w:r>
      <w:r>
        <w:rPr>
          <w:rFonts w:ascii="Times New Roman" w:cs="Times New Roman" w:eastAsia="Times New Roman" w:hAnsi="Times New Roman"/>
          <w:sz w:val="13"/>
          <w:szCs w:val="13"/>
          <w:color w:val="auto"/>
        </w:rPr>
        <w:t>”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ectPr>
          <w:pgSz w:w="11900" w:h="16838" w:orient="portrait"/>
          <w:cols w:equalWidth="0" w:num="1">
            <w:col w:w="9019"/>
          </w:cols>
          <w:pgMar w:left="1440" w:top="229" w:right="1440" w:bottom="1440" w:gutter="0" w:footer="0" w:header="0"/>
        </w:sectPr>
      </w:pPr>
    </w:p>
    <w:bookmarkStart w:id="167" w:name="page168"/>
    <w:bookmarkEnd w:id="167"/>
    <w:p>
      <w:pPr>
        <w:ind w:left="640" w:right="81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means the Company for all periods prior to the occurrence of each of the Obsidian Effective Time and the Galera Effective Time (each, as defined in the Merger Agreement) and Parent for all periods following the occurrence of each of the Obsidian Effective Time and the Galera Effective Time.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 Data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Conversion Shares</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means the Delaware General Corporation Law, as amended or superseded from time to time.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Disclosure Document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Disclosure Time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8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Drug Regulatory Agency</w:t>
      </w:r>
      <w:r>
        <w:rPr>
          <w:rFonts w:ascii="Times New Roman" w:cs="Times New Roman" w:eastAsia="Times New Roman" w:hAnsi="Times New Roman"/>
          <w:sz w:val="13"/>
          <w:szCs w:val="13"/>
          <w:color w:val="auto"/>
        </w:rPr>
        <w:t>” means the U.S. Food and Drug Administration (“</w:t>
      </w:r>
      <w:r>
        <w:rPr>
          <w:rFonts w:ascii="Times New Roman" w:cs="Times New Roman" w:eastAsia="Times New Roman" w:hAnsi="Times New Roman"/>
          <w:sz w:val="13"/>
          <w:szCs w:val="13"/>
          <w:b w:val="1"/>
          <w:bCs w:val="1"/>
          <w:color w:val="auto"/>
        </w:rPr>
        <w:t>FDA</w:t>
      </w:r>
      <w:r>
        <w:rPr>
          <w:rFonts w:ascii="Times New Roman" w:cs="Times New Roman" w:eastAsia="Times New Roman" w:hAnsi="Times New Roman"/>
          <w:sz w:val="13"/>
          <w:szCs w:val="13"/>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3.15</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means the U.S. Employee Retirement Income Security Act of 1974,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U.S. Securities Exchange Act of 1934, as amended, and all of the rules and regulations promulgated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Fundamental Representations</w:t>
      </w:r>
      <w:r>
        <w:rPr>
          <w:rFonts w:ascii="Times New Roman" w:cs="Times New Roman" w:eastAsia="Times New Roman" w:hAnsi="Times New Roman"/>
          <w:sz w:val="13"/>
          <w:szCs w:val="13"/>
          <w:color w:val="auto"/>
        </w:rPr>
        <w:t>” means the representations and warranties made by the Company in Sections 3.1 (Organization and Power), 3.2 (Capitalization), 3.4 (Authorization), 3.5 (Valid Issuance), 3.6 (No Conflict), 3.7 (Consents), 3.8 (SEC Filings; Financial Statements), 3.18 (OTCQB Stock Market), 3.19 (Sarbanes-Oxley Act), 3.23 (Price Stabilization of Common Stock), 3.24 (Investment Company Act), 3.25 (General Solicitation; No Integration or Aggregation), 3.26 (Brokers and Finders), 3.27 (Reliance by the Investors) and 3.28 (No Additional Agreements).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Funding 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GDPR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Authorizations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Health Care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HIPAA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Indemnified Persons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5.10(a)</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68" w:name="page169"/>
    <w:bookmarkEnd w:id="16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 have the meanings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materially delays or materially impairs the ability of the Company to timely comply, or prevents the Company from timely complying, with its obligations under this Agreement, the other Transaction Agreements, the Merger Agreement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120" w:lineRule="exact"/>
        <w:rPr>
          <w:sz w:val="20"/>
          <w:szCs w:val="20"/>
          <w:color w:val="auto"/>
        </w:rPr>
      </w:pPr>
    </w:p>
    <w:p>
      <w:pPr>
        <w:jc w:val="both"/>
        <w:ind w:left="640" w:right="699" w:firstLine="307"/>
        <w:spacing w:after="0" w:line="255" w:lineRule="auto"/>
        <w:tabs>
          <w:tab w:leader="none" w:pos="110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spacing w:after="0" w:line="130" w:lineRule="exact"/>
        <w:rPr>
          <w:rFonts w:ascii="Times New Roman" w:cs="Times New Roman" w:eastAsia="Times New Roman" w:hAnsi="Times New Roman"/>
          <w:sz w:val="13"/>
          <w:szCs w:val="13"/>
          <w:color w:val="auto"/>
        </w:rPr>
      </w:pPr>
    </w:p>
    <w:p>
      <w:pPr>
        <w:ind w:left="640" w:right="999" w:firstLine="307"/>
        <w:spacing w:after="0" w:line="267" w:lineRule="auto"/>
        <w:tabs>
          <w:tab w:leader="none" w:pos="1135"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financial, credit or capital market conditions, including interest rates or exchange rates, or any changes therein, provided that the Company or its Subsidiaries are not disproportionately affected thereby;</w:t>
      </w:r>
    </w:p>
    <w:p>
      <w:pPr>
        <w:spacing w:after="0" w:line="122"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17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that generally affects industries in which the Company and its Subsidiaries conduct business, provided that the Company and its Subsidiaries are not disproportionately affected thereby;</w:t>
      </w:r>
    </w:p>
    <w:p>
      <w:pPr>
        <w:spacing w:after="0" w:line="122" w:lineRule="exact"/>
        <w:rPr>
          <w:rFonts w:ascii="Times New Roman" w:cs="Times New Roman" w:eastAsia="Times New Roman" w:hAnsi="Times New Roman"/>
          <w:sz w:val="13"/>
          <w:szCs w:val="13"/>
          <w:color w:val="auto"/>
        </w:rPr>
      </w:pPr>
    </w:p>
    <w:p>
      <w:pPr>
        <w:ind w:left="640" w:right="819" w:firstLine="307"/>
        <w:spacing w:after="0" w:line="255" w:lineRule="auto"/>
        <w:tabs>
          <w:tab w:leader="none" w:pos="1163"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earthquakes, hurricanes, tsunamis, tornadoes, floods, mudslides, fires or other natural disasters, weather conditions, global pandemics, epidemics or similar health emergencies, and other force majeure events in the United States or any other location, provided that the Company and its Subsidiaries are not disproportionately affected thereby;</w:t>
      </w:r>
    </w:p>
    <w:p>
      <w:pPr>
        <w:spacing w:after="0" w:line="130"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28"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spacing w:after="0" w:line="130" w:lineRule="exact"/>
        <w:rPr>
          <w:rFonts w:ascii="Times New Roman" w:cs="Times New Roman" w:eastAsia="Times New Roman" w:hAnsi="Times New Roman"/>
          <w:sz w:val="13"/>
          <w:szCs w:val="13"/>
          <w:color w:val="auto"/>
        </w:rPr>
      </w:pPr>
    </w:p>
    <w:p>
      <w:pPr>
        <w:ind w:left="1160" w:hanging="213"/>
        <w:spacing w:after="0"/>
        <w:tabs>
          <w:tab w:leader="none" w:pos="116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material changes in laws after the date of this Agreement; and</w:t>
      </w:r>
    </w:p>
    <w:p>
      <w:pPr>
        <w:spacing w:after="0" w:line="153" w:lineRule="exact"/>
        <w:rPr>
          <w:rFonts w:ascii="Times New Roman" w:cs="Times New Roman" w:eastAsia="Times New Roman" w:hAnsi="Times New Roman"/>
          <w:sz w:val="13"/>
          <w:szCs w:val="13"/>
          <w:color w:val="auto"/>
        </w:rPr>
      </w:pPr>
    </w:p>
    <w:p>
      <w:pPr>
        <w:ind w:left="640" w:right="799" w:firstLine="307"/>
        <w:spacing w:after="0" w:line="251" w:lineRule="auto"/>
        <w:tabs>
          <w:tab w:leader="none" w:pos="1198"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Majority in Interest of the Purchasers</w:t>
      </w:r>
      <w:r>
        <w:rPr>
          <w:rFonts w:ascii="Times New Roman" w:cs="Times New Roman" w:eastAsia="Times New Roman" w:hAnsi="Times New Roman"/>
          <w:sz w:val="12"/>
          <w:szCs w:val="12"/>
          <w:color w:val="auto"/>
        </w:rPr>
        <w:t>” means Investors holding a majority of the Preferred Shares issued and Conversion Shares issuable.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has the meaning set forth in the recitals hereof.</w:t>
      </w:r>
    </w:p>
    <w:p>
      <w:pPr>
        <w:sectPr>
          <w:pgSz w:w="11900" w:h="16838" w:orient="portrait"/>
          <w:cols w:equalWidth="0" w:num="1">
            <w:col w:w="9019"/>
          </w:cols>
          <w:pgMar w:left="1440" w:top="229" w:right="1440" w:bottom="1440" w:gutter="0" w:footer="0" w:header="0"/>
        </w:sectPr>
      </w:pPr>
    </w:p>
    <w:bookmarkStart w:id="169" w:name="page170"/>
    <w:bookmarkEnd w:id="16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640" w:right="10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Registration Statement</w:t>
      </w:r>
      <w:r>
        <w:rPr>
          <w:rFonts w:ascii="Times New Roman" w:cs="Times New Roman" w:eastAsia="Times New Roman" w:hAnsi="Times New Roman"/>
          <w:sz w:val="13"/>
          <w:szCs w:val="13"/>
          <w:color w:val="auto"/>
        </w:rPr>
        <w:t>” means registration statement on Form S-4 registering Parent Common Stock (as defined in the Merger Agreement) pursuant to the terms of the Merger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means the Nasdaq Stock Market LLC.</w:t>
      </w:r>
    </w:p>
    <w:p>
      <w:pPr>
        <w:spacing w:after="0" w:line="154" w:lineRule="exact"/>
        <w:rPr>
          <w:sz w:val="20"/>
          <w:szCs w:val="20"/>
          <w:color w:val="auto"/>
        </w:rPr>
      </w:pPr>
    </w:p>
    <w:p>
      <w:pPr>
        <w:ind w:left="640" w:right="67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National Exchange</w:t>
      </w:r>
      <w:r>
        <w:rPr>
          <w:rFonts w:ascii="Times New Roman" w:cs="Times New Roman" w:eastAsia="Times New Roman" w:hAnsi="Times New Roman"/>
          <w:sz w:val="12"/>
          <w:szCs w:val="12"/>
          <w:color w:val="auto"/>
        </w:rPr>
        <w:t>” means (i) on and prior to the Closing Date, the OTCQB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OTCQB Market</w:t>
      </w:r>
      <w:r>
        <w:rPr>
          <w:rFonts w:ascii="Times New Roman" w:cs="Times New Roman" w:eastAsia="Times New Roman" w:hAnsi="Times New Roman"/>
          <w:sz w:val="13"/>
          <w:szCs w:val="13"/>
          <w:color w:val="auto"/>
        </w:rPr>
        <w:t>” means the Over-The-Counter Quote Bulletin Board – Venture Market.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the recitals hereof.</w:t>
      </w:r>
    </w:p>
    <w:p>
      <w:pPr>
        <w:spacing w:after="0" w:line="154"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 individual, partnership, corporation, limited liability company, business trust, joint stock company, trust, unincorporated association, joint venture or any other entity or organization.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 Data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Placement Agents</w:t>
      </w:r>
      <w:r>
        <w:rPr>
          <w:rFonts w:ascii="Times New Roman" w:cs="Times New Roman" w:eastAsia="Times New Roman" w:hAnsi="Times New Roman"/>
          <w:sz w:val="13"/>
          <w:szCs w:val="13"/>
          <w:color w:val="auto"/>
        </w:rPr>
        <w:t>” means Leerink Partners LLC, TD Securities (USA) LLC, Piper Sandler &amp; Co., William Blair &amp; Company, L.L.C., and LifeSci Capital LLC.</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Preferred Shares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Privacy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Privacy Statements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Process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Processing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Rights Agreement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6.1(j)</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Regulatory Agencies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Rule 144</w:t>
      </w:r>
      <w:r>
        <w:rPr>
          <w:rFonts w:ascii="Times New Roman" w:cs="Times New Roman" w:eastAsia="Times New Roman" w:hAnsi="Times New Roman"/>
          <w:sz w:val="13"/>
          <w:szCs w:val="13"/>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U.S. Securities and Exchange Commission.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 Price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2.2(a)</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means the Preferred Shares and the Conversion Shares.</w:t>
      </w:r>
    </w:p>
    <w:p>
      <w:pPr>
        <w:sectPr>
          <w:pgSz w:w="11900" w:h="16838" w:orient="portrait"/>
          <w:cols w:equalWidth="0" w:num="1">
            <w:col w:w="9019"/>
          </w:cols>
          <w:pgMar w:left="1440" w:top="229" w:right="1440" w:bottom="1440" w:gutter="0" w:footer="0" w:header="0"/>
        </w:sectPr>
      </w:pPr>
    </w:p>
    <w:bookmarkStart w:id="170" w:name="page171"/>
    <w:bookmarkEnd w:id="170"/>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Short Sales</w:t>
      </w:r>
      <w:r>
        <w:rPr>
          <w:rFonts w:ascii="Times New Roman" w:cs="Times New Roman" w:eastAsia="Times New Roman" w:hAnsi="Times New Roman"/>
          <w:sz w:val="13"/>
          <w:szCs w:val="13"/>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81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Taxes</w:t>
      </w:r>
      <w:r>
        <w:rPr>
          <w:rFonts w:ascii="Times New Roman" w:cs="Times New Roman" w:eastAsia="Times New Roman" w:hAnsi="Times New Roman"/>
          <w:sz w:val="13"/>
          <w:szCs w:val="13"/>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35" w:lineRule="exact"/>
        <w:rPr>
          <w:sz w:val="20"/>
          <w:szCs w:val="20"/>
          <w:color w:val="auto"/>
        </w:rPr>
      </w:pPr>
    </w:p>
    <w:p>
      <w:pPr>
        <w:ind w:left="640" w:right="73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Returns</w:t>
      </w:r>
      <w:r>
        <w:rPr>
          <w:rFonts w:ascii="Times New Roman" w:cs="Times New Roman" w:eastAsia="Times New Roman" w:hAnsi="Times New Roman"/>
          <w:sz w:val="12"/>
          <w:szCs w:val="12"/>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10"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Transaction Agreements</w:t>
      </w:r>
      <w:r>
        <w:rPr>
          <w:rFonts w:ascii="Times New Roman" w:cs="Times New Roman" w:eastAsia="Times New Roman" w:hAnsi="Times New Roman"/>
          <w:sz w:val="13"/>
          <w:szCs w:val="13"/>
          <w:color w:val="auto"/>
        </w:rPr>
        <w:t>” means this Agreement, the Certificate of Designation, the Registration Rights Agreement and any other documents or agreements explicitly contemplated hereunder.</w:t>
      </w:r>
    </w:p>
    <w:p>
      <w:pPr>
        <w:spacing w:after="0" w:line="119"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Agent</w:t>
      </w:r>
      <w:r>
        <w:rPr>
          <w:rFonts w:ascii="Times New Roman" w:cs="Times New Roman" w:eastAsia="Times New Roman" w:hAnsi="Times New Roman"/>
          <w:sz w:val="13"/>
          <w:szCs w:val="13"/>
          <w:color w:val="auto"/>
        </w:rPr>
        <w:t>” means, with respect to the Common Stock, Equiniti Trust Company, LLC, or such other financial institution that provides transfer agent services as the Company may engage from time to time and with respect to Parent Common Stock, such financial institution that as of the Closing provides transfer agent services as Parent may engage from time to time.</w:t>
      </w:r>
    </w:p>
    <w:p>
      <w:pPr>
        <w:spacing w:after="0" w:line="126" w:lineRule="exact"/>
        <w:rPr>
          <w:sz w:val="20"/>
          <w:szCs w:val="20"/>
          <w:color w:val="auto"/>
        </w:rPr>
      </w:pPr>
    </w:p>
    <w:p>
      <w:pPr>
        <w:ind w:left="640" w:right="6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Taxes</w:t>
      </w:r>
      <w:r>
        <w:rPr>
          <w:rFonts w:ascii="Times New Roman" w:cs="Times New Roman" w:eastAsia="Times New Roman" w:hAnsi="Times New Roman"/>
          <w:sz w:val="13"/>
          <w:szCs w:val="13"/>
          <w:color w:val="auto"/>
        </w:rPr>
        <w:t>”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w:t>
      </w:r>
    </w:p>
    <w:p>
      <w:pPr>
        <w:spacing w:after="0" w:line="128" w:lineRule="exact"/>
        <w:rPr>
          <w:sz w:val="20"/>
          <w:szCs w:val="20"/>
          <w:color w:val="auto"/>
        </w:rPr>
      </w:pPr>
    </w:p>
    <w:p>
      <w:pPr>
        <w:ind w:left="760" w:hanging="123"/>
        <w:spacing w:after="0"/>
        <w:tabs>
          <w:tab w:leader="none" w:pos="76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 and Sale of Securities.</w:t>
      </w:r>
    </w:p>
    <w:p>
      <w:pPr>
        <w:spacing w:after="0" w:line="154"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Purchase and Sale</w:t>
      </w:r>
      <w:r>
        <w:rPr>
          <w:rFonts w:ascii="Times New Roman" w:cs="Times New Roman" w:eastAsia="Times New Roman" w:hAnsi="Times New Roman"/>
          <w:sz w:val="13"/>
          <w:szCs w:val="13"/>
          <w:color w:val="auto"/>
        </w:rPr>
        <w:t xml:space="preserve">. On the Closing Date, upon the terms and subject to the conditions set forth herein, the Company agrees to sell, and the Investors, severally and not jointly, agree to purchase, the number of Preferred Shares set forth opposite such Investor’s name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for the “Aggregate Purchase Price”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71" w:name="page172"/>
    <w:bookmarkEnd w:id="171"/>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(a) Subject to the satisfaction or waiver of the conditions set forth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the closing of the purchase and sale of the Preferred Shares (the</w:t>
      </w:r>
    </w:p>
    <w:p>
      <w:pPr>
        <w:spacing w:after="0" w:line="15" w:lineRule="exact"/>
        <w:rPr>
          <w:sz w:val="20"/>
          <w:szCs w:val="20"/>
          <w:color w:val="auto"/>
        </w:rPr>
      </w:pPr>
    </w:p>
    <w:p>
      <w:pPr>
        <w:ind w:left="640" w:right="639"/>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and the date on which the Closing occurs, the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shall occur remotely via the exchange of executed documents and funds at such time as agreed to by the Company and a Majority in Interest of the Purchasers. At least five (5) business days prior to the anticipated Closing Date, the Company shall provide written notice to the Investors (the “</w:t>
      </w:r>
      <w:r>
        <w:rPr>
          <w:rFonts w:ascii="Times New Roman" w:cs="Times New Roman" w:eastAsia="Times New Roman" w:hAnsi="Times New Roman"/>
          <w:sz w:val="12"/>
          <w:szCs w:val="12"/>
          <w:b w:val="1"/>
          <w:bCs w:val="1"/>
          <w:color w:val="auto"/>
        </w:rPr>
        <w:t>Funding Notice</w:t>
      </w:r>
      <w:r>
        <w:rPr>
          <w:rFonts w:ascii="Times New Roman" w:cs="Times New Roman" w:eastAsia="Times New Roman" w:hAnsi="Times New Roman"/>
          <w:sz w:val="12"/>
          <w:szCs w:val="12"/>
          <w:color w:val="auto"/>
        </w:rPr>
        <w:t>”) of the anticipated Closing Date, the price per share of Series C Preferred Stock, which shall reflect the Company’s good faith estimate of the value of one share of Common Stock of the Company as of immediately prior to the Closing, multiplied by 100 (the “</w:t>
      </w:r>
      <w:r>
        <w:rPr>
          <w:rFonts w:ascii="Times New Roman" w:cs="Times New Roman" w:eastAsia="Times New Roman" w:hAnsi="Times New Roman"/>
          <w:sz w:val="12"/>
          <w:szCs w:val="12"/>
          <w:b w:val="1"/>
          <w:bCs w:val="1"/>
          <w:color w:val="auto"/>
        </w:rPr>
        <w:t>Share Price</w:t>
      </w:r>
      <w:r>
        <w:rPr>
          <w:rFonts w:ascii="Times New Roman" w:cs="Times New Roman" w:eastAsia="Times New Roman" w:hAnsi="Times New Roman"/>
          <w:sz w:val="12"/>
          <w:szCs w:val="12"/>
          <w:color w:val="auto"/>
        </w:rPr>
        <w:t>”), the number of Preferred Shares to be purchased by each Investor, and the wire instructions for delivery of the Aggregate Purchase Amount. Such wires shall be paid into a segregated escrow fund or trust account designated by the Company in writing (the “</w:t>
      </w:r>
      <w:r>
        <w:rPr>
          <w:rFonts w:ascii="Times New Roman" w:cs="Times New Roman" w:eastAsia="Times New Roman" w:hAnsi="Times New Roman"/>
          <w:sz w:val="12"/>
          <w:szCs w:val="12"/>
          <w:b w:val="1"/>
          <w:bCs w:val="1"/>
          <w:color w:val="auto"/>
        </w:rPr>
        <w:t>Escrow Account</w:t>
      </w:r>
      <w:r>
        <w:rPr>
          <w:rFonts w:ascii="Times New Roman" w:cs="Times New Roman" w:eastAsia="Times New Roman" w:hAnsi="Times New Roman"/>
          <w:sz w:val="12"/>
          <w:szCs w:val="12"/>
          <w:color w:val="auto"/>
        </w:rPr>
        <w:t xml:space="preserve">”) to be released by the Company only upon satisfaction of each of the closing conditions set forth in this Agreement. In the event the Closing does not occur within two (2) business days of the Closing Date set forth in the Funding Notice, unless otherwise agreed to by the Company and such Investor, the Company shall, or shall cause the escrow agent for the Escrow Account to, promptly (but not later than two (2) business days thereafter) return the Aggregate Purchase Amount to each Investor by wire transfer of U.S. dollars in immediately available funds to the account specified by such Investor. At the Closing, upon release of funds from the Escrow Account, the Preferred Shares shall be issued and registered in the name of such Investor, or in such nominee name(s) as designated by such Investor, representing the number of Preferred Shares to be purchased by such Investor at such Closing as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in each case against payment to the Company of the purchase price therefor (as the same may be adjusted pursuant to the following sentence, the “</w:t>
      </w:r>
      <w:r>
        <w:rPr>
          <w:rFonts w:ascii="Times New Roman" w:cs="Times New Roman" w:eastAsia="Times New Roman" w:hAnsi="Times New Roman"/>
          <w:sz w:val="12"/>
          <w:szCs w:val="12"/>
          <w:b w:val="1"/>
          <w:bCs w:val="1"/>
          <w:color w:val="auto"/>
        </w:rPr>
        <w:t>Aggregate Purchase Amount</w:t>
      </w:r>
      <w:r>
        <w:rPr>
          <w:rFonts w:ascii="Times New Roman" w:cs="Times New Roman" w:eastAsia="Times New Roman" w:hAnsi="Times New Roman"/>
          <w:sz w:val="12"/>
          <w:szCs w:val="12"/>
          <w:color w:val="auto"/>
        </w:rPr>
        <w:t>”) in full, by wire transfer to the Company of immediately available funds, at or prior to the Closing, in accordance with wire instructions provided by the Company to the Investors in the Funding Notice. In the event</w:t>
      </w:r>
    </w:p>
    <w:p>
      <w:pPr>
        <w:spacing w:after="0" w:line="6" w:lineRule="exact"/>
        <w:rPr>
          <w:sz w:val="20"/>
          <w:szCs w:val="20"/>
          <w:color w:val="auto"/>
        </w:rPr>
      </w:pPr>
    </w:p>
    <w:p>
      <w:pPr>
        <w:jc w:val="both"/>
        <w:ind w:left="640" w:right="899" w:hanging="3"/>
        <w:spacing w:after="0" w:line="244" w:lineRule="auto"/>
        <w:tabs>
          <w:tab w:leader="none" w:pos="791"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consummates an Interim Permitted Financing (as defined in the Merger Agreement) prior to the Closing, and (ii) an Investor hereunder funds a portion of such Interim Permitted Financing, such Investor’s Aggregate Purchase Amount hereunder shall be reduced dollar for dollar by an amount equal to such Investor’s Interim Permitted Financing funding amount (as confirmed in writing by such Investor and verified in writing by Obsidian no less than three (3) business days prior to the Closing).</w:t>
      </w:r>
    </w:p>
    <w:p>
      <w:pPr>
        <w:spacing w:after="0" w:line="137" w:lineRule="exact"/>
        <w:rPr>
          <w:sz w:val="20"/>
          <w:szCs w:val="20"/>
          <w:color w:val="auto"/>
        </w:rPr>
      </w:pPr>
    </w:p>
    <w:p>
      <w:pPr>
        <w:ind w:left="640" w:right="639" w:hanging="3"/>
        <w:spacing w:after="0" w:line="267" w:lineRule="auto"/>
        <w:tabs>
          <w:tab w:leader="none" w:pos="819"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 the Closing Date, the Company will cause the Transfer Agent to issue the Preferred Shares in book-entry form, free and clear of all restrictive and other legends (except as expressly provided in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hereof) and the Company shall provide evidence of such issuance from the Transfer Agent as soon as reasonably practical following the Closing Date to each Investor. If the Closing has not occurred within two (2) Business Days after the anticipated Closing Date or the closing of the Galera Merger and the Obsidian Merger have not occurred within three (3) Business Days after the actual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Preferred Shares shall be deemed cancelled;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unless this Agreement has been terminated pursuant to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such return of funds shall not terminate this Agreement or relieve such Investor of its obligation to purchase, or the Company of its obligation to issue and sell, the Preferred Shares at the Closing. Notwithstanding the foregoing and anything in this Agreement to the contrary,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Preferred Shares as of the Closing Date from the Transfer Agent in form and substance reasonably acceptable to the Investor (and the Company shall use reasonable best efforts to cause the Transfer Agent to deliver such evidence).</w:t>
      </w:r>
    </w:p>
    <w:p>
      <w:pPr>
        <w:spacing w:after="0" w:line="276" w:lineRule="exact"/>
        <w:rPr>
          <w:rFonts w:ascii="Times New Roman" w:cs="Times New Roman" w:eastAsia="Times New Roman" w:hAnsi="Times New Roman"/>
          <w:sz w:val="12"/>
          <w:szCs w:val="12"/>
          <w:color w:val="auto"/>
        </w:rPr>
      </w:pPr>
    </w:p>
    <w:p>
      <w:pPr>
        <w:ind w:left="640" w:right="719" w:hanging="3"/>
        <w:spacing w:after="0" w:line="267" w:lineRule="auto"/>
        <w:tabs>
          <w:tab w:leader="none" w:pos="812"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Closing Date, the Company shall register the Registrable Securities (as defined in the Registration Rights Agreement) as provided for in the Registration Rights Agreement.</w:t>
      </w:r>
    </w:p>
    <w:p>
      <w:pPr>
        <w:sectPr>
          <w:pgSz w:w="11900" w:h="16838" w:orient="portrait"/>
          <w:cols w:equalWidth="0" w:num="1">
            <w:col w:w="9019"/>
          </w:cols>
          <w:pgMar w:left="1440" w:top="231" w:right="1440" w:bottom="1440" w:gutter="0" w:footer="0" w:header="0"/>
        </w:sectPr>
      </w:pPr>
    </w:p>
    <w:bookmarkStart w:id="172" w:name="page173"/>
    <w:bookmarkEnd w:id="172"/>
    <w:p>
      <w:pPr>
        <w:ind w:left="640" w:right="659" w:hanging="3"/>
        <w:spacing w:after="0" w:line="271" w:lineRule="auto"/>
        <w:tabs>
          <w:tab w:leader="none" w:pos="766"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Representations and Warranties of the Company</w:t>
      </w:r>
      <w:r>
        <w:rPr>
          <w:rFonts w:ascii="Times New Roman" w:cs="Times New Roman" w:eastAsia="Times New Roman" w:hAnsi="Times New Roman"/>
          <w:sz w:val="12"/>
          <w:szCs w:val="12"/>
          <w:color w:val="auto"/>
        </w:rPr>
        <w:t xml:space="preserve">. Except as set forth in the 2026 SEC Reports (but excluding the Fundamental Representations, which are not so qualified, and any risk factor disclosures contained under the heading “Risk Factors,” any disclosure of risks included in any “forward-looking statements” disclaimer or any other statements that are similarly predictive or forward-looking in nature, in each case, other than any specific factual information contained therein), the Company and, solely with regards to Sections </w:t>
      </w:r>
      <w:r>
        <w:rPr>
          <w:rFonts w:ascii="Times New Roman" w:cs="Times New Roman" w:eastAsia="Times New Roman" w:hAnsi="Times New Roman"/>
          <w:sz w:val="12"/>
          <w:szCs w:val="12"/>
          <w:u w:val="single" w:color="auto"/>
          <w:color w:val="auto"/>
        </w:rPr>
        <w:t>3.2</w:t>
      </w:r>
      <w:r>
        <w:rPr>
          <w:rFonts w:ascii="Times New Roman" w:cs="Times New Roman" w:eastAsia="Times New Roman" w:hAnsi="Times New Roman"/>
          <w:sz w:val="12"/>
          <w:szCs w:val="12"/>
          <w:color w:val="auto"/>
        </w:rPr>
        <w:t xml:space="preserve"> (Capitalization), </w:t>
      </w:r>
      <w:r>
        <w:rPr>
          <w:rFonts w:ascii="Times New Roman" w:cs="Times New Roman" w:eastAsia="Times New Roman" w:hAnsi="Times New Roman"/>
          <w:sz w:val="12"/>
          <w:szCs w:val="12"/>
          <w:u w:val="single" w:color="auto"/>
          <w:color w:val="auto"/>
        </w:rPr>
        <w:t>3.3</w:t>
      </w:r>
      <w:r>
        <w:rPr>
          <w:rFonts w:ascii="Times New Roman" w:cs="Times New Roman" w:eastAsia="Times New Roman" w:hAnsi="Times New Roman"/>
          <w:sz w:val="12"/>
          <w:szCs w:val="12"/>
          <w:color w:val="auto"/>
        </w:rPr>
        <w:t xml:space="preserve"> (Registration Rights), </w:t>
      </w:r>
      <w:r>
        <w:rPr>
          <w:rFonts w:ascii="Times New Roman" w:cs="Times New Roman" w:eastAsia="Times New Roman" w:hAnsi="Times New Roman"/>
          <w:sz w:val="12"/>
          <w:szCs w:val="12"/>
          <w:u w:val="single" w:color="auto"/>
          <w:color w:val="auto"/>
        </w:rPr>
        <w:t>3.4</w:t>
      </w:r>
      <w:r>
        <w:rPr>
          <w:rFonts w:ascii="Times New Roman" w:cs="Times New Roman" w:eastAsia="Times New Roman" w:hAnsi="Times New Roman"/>
          <w:sz w:val="12"/>
          <w:szCs w:val="12"/>
          <w:color w:val="auto"/>
        </w:rPr>
        <w:t xml:space="preserve"> (Authorization), </w:t>
      </w:r>
      <w:r>
        <w:rPr>
          <w:rFonts w:ascii="Times New Roman" w:cs="Times New Roman" w:eastAsia="Times New Roman" w:hAnsi="Times New Roman"/>
          <w:sz w:val="12"/>
          <w:szCs w:val="12"/>
          <w:u w:val="single" w:color="auto"/>
          <w:color w:val="auto"/>
        </w:rPr>
        <w:t>3.5</w:t>
      </w:r>
      <w:r>
        <w:rPr>
          <w:rFonts w:ascii="Times New Roman" w:cs="Times New Roman" w:eastAsia="Times New Roman" w:hAnsi="Times New Roman"/>
          <w:sz w:val="12"/>
          <w:szCs w:val="12"/>
          <w:color w:val="auto"/>
        </w:rPr>
        <w:t xml:space="preserve"> (Valid Issuance), </w:t>
      </w:r>
      <w:r>
        <w:rPr>
          <w:rFonts w:ascii="Times New Roman" w:cs="Times New Roman" w:eastAsia="Times New Roman" w:hAnsi="Times New Roman"/>
          <w:sz w:val="12"/>
          <w:szCs w:val="12"/>
          <w:u w:val="single" w:color="auto"/>
          <w:color w:val="auto"/>
        </w:rPr>
        <w:t>3.6</w:t>
      </w:r>
      <w:r>
        <w:rPr>
          <w:rFonts w:ascii="Times New Roman" w:cs="Times New Roman" w:eastAsia="Times New Roman" w:hAnsi="Times New Roman"/>
          <w:sz w:val="12"/>
          <w:szCs w:val="12"/>
          <w:color w:val="auto"/>
        </w:rPr>
        <w:t xml:space="preserve"> (No Conflict), </w:t>
      </w:r>
      <w:r>
        <w:rPr>
          <w:rFonts w:ascii="Times New Roman" w:cs="Times New Roman" w:eastAsia="Times New Roman" w:hAnsi="Times New Roman"/>
          <w:sz w:val="12"/>
          <w:szCs w:val="12"/>
          <w:u w:val="single" w:color="auto"/>
          <w:color w:val="auto"/>
        </w:rPr>
        <w:t>3.7</w:t>
      </w:r>
      <w:r>
        <w:rPr>
          <w:rFonts w:ascii="Times New Roman" w:cs="Times New Roman" w:eastAsia="Times New Roman" w:hAnsi="Times New Roman"/>
          <w:sz w:val="12"/>
          <w:szCs w:val="12"/>
          <w:color w:val="auto"/>
        </w:rPr>
        <w:t xml:space="preserve"> (Consents), </w:t>
      </w:r>
      <w:r>
        <w:rPr>
          <w:rFonts w:ascii="Times New Roman" w:cs="Times New Roman" w:eastAsia="Times New Roman" w:hAnsi="Times New Roman"/>
          <w:sz w:val="12"/>
          <w:szCs w:val="12"/>
          <w:u w:val="single" w:color="auto"/>
          <w:color w:val="auto"/>
        </w:rPr>
        <w:t>3.33</w:t>
      </w:r>
      <w:r>
        <w:rPr>
          <w:rFonts w:ascii="Times New Roman" w:cs="Times New Roman" w:eastAsia="Times New Roman" w:hAnsi="Times New Roman"/>
          <w:sz w:val="12"/>
          <w:szCs w:val="12"/>
          <w:color w:val="auto"/>
        </w:rPr>
        <w:t xml:space="preserve"> (Additional Representations and Warranties), and </w:t>
      </w:r>
      <w:r>
        <w:rPr>
          <w:rFonts w:ascii="Times New Roman" w:cs="Times New Roman" w:eastAsia="Times New Roman" w:hAnsi="Times New Roman"/>
          <w:sz w:val="12"/>
          <w:szCs w:val="12"/>
          <w:u w:val="single" w:color="auto"/>
          <w:color w:val="auto"/>
        </w:rPr>
        <w:t>5.12</w:t>
      </w:r>
      <w:r>
        <w:rPr>
          <w:rFonts w:ascii="Times New Roman" w:cs="Times New Roman" w:eastAsia="Times New Roman" w:hAnsi="Times New Roman"/>
          <w:sz w:val="12"/>
          <w:szCs w:val="12"/>
          <w:color w:val="auto"/>
        </w:rPr>
        <w:t xml:space="preserve"> (Reservation of Common Stock), Parent, hereby represents and warrants to each of the Investors and the Placement Agents that the statements contained in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are true and correct as of the date of this Agreement (except for the representations and warranties that speak as of a specific date, which shall be made as of such date):</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Organization and Power</w:t>
      </w:r>
      <w:r>
        <w:rPr>
          <w:rFonts w:ascii="Times New Roman" w:cs="Times New Roman" w:eastAsia="Times New Roman" w:hAnsi="Times New Roman"/>
          <w:sz w:val="13"/>
          <w:szCs w:val="13"/>
          <w:color w:val="auto"/>
        </w:rPr>
        <w:t>. The Company is a corporation duly organized, validly existing and in good standing under the laws of the State of Delaware, has the requisite power and authority to own, lease and operate its properties and to carry on its business as now conducted and described in the 2026 SEC Reports and is qualified to do business in each jurisdiction in which the character of its properties or the nature of its business requires such qualification, except where such failure to be in good standing or to have such power and authority or to so qualify has not had and would not reasonably be expected to have a Material Adverse Effect. Each of the Company’s subsidiaries (collectively, the “</w:t>
      </w:r>
      <w:r>
        <w:rPr>
          <w:rFonts w:ascii="Times New Roman" w:cs="Times New Roman" w:eastAsia="Times New Roman" w:hAnsi="Times New Roman"/>
          <w:sz w:val="13"/>
          <w:szCs w:val="13"/>
          <w:b w:val="1"/>
          <w:bCs w:val="1"/>
          <w:color w:val="auto"/>
        </w:rPr>
        <w:t>Subsidiaries</w:t>
      </w:r>
      <w:r>
        <w:rPr>
          <w:rFonts w:ascii="Times New Roman" w:cs="Times New Roman" w:eastAsia="Times New Roman" w:hAnsi="Times New Roman"/>
          <w:sz w:val="13"/>
          <w:szCs w:val="13"/>
          <w:color w:val="auto"/>
        </w:rPr>
        <w:t>”) is wholly owned by the Company. Each of the Subsidiaries is duly incorporated or organized, as applicable, and validly existing and in good standing under the laws of the jurisdiction of its incorporation or formation, as applicable, and has the requisite power and authority to carry on their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spacing w:after="0" w:line="136" w:lineRule="exact"/>
        <w:rPr>
          <w:sz w:val="20"/>
          <w:szCs w:val="20"/>
          <w:color w:val="auto"/>
        </w:rPr>
      </w:pPr>
    </w:p>
    <w:p>
      <w:pPr>
        <w:ind w:left="640" w:right="699"/>
        <w:spacing w:after="0" w:line="266"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Capitalization</w:t>
      </w:r>
      <w:r>
        <w:rPr>
          <w:rFonts w:ascii="Times New Roman" w:cs="Times New Roman" w:eastAsia="Times New Roman" w:hAnsi="Times New Roman"/>
          <w:sz w:val="12"/>
          <w:szCs w:val="12"/>
          <w:color w:val="auto"/>
        </w:rPr>
        <w:t>. The authorized capital stock of the Company consists of 200,000,000 shares of Common Stock and 10,000,000 shares of preferred stock, par value $0.001 per share. As of the date hereof, (A) 200,000 shares have been designated Galera Series A Preferred Stock, of which no shares are issued and are outstanding, and (B) 119,318.285 shares have been designated Galera Series B Preferred Stock, of which 42,839.11 shares are issued and are outstanding as of the date hereof. Prior to the Closing and upon receipt of, and subject in all respects to, approval of the Galera stockholders and filing of the necessary amendment to the Certificate of Incorporation with the Secretary of State of the State of Delaware, the authorized capital stock of the Company shall be increased to 400,000,000 shares of Common Stock, with no change to the amount of authorized preferred stock. The Company’s disclosure of its issued and outstanding capital stock in the 2026 SEC Reports containing such disclosure was accurate in all material respects as of the date indicated in such 2026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As of the date of this Agreement, the capital stock of the Company conforms in all material respects to the description thereof contained in the 2026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There are no securities or instruments issued by or to which the Company is a party containing anti-dilution, rights of first refusal, rights of participation or similar provisions that will be triggered (which, for the avoidance of doubt,</w:t>
      </w:r>
    </w:p>
    <w:p>
      <w:pPr>
        <w:sectPr>
          <w:pgSz w:w="11900" w:h="16838" w:orient="portrait"/>
          <w:cols w:equalWidth="0" w:num="1">
            <w:col w:w="9019"/>
          </w:cols>
          <w:pgMar w:left="1440" w:top="231" w:right="1440" w:bottom="1440" w:gutter="0" w:footer="0" w:header="0"/>
        </w:sectPr>
      </w:pPr>
    </w:p>
    <w:bookmarkStart w:id="173" w:name="page174"/>
    <w:bookmarkEnd w:id="173"/>
    <w:p>
      <w:pPr>
        <w:jc w:val="both"/>
        <w:ind w:left="640" w:right="73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excludes any such anti-dilution, rights of first refusal, rights of participation or similar provision that will be waived in connection with the transactions contemplated by this Agreement and the Merger Agreement) by the issuance of the Preferred Shares or Conversion Shares pursuant to this Agreement. As of the Closing Date, Parent shall have reserved sufficient shares of unissued common stock for the issuance of the Exchange Shares.</w:t>
      </w:r>
    </w:p>
    <w:p>
      <w:pPr>
        <w:spacing w:after="0" w:line="113" w:lineRule="exact"/>
        <w:rPr>
          <w:sz w:val="20"/>
          <w:szCs w:val="20"/>
          <w:color w:val="auto"/>
        </w:rPr>
      </w:pPr>
    </w:p>
    <w:p>
      <w:pPr>
        <w:ind w:left="640" w:right="839"/>
        <w:spacing w:after="0" w:line="251" w:lineRule="auto"/>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Registration Rights</w:t>
      </w:r>
      <w:r>
        <w:rPr>
          <w:rFonts w:ascii="Times New Roman" w:cs="Times New Roman" w:eastAsia="Times New Roman" w:hAnsi="Times New Roman"/>
          <w:sz w:val="13"/>
          <w:szCs w:val="13"/>
          <w:color w:val="auto"/>
        </w:rPr>
        <w:t>. Except as set forth in the Transaction Agreements and the Merger Agreement or as disclosed in the 2026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133"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Authorization</w:t>
      </w:r>
      <w:r>
        <w:rPr>
          <w:rFonts w:ascii="Times New Roman" w:cs="Times New Roman" w:eastAsia="Times New Roman" w:hAnsi="Times New Roman"/>
          <w:sz w:val="13"/>
          <w:szCs w:val="13"/>
          <w:color w:val="auto"/>
        </w:rPr>
        <w:t>. The Company and Parent have all requisite corporate power and authority to enter into the Transaction Agreements and to carry out and perform its obligations under the terms of the Transaction Agreements, including the issuance and sale of the Preferred Shares and the issuance of the Conversion Shares, and in the case of Parent, the Exchange Shares. All corporate action on the part of the Company, its officers, directors and stockholders necessary for the authorization of the Shares, and on the part of Parent, its officers, directors and stockholders necessary for the authorization of the Exchange Shares, the authorization, execution, delivery and performance of the Transaction Agreements and the consummation of the transactions contemplated herein, including the issuance and sale of the Shares and the reservation of the Conversion Shares and Exchange Shares, as applicable, has been taken, including, without limitation to the extent applicable, the approval of the Board of Directors (or a committee thereof) in accordance with Section 144(a)(1) or 144(b)(1) of the DGCL. This Agreement has been duly executed and delivered by the Company and Parent and assuming the due authorization, execution and delivery by each Investor and that this Agreement constitutes the legal, valid and binding agreement of each Investor, this Agreement constitutes a legal, valid and binding obligation of the Company and Parent, enforceable against the Company and Parent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Parent and the other parties thereto and assuming that it constitutes legal, valid and binding agreements of the other parties thereto, the Registration Rights Agreement will constitute a legal, valid and binding obligation of the Company and Parent, enforceable against the Company and Parent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46"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Valid Issuance</w:t>
      </w:r>
      <w:r>
        <w:rPr>
          <w:rFonts w:ascii="Times New Roman" w:cs="Times New Roman" w:eastAsia="Times New Roman" w:hAnsi="Times New Roman"/>
          <w:sz w:val="13"/>
          <w:szCs w:val="13"/>
          <w:color w:val="auto"/>
        </w:rPr>
        <w:t>. The Preferred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or as set forth in the Certificate of Designation) and the holder of the Preferred Shares shall be entitled to all rights accorded to a holder of Preferred Shares. The Conversion Shares have been duly and validly authorized and reserved for issuance and, upon issuance in accordance with the Certificate of Designation, will be duly and validly issued, fully paid and non-assessable and will be issued free and clear of any liens or other restrictions (other than restrictions on transfer under applicable state and federal securities laws) and the holder of the Conversion Shares shall be entitled to all rights accorded to a holder of Common Stock. As of the Closing Date, the Exchange Shares will have been duly and validly authorized and reserved for issuance and, upon issuance, will be duly and validly issued, fully paid and non-assessable and will be issued free and clear of any liens or other restrictions (other than restrictions on transfer under applicable state and federal</w:t>
      </w:r>
    </w:p>
    <w:p>
      <w:pPr>
        <w:sectPr>
          <w:pgSz w:w="11900" w:h="16838" w:orient="portrait"/>
          <w:cols w:equalWidth="0" w:num="1">
            <w:col w:w="9019"/>
          </w:cols>
          <w:pgMar w:left="1440" w:top="231" w:right="1440" w:bottom="1440" w:gutter="0" w:footer="0" w:header="0"/>
        </w:sectPr>
      </w:pPr>
    </w:p>
    <w:bookmarkStart w:id="174" w:name="page175"/>
    <w:bookmarkEnd w:id="174"/>
    <w:p>
      <w:pPr>
        <w:ind w:left="640" w:right="71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securities laws) and the holder of the Exchange Shares shall be entitled to all rights accorded to a holder of common stock of Parent. Subject to the accuracy of the representations and warranties made by the Investors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hereof, the offer and sale of the Preferred Shares to the Investors is and will be, and the issuance of the Conversion Shares and Exchange Shares will be, in compliance with applicable exemptions from (i) the registration and prospectus delivery requirements of the Securities Act and (ii) the registration and qualification requirements of applicable securities laws of the states of the United States.</w:t>
      </w:r>
    </w:p>
    <w:p>
      <w:pPr>
        <w:spacing w:after="0" w:line="134"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No Conflict</w:t>
      </w:r>
      <w:r>
        <w:rPr>
          <w:rFonts w:ascii="Times New Roman" w:cs="Times New Roman" w:eastAsia="Times New Roman" w:hAnsi="Times New Roman"/>
          <w:sz w:val="13"/>
          <w:szCs w:val="13"/>
          <w:color w:val="auto"/>
        </w:rPr>
        <w:t>. Subject to approval of the Nasdaq Listing Application (as defined in the Merger Agreement), the execution, delivery and performance of the Transaction Agreements by the Company and Parent, the issuance and sale of the Preferred Shares and the Exchange Shares and the consummation of the other transactions contemplated by the Transaction Agreements do not and will not (i) violate any provision of the Certificate of Incorporation or Bylaws of the Company or the certificate of incorporation or bylaws of Parent, (ii) conflict with or result in a violation of or default (with or without notice or lapse of time, or the giving of consent or waiver,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Parent or any respective Subsidiary or their respective properties or assets, (iii) result in a violation of any law, rule, regulation, order, judgment, injunction, decree or other restriction of any court or governmental authority to which the Company, Parent or any respective or any Subsidiary is subject (including federal and state securities laws and regulations) and the rules and regulations of any self-regulatory organization to which the Company or Parent or its securities are or will be subject (including, without limitation, all applicable listing rules of the OTCQB Market in regard to the Company), or by which any property or asset of the Company or any Subsidiary is bound or affected, or (iv) conflict with, result in a breach of, or require any consent, approval, authorization or waiver under the Merger Agreement that has not been obtained or made, except, in the case of clauses (ii) and (iii), as has not and would not, individually or in the aggregate, be reasonably expected to have a Material Adverse Effect.</w:t>
      </w:r>
    </w:p>
    <w:p>
      <w:pPr>
        <w:spacing w:after="0" w:line="138" w:lineRule="exact"/>
        <w:rPr>
          <w:sz w:val="20"/>
          <w:szCs w:val="20"/>
          <w:color w:val="auto"/>
        </w:rPr>
      </w:pPr>
    </w:p>
    <w:p>
      <w:pPr>
        <w:ind w:left="640" w:right="679"/>
        <w:spacing w:after="0" w:line="266" w:lineRule="auto"/>
        <w:rPr>
          <w:sz w:val="20"/>
          <w:szCs w:val="20"/>
          <w:color w:val="auto"/>
        </w:rPr>
      </w:pPr>
      <w:r>
        <w:rPr>
          <w:rFonts w:ascii="Times New Roman" w:cs="Times New Roman" w:eastAsia="Times New Roman" w:hAnsi="Times New Roman"/>
          <w:sz w:val="12"/>
          <w:szCs w:val="12"/>
          <w:color w:val="auto"/>
        </w:rPr>
        <w:t xml:space="preserve">3.7 </w:t>
      </w:r>
      <w:r>
        <w:rPr>
          <w:rFonts w:ascii="Times New Roman" w:cs="Times New Roman" w:eastAsia="Times New Roman" w:hAnsi="Times New Roman"/>
          <w:sz w:val="12"/>
          <w:szCs w:val="12"/>
          <w:u w:val="single" w:color="auto"/>
          <w:color w:val="auto"/>
        </w:rPr>
        <w:t>Consents</w:t>
      </w:r>
      <w:r>
        <w:rPr>
          <w:rFonts w:ascii="Times New Roman" w:cs="Times New Roman" w:eastAsia="Times New Roman" w:hAnsi="Times New Roman"/>
          <w:sz w:val="12"/>
          <w:szCs w:val="12"/>
          <w:color w:val="auto"/>
        </w:rPr>
        <w:t xml:space="preserve">. Assuming the accuracy of the representations and warranties of the Investors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no consent, approval, authorization, filing with or order of or registration with, any court or governmental agency or body or other Person is required in connection with the authorization, execution or delivery by the Company of the Transaction Agreements, the issuance and sale of the Preferred Shares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Shares and the 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a registration statement required to be filed by the Registration Rights Agreement, (e) the Nasdaq Listing Application or</w:t>
      </w:r>
    </w:p>
    <w:p>
      <w:pPr>
        <w:spacing w:after="0" w:line="2" w:lineRule="exact"/>
        <w:rPr>
          <w:sz w:val="20"/>
          <w:szCs w:val="20"/>
          <w:color w:val="auto"/>
        </w:rPr>
      </w:pPr>
    </w:p>
    <w:p>
      <w:pPr>
        <w:ind w:left="640" w:right="779" w:hanging="3"/>
        <w:spacing w:after="0" w:line="245" w:lineRule="auto"/>
        <w:tabs>
          <w:tab w:leader="none" w:pos="798"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that the failure of which to obtain has not had and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ectPr>
          <w:pgSz w:w="11900" w:h="16838" w:orient="portrait"/>
          <w:cols w:equalWidth="0" w:num="1">
            <w:col w:w="9019"/>
          </w:cols>
          <w:pgMar w:left="1440" w:top="231" w:right="1440" w:bottom="1440" w:gutter="0" w:footer="0" w:header="0"/>
        </w:sectPr>
      </w:pPr>
    </w:p>
    <w:bookmarkStart w:id="175" w:name="page176"/>
    <w:bookmarkEnd w:id="175"/>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3.8 </w:t>
      </w:r>
      <w:r>
        <w:rPr>
          <w:rFonts w:ascii="Times New Roman" w:cs="Times New Roman" w:eastAsia="Times New Roman" w:hAnsi="Times New Roman"/>
          <w:sz w:val="13"/>
          <w:szCs w:val="13"/>
          <w:u w:val="single" w:color="auto"/>
          <w:color w:val="auto"/>
        </w:rPr>
        <w:t>SEC Filings; 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hanging="3"/>
        <w:spacing w:after="0" w:line="268" w:lineRule="auto"/>
        <w:tabs>
          <w:tab w:leader="none" w:pos="812"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timely filed or furnished, as applicable, all forms, statements, certifications, reports and documents required to be filed or furnished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2026 SEC Reports complied in all material respects with the applicable requirements of the Securities Act and the Exchange Act, and the rules and regulations promulgated thereunder, and, as of the time they were filed or furnished, none of the filed 2026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2026 SEC Reports. To the Company’s knowledge, none of the 2026 SEC Reports are the subject of an ongoing SEC review. The interactive data in eXtensible Business Reporting Language included in the 2026 SEC Reports fairly presents the information called for in all material respects and has been prepared in accordance with the SEC’s rules and guidelines applicable thereto. The Company is not, and has never been, and after the Closing will not be, an issuer subject to Rule 144(i) under the Securities Act.</w:t>
      </w:r>
    </w:p>
    <w:p>
      <w:pPr>
        <w:spacing w:after="0" w:line="124" w:lineRule="exact"/>
        <w:rPr>
          <w:rFonts w:ascii="Times New Roman" w:cs="Times New Roman" w:eastAsia="Times New Roman" w:hAnsi="Times New Roman"/>
          <w:sz w:val="12"/>
          <w:szCs w:val="12"/>
          <w:color w:val="auto"/>
        </w:rPr>
      </w:pPr>
    </w:p>
    <w:p>
      <w:pPr>
        <w:ind w:left="640" w:right="679" w:hanging="3"/>
        <w:spacing w:after="0" w:line="245" w:lineRule="auto"/>
        <w:tabs>
          <w:tab w:leader="none" w:pos="819"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consolidated financial statements of the Company included in the 2026 SEC Reports (together with the related schedules and notes thereto, collectively, the “</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(except as otherwise noted therein,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41" w:lineRule="exact"/>
        <w:rPr>
          <w:sz w:val="20"/>
          <w:szCs w:val="20"/>
          <w:color w:val="auto"/>
        </w:rPr>
      </w:pPr>
    </w:p>
    <w:p>
      <w:pPr>
        <w:jc w:val="both"/>
        <w:ind w:left="640" w:right="679"/>
        <w:spacing w:after="0" w:line="274" w:lineRule="auto"/>
        <w:rPr>
          <w:sz w:val="20"/>
          <w:szCs w:val="20"/>
          <w:color w:val="auto"/>
        </w:rPr>
      </w:pPr>
      <w:r>
        <w:rPr>
          <w:rFonts w:ascii="Times New Roman" w:cs="Times New Roman" w:eastAsia="Times New Roman" w:hAnsi="Times New Roman"/>
          <w:sz w:val="12"/>
          <w:szCs w:val="12"/>
          <w:color w:val="auto"/>
        </w:rPr>
        <w:t xml:space="preserve">3.9 </w:t>
      </w:r>
      <w:r>
        <w:rPr>
          <w:rFonts w:ascii="Times New Roman" w:cs="Times New Roman" w:eastAsia="Times New Roman" w:hAnsi="Times New Roman"/>
          <w:sz w:val="12"/>
          <w:szCs w:val="12"/>
          <w:u w:val="single" w:color="auto"/>
          <w:color w:val="auto"/>
        </w:rPr>
        <w:t>Absence of Changes</w:t>
      </w:r>
      <w:r>
        <w:rPr>
          <w:rFonts w:ascii="Times New Roman" w:cs="Times New Roman" w:eastAsia="Times New Roman" w:hAnsi="Times New Roman"/>
          <w:sz w:val="12"/>
          <w:szCs w:val="12"/>
          <w:color w:val="auto"/>
        </w:rPr>
        <w:t>. Except for the execution and performance of this Agreement and the discussions, negotiations and transactions related thereto, including the Merger Agreement and transactions related thereto, and except as otherwise disclosed in the 2026 SEC Reports, since December 31, 2025:</w:t>
      </w:r>
    </w:p>
    <w:p>
      <w:pPr>
        <w:spacing w:after="0" w:line="1" w:lineRule="exact"/>
        <w:rPr>
          <w:sz w:val="20"/>
          <w:szCs w:val="20"/>
          <w:color w:val="auto"/>
        </w:rPr>
      </w:pPr>
    </w:p>
    <w:p>
      <w:pPr>
        <w:ind w:left="640" w:right="679" w:hanging="3"/>
        <w:spacing w:after="0" w:line="271" w:lineRule="auto"/>
        <w:tabs>
          <w:tab w:leader="none" w:pos="812"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conducted its business only in the ordinary course of business and there have been no material transactions entered into by the Company or its Subsidiaries; (b) no material change to any material contract or arrangement by which the Company or its Subsidiaries is bound or to which any of its assets or properties is subject has been entered into that has not been disclosed in writing to the Investors and the Placement Agents; and (c) there has not been any other event or condition of any character that has had or would reasonably be expected to have a Material Adverse Effect.</w:t>
      </w:r>
    </w:p>
    <w:p>
      <w:pPr>
        <w:spacing w:after="0" w:line="122"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Absence of Litigation</w:t>
      </w:r>
      <w:r>
        <w:rPr>
          <w:rFonts w:ascii="Times New Roman" w:cs="Times New Roman" w:eastAsia="Times New Roman" w:hAnsi="Times New Roman"/>
          <w:sz w:val="13"/>
          <w:szCs w:val="13"/>
          <w:color w:val="auto"/>
        </w:rPr>
        <w:t>.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sectPr>
          <w:pgSz w:w="11900" w:h="16838" w:orient="portrait"/>
          <w:cols w:equalWidth="0" w:num="1">
            <w:col w:w="9019"/>
          </w:cols>
          <w:pgMar w:left="1440" w:top="231" w:right="1440" w:bottom="1440" w:gutter="0" w:footer="0" w:header="0"/>
        </w:sectPr>
      </w:pPr>
    </w:p>
    <w:bookmarkStart w:id="176" w:name="page177"/>
    <w:bookmarkEnd w:id="176"/>
    <w:p>
      <w:pPr>
        <w:ind w:left="640" w:right="67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3.11 </w:t>
      </w:r>
      <w:r>
        <w:rPr>
          <w:rFonts w:ascii="Times New Roman" w:cs="Times New Roman" w:eastAsia="Times New Roman" w:hAnsi="Times New Roman"/>
          <w:sz w:val="12"/>
          <w:szCs w:val="12"/>
          <w:u w:val="single" w:color="auto"/>
          <w:color w:val="auto"/>
        </w:rPr>
        <w:t>Compliance with Law; Permits</w:t>
      </w:r>
      <w:r>
        <w:rPr>
          <w:rFonts w:ascii="Times New Roman" w:cs="Times New Roman" w:eastAsia="Times New Roman" w:hAnsi="Times New Roman"/>
          <w:sz w:val="12"/>
          <w:szCs w:val="12"/>
          <w:color w:val="auto"/>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2"/>
          <w:szCs w:val="12"/>
          <w:b w:val="1"/>
          <w:bCs w:val="1"/>
          <w:color w:val="auto"/>
        </w:rPr>
        <w:t>Governmental Authorizations</w:t>
      </w:r>
      <w:r>
        <w:rPr>
          <w:rFonts w:ascii="Times New Roman" w:cs="Times New Roman" w:eastAsia="Times New Roman" w:hAnsi="Times New Roman"/>
          <w:sz w:val="12"/>
          <w:szCs w:val="12"/>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24"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 xml:space="preserve">3.12 </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as described in the 2026 SEC Reports that is necessary for, or used in the conduct of their respective businesses (collectively, “</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spacing w:after="0" w:line="282" w:lineRule="exact"/>
        <w:rPr>
          <w:sz w:val="20"/>
          <w:szCs w:val="20"/>
          <w:color w:val="auto"/>
        </w:rPr>
      </w:pPr>
    </w:p>
    <w:p>
      <w:pPr>
        <w:ind w:left="640" w:right="659"/>
        <w:spacing w:after="0" w:line="271" w:lineRule="auto"/>
        <w:rPr>
          <w:sz w:val="20"/>
          <w:szCs w:val="20"/>
          <w:color w:val="auto"/>
        </w:rPr>
      </w:pPr>
      <w:r>
        <w:rPr>
          <w:rFonts w:ascii="Times New Roman" w:cs="Times New Roman" w:eastAsia="Times New Roman" w:hAnsi="Times New Roman"/>
          <w:sz w:val="12"/>
          <w:szCs w:val="12"/>
          <w:color w:val="auto"/>
        </w:rPr>
        <w:t xml:space="preserve">3.13 </w:t>
      </w:r>
      <w:r>
        <w:rPr>
          <w:rFonts w:ascii="Times New Roman" w:cs="Times New Roman" w:eastAsia="Times New Roman" w:hAnsi="Times New Roman"/>
          <w:sz w:val="12"/>
          <w:szCs w:val="12"/>
          <w:u w:val="single" w:color="auto"/>
          <w:color w:val="auto"/>
        </w:rPr>
        <w:t>Employee Benefits</w:t>
      </w:r>
      <w:r>
        <w:rPr>
          <w:rFonts w:ascii="Times New Roman" w:cs="Times New Roman" w:eastAsia="Times New Roman" w:hAnsi="Times New Roman"/>
          <w:sz w:val="12"/>
          <w:szCs w:val="12"/>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ectPr>
          <w:pgSz w:w="11900" w:h="16838" w:orient="portrait"/>
          <w:cols w:equalWidth="0" w:num="1">
            <w:col w:w="9019"/>
          </w:cols>
          <w:pgMar w:left="1440" w:top="231" w:right="1440" w:bottom="1440" w:gutter="0" w:footer="0" w:header="0"/>
        </w:sectPr>
      </w:pPr>
    </w:p>
    <w:bookmarkStart w:id="177" w:name="page178"/>
    <w:bookmarkEnd w:id="177"/>
    <w:p>
      <w:pPr>
        <w:ind w:left="640" w:right="67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3.14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December 31, 2024,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25" w:lineRule="exact"/>
        <w:rPr>
          <w:sz w:val="20"/>
          <w:szCs w:val="20"/>
          <w:color w:val="auto"/>
        </w:rPr>
      </w:pPr>
    </w:p>
    <w:p>
      <w:pPr>
        <w:ind w:left="640" w:right="639"/>
        <w:spacing w:after="0" w:line="245" w:lineRule="auto"/>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Environmental Laws</w:t>
      </w:r>
      <w:r>
        <w:rPr>
          <w:rFonts w:ascii="Times New Roman" w:cs="Times New Roman" w:eastAsia="Times New Roman" w:hAnsi="Times New Roman"/>
          <w:sz w:val="13"/>
          <w:szCs w:val="13"/>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have not had and would not, individually or in the aggregate, reasonably be expected to have a Material Adverse Effect. None of the Company or any Subsidiary has received since December 31,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has not had and would not reasonably be expected to have a Material Adverse Effect. To the knowledge of the Company: (i) no current or (during the time a prior property was leased or controlled by the Company) prior property leased or controlled by the Company or any Subsidiary has received since December 31,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spacing w:after="0" w:line="137"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 xml:space="preserve">3.16 </w:t>
      </w:r>
      <w:r>
        <w:rPr>
          <w:rFonts w:ascii="Times New Roman" w:cs="Times New Roman" w:eastAsia="Times New Roman" w:hAnsi="Times New Roman"/>
          <w:sz w:val="12"/>
          <w:szCs w:val="12"/>
          <w:u w:val="single" w:color="auto"/>
          <w:color w:val="auto"/>
        </w:rPr>
        <w:t>Title</w:t>
      </w:r>
      <w:r>
        <w:rPr>
          <w:rFonts w:ascii="Times New Roman" w:cs="Times New Roman" w:eastAsia="Times New Roman" w:hAnsi="Times New Roman"/>
          <w:sz w:val="12"/>
          <w:szCs w:val="12"/>
          <w:color w:val="auto"/>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sectPr>
          <w:pgSz w:w="11900" w:h="16838" w:orient="portrait"/>
          <w:cols w:equalWidth="0" w:num="1">
            <w:col w:w="9019"/>
          </w:cols>
          <w:pgMar w:left="1440" w:top="231" w:right="1440" w:bottom="1440" w:gutter="0" w:footer="0" w:header="0"/>
        </w:sectPr>
      </w:pPr>
    </w:p>
    <w:bookmarkStart w:id="178" w:name="page179"/>
    <w:bookmarkEnd w:id="178"/>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3.17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December 31,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w:t>
      </w:r>
    </w:p>
    <w:p>
      <w:pPr>
        <w:spacing w:after="0" w:line="135"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 xml:space="preserve">3.18 </w:t>
      </w:r>
      <w:r>
        <w:rPr>
          <w:rFonts w:ascii="Times New Roman" w:cs="Times New Roman" w:eastAsia="Times New Roman" w:hAnsi="Times New Roman"/>
          <w:sz w:val="13"/>
          <w:szCs w:val="13"/>
          <w:u w:val="single" w:color="auto"/>
          <w:color w:val="auto"/>
        </w:rPr>
        <w:t>OTCQB Stock Market</w:t>
      </w:r>
      <w:r>
        <w:rPr>
          <w:rFonts w:ascii="Times New Roman" w:cs="Times New Roman" w:eastAsia="Times New Roman" w:hAnsi="Times New Roman"/>
          <w:sz w:val="13"/>
          <w:szCs w:val="13"/>
          <w:color w:val="auto"/>
        </w:rPr>
        <w:t>. The issued and outstanding shares of Common Stock are registered pursuant to Section 12(b) of the Exchange Act and are listed for trading on the OTCQB Market under the symbol “GRTX.” The Company is in compliance with all listing requirements of the OTCQB Market applicable to the Company. There is no suit, action, proceeding or investigation pending or, to the knowledge of the Company, threatened against the Company by the OTCQB Market or the SEC, respectively, to prohibit or terminate the listing of the Common Stock on the OTCQB Market or to deregister the Common Stock under the Exchange Act. The Company has taken no action that is designed to terminate the registration of the Common Stock under the Exchange Act.</w:t>
      </w:r>
    </w:p>
    <w:p>
      <w:pPr>
        <w:spacing w:after="0" w:line="135" w:lineRule="exact"/>
        <w:rPr>
          <w:sz w:val="20"/>
          <w:szCs w:val="20"/>
          <w:color w:val="auto"/>
        </w:rPr>
      </w:pPr>
    </w:p>
    <w:p>
      <w:pPr>
        <w:ind w:left="640" w:right="1259"/>
        <w:spacing w:after="0" w:line="267" w:lineRule="auto"/>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u w:val="single" w:color="auto"/>
          <w:color w:val="auto"/>
        </w:rPr>
        <w:t>Sarbanes-Oxley Act</w:t>
      </w:r>
      <w:r>
        <w:rPr>
          <w:rFonts w:ascii="Times New Roman" w:cs="Times New Roman" w:eastAsia="Times New Roman" w:hAnsi="Times New Roman"/>
          <w:sz w:val="13"/>
          <w:szCs w:val="13"/>
          <w:color w:val="auto"/>
        </w:rPr>
        <w:t>. The Company is, and since December 31, 2025 has been, in compliance in all material respects with all applicable requirements of the Sarbanes-Oxley Act of 2002 and applicable rules and regulations promulgated by the SEC thereunder.</w:t>
      </w:r>
    </w:p>
    <w:p>
      <w:pPr>
        <w:spacing w:after="0" w:line="122" w:lineRule="exact"/>
        <w:rPr>
          <w:sz w:val="20"/>
          <w:szCs w:val="20"/>
          <w:color w:val="auto"/>
        </w:rPr>
      </w:pPr>
    </w:p>
    <w:p>
      <w:pPr>
        <w:ind w:left="640" w:right="719"/>
        <w:spacing w:after="0" w:line="245"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Clinical Data and Regulatory Compliance</w:t>
      </w:r>
      <w:r>
        <w:rPr>
          <w:rFonts w:ascii="Times New Roman" w:cs="Times New Roman" w:eastAsia="Times New Roman" w:hAnsi="Times New Roman"/>
          <w:sz w:val="13"/>
          <w:szCs w:val="13"/>
          <w:color w:val="auto"/>
        </w:rPr>
        <w:t>. Except as would not reasonably be expected to result in a Material Adverse Effect: (i) the preclinical tests and clinical trials, and other studies used to support regulatory approval (collectively, “</w:t>
      </w:r>
      <w:r>
        <w:rPr>
          <w:rFonts w:ascii="Times New Roman" w:cs="Times New Roman" w:eastAsia="Times New Roman" w:hAnsi="Times New Roman"/>
          <w:sz w:val="13"/>
          <w:szCs w:val="13"/>
          <w:b w:val="1"/>
          <w:bCs w:val="1"/>
          <w:color w:val="auto"/>
        </w:rPr>
        <w:t>studies</w:t>
      </w:r>
      <w:r>
        <w:rPr>
          <w:rFonts w:ascii="Times New Roman" w:cs="Times New Roman" w:eastAsia="Times New Roman" w:hAnsi="Times New Roman"/>
          <w:sz w:val="13"/>
          <w:szCs w:val="13"/>
          <w:color w:val="auto"/>
        </w:rPr>
        <w:t>”) being conducted by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and are inconsistent with, or otherwise call into question, the results described or referred to in the 2026 SEC Reports;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3"/>
          <w:szCs w:val="13"/>
          <w:b w:val="1"/>
          <w:bCs w:val="1"/>
          <w:color w:val="auto"/>
        </w:rPr>
        <w:t>Regulatory Agencies</w:t>
      </w:r>
      <w:r>
        <w:rPr>
          <w:rFonts w:ascii="Times New Roman" w:cs="Times New Roman" w:eastAsia="Times New Roman" w:hAnsi="Times New Roman"/>
          <w:sz w:val="13"/>
          <w:szCs w:val="13"/>
          <w:color w:val="auto"/>
        </w:rPr>
        <w:t>”) for the conduct of its business;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w:t>
      </w:r>
    </w:p>
    <w:p>
      <w:pPr>
        <w:spacing w:after="0" w:line="139" w:lineRule="exact"/>
        <w:rPr>
          <w:sz w:val="20"/>
          <w:szCs w:val="20"/>
          <w:color w:val="auto"/>
        </w:rPr>
      </w:pPr>
    </w:p>
    <w:p>
      <w:pPr>
        <w:ind w:left="640" w:right="759"/>
        <w:spacing w:after="0" w:line="274" w:lineRule="auto"/>
        <w:rPr>
          <w:sz w:val="20"/>
          <w:szCs w:val="20"/>
          <w:color w:val="auto"/>
        </w:rPr>
      </w:pPr>
      <w:r>
        <w:rPr>
          <w:rFonts w:ascii="Times New Roman" w:cs="Times New Roman" w:eastAsia="Times New Roman" w:hAnsi="Times New Roman"/>
          <w:sz w:val="12"/>
          <w:szCs w:val="12"/>
          <w:color w:val="auto"/>
        </w:rPr>
        <w:t xml:space="preserve">3.21 </w:t>
      </w:r>
      <w:r>
        <w:rPr>
          <w:rFonts w:ascii="Times New Roman" w:cs="Times New Roman" w:eastAsia="Times New Roman" w:hAnsi="Times New Roman"/>
          <w:sz w:val="12"/>
          <w:szCs w:val="12"/>
          <w:u w:val="single" w:color="auto"/>
          <w:color w:val="auto"/>
        </w:rPr>
        <w:t>Compliance with Health Care Laws</w:t>
      </w:r>
      <w:r>
        <w:rPr>
          <w:rFonts w:ascii="Times New Roman" w:cs="Times New Roman" w:eastAsia="Times New Roman" w:hAnsi="Times New Roman"/>
          <w:sz w:val="12"/>
          <w:szCs w:val="12"/>
          <w:color w:val="auto"/>
        </w:rPr>
        <w:t>. The Company and its Subsidiaries are in compliance in all material respects with all Health Care Laws to the extent applicable to the Company’s current business and research use only products. For purposes of this Agreement, “</w:t>
      </w:r>
      <w:r>
        <w:rPr>
          <w:rFonts w:ascii="Times New Roman" w:cs="Times New Roman" w:eastAsia="Times New Roman" w:hAnsi="Times New Roman"/>
          <w:sz w:val="12"/>
          <w:szCs w:val="12"/>
          <w:b w:val="1"/>
          <w:bCs w:val="1"/>
          <w:color w:val="auto"/>
        </w:rPr>
        <w:t>Health Care Laws</w:t>
      </w:r>
      <w:r>
        <w:rPr>
          <w:rFonts w:ascii="Times New Roman" w:cs="Times New Roman" w:eastAsia="Times New Roman" w:hAnsi="Times New Roman"/>
          <w:sz w:val="12"/>
          <w:szCs w:val="12"/>
          <w:color w:val="auto"/>
        </w:rPr>
        <w:t>” means:</w:t>
      </w:r>
    </w:p>
    <w:p>
      <w:pPr>
        <w:spacing w:after="0" w:line="1" w:lineRule="exact"/>
        <w:rPr>
          <w:sz w:val="20"/>
          <w:szCs w:val="20"/>
          <w:color w:val="auto"/>
        </w:rPr>
      </w:pPr>
    </w:p>
    <w:p>
      <w:pPr>
        <w:ind w:left="640" w:right="699" w:hanging="3"/>
        <w:spacing w:after="0" w:line="244" w:lineRule="auto"/>
        <w:tabs>
          <w:tab w:leader="none" w:pos="79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3"/>
          <w:szCs w:val="13"/>
          <w:b w:val="1"/>
          <w:bCs w:val="1"/>
          <w:color w:val="auto"/>
        </w:rPr>
        <w:t>HIPAA</w:t>
      </w:r>
      <w:r>
        <w:rPr>
          <w:rFonts w:ascii="Times New Roman" w:cs="Times New Roman" w:eastAsia="Times New Roman" w:hAnsi="Times New Roman"/>
          <w:sz w:val="13"/>
          <w:szCs w:val="13"/>
          <w:color w:val="auto"/>
        </w:rPr>
        <w:t>”); (iv) the Patient Protection and Affordable Care Act of 2010, as amended by the</w:t>
      </w:r>
    </w:p>
    <w:p>
      <w:pPr>
        <w:sectPr>
          <w:pgSz w:w="11900" w:h="16838" w:orient="portrait"/>
          <w:cols w:equalWidth="0" w:num="1">
            <w:col w:w="9019"/>
          </w:cols>
          <w:pgMar w:left="1440" w:top="231" w:right="1440" w:bottom="1440" w:gutter="0" w:footer="0" w:header="0"/>
        </w:sectPr>
      </w:pPr>
    </w:p>
    <w:bookmarkStart w:id="179" w:name="page180"/>
    <w:bookmarkEnd w:id="179"/>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Health Care and Education Reconciliation Act of 2010; (v) the European Union (“</w:t>
      </w:r>
      <w:r>
        <w:rPr>
          <w:rFonts w:ascii="Times New Roman" w:cs="Times New Roman" w:eastAsia="Times New Roman" w:hAnsi="Times New Roman"/>
          <w:sz w:val="12"/>
          <w:szCs w:val="12"/>
          <w:b w:val="1"/>
          <w:bCs w:val="1"/>
          <w:color w:val="auto"/>
        </w:rPr>
        <w:t>EU</w:t>
      </w:r>
      <w:r>
        <w:rPr>
          <w:rFonts w:ascii="Times New Roman" w:cs="Times New Roman" w:eastAsia="Times New Roman" w:hAnsi="Times New Roman"/>
          <w:sz w:val="12"/>
          <w:szCs w:val="12"/>
          <w:color w:val="auto"/>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31"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 xml:space="preserve">3.22 </w:t>
      </w:r>
      <w:r>
        <w:rPr>
          <w:rFonts w:ascii="Times New Roman" w:cs="Times New Roman" w:eastAsia="Times New Roman" w:hAnsi="Times New Roman"/>
          <w:sz w:val="12"/>
          <w:szCs w:val="12"/>
          <w:u w:val="single" w:color="auto"/>
          <w:color w:val="auto"/>
        </w:rPr>
        <w:t>Accounting Controls and Disclosure Controls and Procedures</w:t>
      </w:r>
      <w:r>
        <w:rPr>
          <w:rFonts w:ascii="Times New Roman" w:cs="Times New Roman" w:eastAsia="Times New Roman" w:hAnsi="Times New Roman"/>
          <w:sz w:val="12"/>
          <w:szCs w:val="12"/>
          <w:color w:val="auto"/>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the end of the Company’s most recent audited fiscal year, there has been (a) no material weaknesses in the design or operation of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ectPr>
          <w:pgSz w:w="11900" w:h="16838" w:orient="portrait"/>
          <w:cols w:equalWidth="0" w:num="1">
            <w:col w:w="9019"/>
          </w:cols>
          <w:pgMar w:left="1440" w:top="229" w:right="1440" w:bottom="1440" w:gutter="0" w:footer="0" w:header="0"/>
        </w:sectPr>
      </w:pPr>
    </w:p>
    <w:bookmarkStart w:id="180" w:name="page181"/>
    <w:bookmarkEnd w:id="180"/>
    <w:p>
      <w:pPr>
        <w:ind w:left="640" w:right="107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3.23 </w:t>
      </w:r>
      <w:r>
        <w:rPr>
          <w:rFonts w:ascii="Times New Roman" w:cs="Times New Roman" w:eastAsia="Times New Roman" w:hAnsi="Times New Roman"/>
          <w:sz w:val="13"/>
          <w:szCs w:val="13"/>
          <w:u w:val="single" w:color="auto"/>
          <w:color w:val="auto"/>
        </w:rPr>
        <w:t>Price Stabilization of Common Stock</w:t>
      </w:r>
      <w:r>
        <w:rPr>
          <w:rFonts w:ascii="Times New Roman" w:cs="Times New Roman" w:eastAsia="Times New Roman" w:hAnsi="Times New Roman"/>
          <w:sz w:val="13"/>
          <w:szCs w:val="13"/>
          <w:color w:val="auto"/>
        </w:rPr>
        <w:t>. The Company has not taken, nor will it take, directly or indirectly, any action designed to stabilize or manipulate the price of the Common Stock to facilitate the sale or resale of the Preferred Shares.</w:t>
      </w:r>
    </w:p>
    <w:p>
      <w:pPr>
        <w:spacing w:after="0" w:line="122"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color w:val="auto"/>
        </w:rPr>
        <w:t xml:space="preserve">3.24 </w:t>
      </w:r>
      <w:r>
        <w:rPr>
          <w:rFonts w:ascii="Times New Roman" w:cs="Times New Roman" w:eastAsia="Times New Roman" w:hAnsi="Times New Roman"/>
          <w:sz w:val="13"/>
          <w:szCs w:val="13"/>
          <w:u w:val="single" w:color="auto"/>
          <w:color w:val="auto"/>
        </w:rPr>
        <w:t>Investment Company Act</w:t>
      </w:r>
      <w:r>
        <w:rPr>
          <w:rFonts w:ascii="Times New Roman" w:cs="Times New Roman" w:eastAsia="Times New Roman" w:hAnsi="Times New Roman"/>
          <w:sz w:val="13"/>
          <w:szCs w:val="13"/>
          <w:color w:val="auto"/>
        </w:rPr>
        <w:t>. The Company is not, and immediately after receipt of payment for the Preferred Shares will not be, an “investment company” within the meaning of the U.S. Investment Company Act of 1940, as amended.</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3.25 </w:t>
      </w:r>
      <w:r>
        <w:rPr>
          <w:rFonts w:ascii="Times New Roman" w:cs="Times New Roman" w:eastAsia="Times New Roman" w:hAnsi="Times New Roman"/>
          <w:sz w:val="13"/>
          <w:szCs w:val="13"/>
          <w:u w:val="single" w:color="auto"/>
          <w:color w:val="auto"/>
        </w:rPr>
        <w:t>General Solicitation; No Integration or Aggregation</w:t>
      </w:r>
      <w:r>
        <w:rPr>
          <w:rFonts w:ascii="Times New Roman" w:cs="Times New Roman" w:eastAsia="Times New Roman" w:hAnsi="Times New Roman"/>
          <w:sz w:val="13"/>
          <w:szCs w:val="13"/>
          <w:color w:val="auto"/>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Preferred Shares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Preferred Shares pursuant to this Agreement for purposes of the Securities Act or (ii) aggregated with prior offerings by the Company for the purposes of the rules and regulations of the OTCQB Market. Assuming the accuracy of the representations and warranties of the Investors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and/or Regulation D promulgated thereunder for the exemption from registration for the transactions contemplated hereby.</w:t>
      </w:r>
    </w:p>
    <w:p>
      <w:pPr>
        <w:spacing w:after="0" w:line="136"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 xml:space="preserve">3.26 </w:t>
      </w:r>
      <w:r>
        <w:rPr>
          <w:rFonts w:ascii="Times New Roman" w:cs="Times New Roman" w:eastAsia="Times New Roman" w:hAnsi="Times New Roman"/>
          <w:sz w:val="13"/>
          <w:szCs w:val="13"/>
          <w:u w:val="single" w:color="auto"/>
          <w:color w:val="auto"/>
        </w:rPr>
        <w:t>Brokers and Finders</w:t>
      </w:r>
      <w:r>
        <w:rPr>
          <w:rFonts w:ascii="Times New Roman" w:cs="Times New Roman" w:eastAsia="Times New Roman" w:hAnsi="Times New Roman"/>
          <w:sz w:val="13"/>
          <w:szCs w:val="13"/>
          <w:color w:val="auto"/>
        </w:rPr>
        <w:t>. Other than the Placement Agents, neither the Company nor any other Person authorized by the Company to act on its behalf has retained, utilized or been represented by any broker or finder in connection with the transactions contemplated by this Agreement.</w:t>
      </w:r>
    </w:p>
    <w:p>
      <w:pPr>
        <w:spacing w:after="0" w:line="122"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 xml:space="preserve">3.27 </w:t>
      </w:r>
      <w:r>
        <w:rPr>
          <w:rFonts w:ascii="Times New Roman" w:cs="Times New Roman" w:eastAsia="Times New Roman" w:hAnsi="Times New Roman"/>
          <w:sz w:val="13"/>
          <w:szCs w:val="13"/>
          <w:u w:val="single" w:color="auto"/>
          <w:color w:val="auto"/>
        </w:rPr>
        <w:t>Reliance by the Investors</w:t>
      </w:r>
      <w:r>
        <w:rPr>
          <w:rFonts w:ascii="Times New Roman" w:cs="Times New Roman" w:eastAsia="Times New Roman" w:hAnsi="Times New Roman"/>
          <w:sz w:val="13"/>
          <w:szCs w:val="13"/>
          <w:color w:val="auto"/>
        </w:rPr>
        <w:t xml:space="preserve">. The Company has a reasonable basis for making each of the representations set forth in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30"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 xml:space="preserve">3.28 </w:t>
      </w:r>
      <w:r>
        <w:rPr>
          <w:rFonts w:ascii="Times New Roman" w:cs="Times New Roman" w:eastAsia="Times New Roman" w:hAnsi="Times New Roman"/>
          <w:sz w:val="13"/>
          <w:szCs w:val="13"/>
          <w:u w:val="single" w:color="auto"/>
          <w:color w:val="auto"/>
        </w:rPr>
        <w:t>No Additional Agreements</w:t>
      </w:r>
      <w:r>
        <w:rPr>
          <w:rFonts w:ascii="Times New Roman" w:cs="Times New Roman" w:eastAsia="Times New Roman" w:hAnsi="Times New Roman"/>
          <w:sz w:val="13"/>
          <w:szCs w:val="13"/>
          <w:color w:val="auto"/>
        </w:rPr>
        <w:t>. There are no agreements or understandings between the Company, on one hand, and any Investor, on the other hand, with respect to the transactions contemplated by the Transaction Agreements other than as specified in the Transaction Agreements (other than confidentiality, nondisclosure, or similar agreements).</w:t>
      </w:r>
    </w:p>
    <w:p>
      <w:pPr>
        <w:spacing w:after="0" w:line="13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 xml:space="preserve">3.29 </w:t>
      </w:r>
      <w:r>
        <w:rPr>
          <w:rFonts w:ascii="Times New Roman" w:cs="Times New Roman" w:eastAsia="Times New Roman" w:hAnsi="Times New Roman"/>
          <w:sz w:val="13"/>
          <w:szCs w:val="13"/>
          <w:u w:val="single" w:color="auto"/>
          <w:color w:val="auto"/>
        </w:rPr>
        <w:t>Anti-Bribery and Anti-Money Laundering Laws; Sanctions</w:t>
      </w:r>
      <w:r>
        <w:rPr>
          <w:rFonts w:ascii="Times New Roman" w:cs="Times New Roman" w:eastAsia="Times New Roman" w:hAnsi="Times New Roman"/>
          <w:sz w:val="13"/>
          <w:szCs w:val="13"/>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w:t>
      </w:r>
    </w:p>
    <w:p>
      <w:pPr>
        <w:sectPr>
          <w:pgSz w:w="11900" w:h="16838" w:orient="portrait"/>
          <w:cols w:equalWidth="0" w:num="1">
            <w:col w:w="9019"/>
          </w:cols>
          <w:pgMar w:left="1440" w:top="231" w:right="1440" w:bottom="1440" w:gutter="0" w:footer="0" w:header="0"/>
        </w:sectPr>
      </w:pPr>
    </w:p>
    <w:bookmarkStart w:id="181" w:name="page182"/>
    <w:bookmarkEnd w:id="181"/>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spacing w:after="0" w:line="134"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 xml:space="preserve">3.30 </w:t>
      </w:r>
      <w:r>
        <w:rPr>
          <w:rFonts w:ascii="Times New Roman" w:cs="Times New Roman" w:eastAsia="Times New Roman" w:hAnsi="Times New Roman"/>
          <w:sz w:val="13"/>
          <w:szCs w:val="13"/>
          <w:u w:val="single" w:color="auto"/>
          <w:color w:val="auto"/>
        </w:rPr>
        <w:t>Cybersecurity</w:t>
      </w:r>
      <w:r>
        <w:rPr>
          <w:rFonts w:ascii="Times New Roman" w:cs="Times New Roman" w:eastAsia="Times New Roman" w:hAnsi="Times New Roman"/>
          <w:sz w:val="13"/>
          <w:szCs w:val="13"/>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3"/>
          <w:szCs w:val="13"/>
          <w:b w:val="1"/>
          <w:bCs w:val="1"/>
          <w:color w:val="auto"/>
        </w:rPr>
        <w:t>Confidential Data</w:t>
      </w:r>
      <w:r>
        <w:rPr>
          <w:rFonts w:ascii="Times New Roman" w:cs="Times New Roman" w:eastAsia="Times New Roman" w:hAnsi="Times New Roman"/>
          <w:sz w:val="13"/>
          <w:szCs w:val="13"/>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3"/>
          <w:szCs w:val="13"/>
          <w:b w:val="1"/>
          <w:bCs w:val="1"/>
          <w:color w:val="auto"/>
        </w:rPr>
        <w:t>Personal Data</w:t>
      </w:r>
      <w:r>
        <w:rPr>
          <w:rFonts w:ascii="Times New Roman" w:cs="Times New Roman" w:eastAsia="Times New Roman" w:hAnsi="Times New Roman"/>
          <w:sz w:val="13"/>
          <w:szCs w:val="13"/>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HIPAA;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The Company has not received any written notice, complaint, or claim from any Person, or any notice from any Regulatory Agency, alleging that the Company or any Subsidiary has violated or is not in compliance with any Privacy Laws (as defined below) or that the Company or any Subsidiary must undertake, or has failed to undertake, any action to comply with any Privacy Laws.</w:t>
      </w:r>
    </w:p>
    <w:p>
      <w:pPr>
        <w:spacing w:after="0" w:line="136"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2"/>
          <w:szCs w:val="12"/>
          <w:color w:val="auto"/>
        </w:rPr>
        <w:t xml:space="preserve">3.31 </w:t>
      </w:r>
      <w:r>
        <w:rPr>
          <w:rFonts w:ascii="Times New Roman" w:cs="Times New Roman" w:eastAsia="Times New Roman" w:hAnsi="Times New Roman"/>
          <w:sz w:val="12"/>
          <w:szCs w:val="12"/>
          <w:u w:val="single" w:color="auto"/>
          <w:color w:val="auto"/>
        </w:rPr>
        <w:t>Compliance with Data Privacy Laws</w:t>
      </w:r>
      <w:r>
        <w:rPr>
          <w:rFonts w:ascii="Times New Roman" w:cs="Times New Roman" w:eastAsia="Times New Roman" w:hAnsi="Times New Roman"/>
          <w:sz w:val="12"/>
          <w:szCs w:val="12"/>
          <w:color w:val="auto"/>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2"/>
          <w:szCs w:val="12"/>
          <w:b w:val="1"/>
          <w:bCs w:val="1"/>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Processing</w:t>
      </w:r>
      <w:r>
        <w:rPr>
          <w:rFonts w:ascii="Times New Roman" w:cs="Times New Roman" w:eastAsia="Times New Roman" w:hAnsi="Times New Roman"/>
          <w:sz w:val="12"/>
          <w:szCs w:val="12"/>
          <w:color w:val="auto"/>
        </w:rPr>
        <w:t>”) of Personal Data, including without limitation HIPAA, the EU General Data Protection Regulation (“</w:t>
      </w:r>
      <w:r>
        <w:rPr>
          <w:rFonts w:ascii="Times New Roman" w:cs="Times New Roman" w:eastAsia="Times New Roman" w:hAnsi="Times New Roman"/>
          <w:sz w:val="12"/>
          <w:szCs w:val="12"/>
          <w:b w:val="1"/>
          <w:bCs w:val="1"/>
          <w:color w:val="auto"/>
        </w:rPr>
        <w:t>GDPR</w:t>
      </w:r>
      <w:r>
        <w:rPr>
          <w:rFonts w:ascii="Times New Roman" w:cs="Times New Roman" w:eastAsia="Times New Roman" w:hAnsi="Times New Roman"/>
          <w:sz w:val="12"/>
          <w:szCs w:val="12"/>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2"/>
          <w:szCs w:val="12"/>
          <w:b w:val="1"/>
          <w:bCs w:val="1"/>
          <w:color w:val="auto"/>
        </w:rPr>
        <w:t>Privacy Laws</w:t>
      </w:r>
      <w:r>
        <w:rPr>
          <w:rFonts w:ascii="Times New Roman" w:cs="Times New Roman" w:eastAsia="Times New Roman" w:hAnsi="Times New Roman"/>
          <w:sz w:val="12"/>
          <w:szCs w:val="12"/>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2"/>
          <w:szCs w:val="12"/>
          <w:b w:val="1"/>
          <w:bCs w:val="1"/>
          <w:color w:val="auto"/>
        </w:rPr>
        <w:t>Privacy Statements</w:t>
      </w:r>
      <w:r>
        <w:rPr>
          <w:rFonts w:ascii="Times New Roman" w:cs="Times New Roman" w:eastAsia="Times New Roman" w:hAnsi="Times New Roman"/>
          <w:sz w:val="12"/>
          <w:szCs w:val="12"/>
          <w:color w:val="auto"/>
        </w:rPr>
        <w:t>”). The Company and its Subsidiaries have, except as would not reasonably be expected, individually or in the aggregate, to result in a Material Adverse Effect, at all times since December 31, 2023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ectPr>
          <w:pgSz w:w="11900" w:h="16838" w:orient="portrait"/>
          <w:cols w:equalWidth="0" w:num="1">
            <w:col w:w="9019"/>
          </w:cols>
          <w:pgMar w:left="1440" w:top="231" w:right="1440" w:bottom="1440" w:gutter="0" w:footer="0" w:header="0"/>
        </w:sectPr>
      </w:pPr>
    </w:p>
    <w:bookmarkStart w:id="182" w:name="page183"/>
    <w:bookmarkEnd w:id="182"/>
    <w:p>
      <w:pPr>
        <w:ind w:left="640" w:right="8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3.32 </w:t>
      </w:r>
      <w:r>
        <w:rPr>
          <w:rFonts w:ascii="Times New Roman" w:cs="Times New Roman" w:eastAsia="Times New Roman" w:hAnsi="Times New Roman"/>
          <w:sz w:val="13"/>
          <w:szCs w:val="13"/>
          <w:u w:val="single" w:color="auto"/>
          <w:color w:val="auto"/>
        </w:rPr>
        <w:t>Transactions with Affiliates and Employees</w:t>
      </w:r>
      <w:r>
        <w:rPr>
          <w:rFonts w:ascii="Times New Roman" w:cs="Times New Roman" w:eastAsia="Times New Roman" w:hAnsi="Times New Roman"/>
          <w:sz w:val="13"/>
          <w:szCs w:val="13"/>
          <w:color w:val="auto"/>
        </w:rPr>
        <w:t>.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has not been so described (or will not be so described, following the Closing) in accordance with the Exchange Act.</w:t>
      </w:r>
    </w:p>
    <w:p>
      <w:pPr>
        <w:spacing w:after="0" w:line="133"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 xml:space="preserve">3.33 </w:t>
      </w:r>
      <w:r>
        <w:rPr>
          <w:rFonts w:ascii="Times New Roman" w:cs="Times New Roman" w:eastAsia="Times New Roman" w:hAnsi="Times New Roman"/>
          <w:sz w:val="12"/>
          <w:szCs w:val="12"/>
          <w:u w:val="single" w:color="auto"/>
          <w:color w:val="auto"/>
        </w:rPr>
        <w:t>Additional Representations and Warranties</w:t>
      </w:r>
      <w:r>
        <w:rPr>
          <w:rFonts w:ascii="Times New Roman" w:cs="Times New Roman" w:eastAsia="Times New Roman" w:hAnsi="Times New Roman"/>
          <w:sz w:val="12"/>
          <w:szCs w:val="12"/>
          <w:color w:val="auto"/>
        </w:rPr>
        <w:t>. As of the date hereof and as of the Closing Date, (i) the representations and warranties of the Company contained in Article 4 of the Merger Agreement and in any certificate or other writing delivered by the Company pursuant thereto are true and correct in all material respects (or, if any such representations or warranties are qualified by materiality, material adverse effect or similar language, true and correct in all respects), (ii) to the Company’s knowledge after conducting reasonable due diligence with respect to Obsidian and its business, the representations and warranties of Obsidian contained in Article 3 of the Merger Agreement (as qualified therein and in the disclosure schedules thereto) and in any certificate or other writing delivered by Obsidian pursuant thereto were, true and correct as though given in accordance with Article 3 of the Merger Agreement (or, if any such representations or warranties are qualified by materiality, material adverse effect or similar language, true and correct in all respects), and (iii) to the Company’s knowledge, the representations and warranties of Parent contained in Article 5 of the Merger Agreement (as qualified therein and in the disclosure schedules thereto) were true and correct in all material respects (or, if any such representations or warranties are qualified by materiality, material adverse effect or similar language, true and correct in all respects). All necessary corporate action has been duly and validly taken by the Company, Parent, Obsidian (to the Company’s knowledge), Obsidian Merger Sub and Galera Merger Sub to authorize the execution, delivery and performance of the Merger Agreement. The Merger Agreement has been duly and validly authorized, executed and delivered by the Company, Parent, Obsidian (to the Company’s knowledge), Obsidian Merger Sub and Galera Merger Sub and, assuming due authorization, execution and delivery by the other parties thereto, constitutes a valid and binding agreement of the Company, Parent, Obsidian (to the Company’s knowledge), Obsidian Merger Sub and Galera Merger Sub, enforceable against the Company, Parent, Obsidian (to the Company’s knowledge), Obsidian Merger Sub and Galera Merger Sub in accordance with its terms, except as enforceability may be limited by applicable bankruptcy, insolvency or similar laws affecting the enforcement of creditors’ rights generally or by equitable principles relating to enforceability. The Company has furnished or otherwise made available to each Investor a true and complete executed copy of the Merger Agreement as in effect as of the date hereof.</w:t>
      </w:r>
    </w:p>
    <w:p>
      <w:pPr>
        <w:spacing w:after="0" w:line="128"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 xml:space="preserve">3.34 </w:t>
      </w: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The Company confirms that it has not provided, and to the Company’s knowledge, none of its officers or directors nor any other Person acting on its or their behalf (including, without limitation, the Placement Agents) has provided, and it has not authorized the Placement Agents to provide, any Investor or its respective agents or counsel with any information that it believes constitutes material, non-public information except insofar as the existence, provisions and terms of the Transaction Agreements, the Merger Agreement, and the proposed transactions hereunder and thereunder may constitute such information, all of which will be disclosed by the Company in the Disclosure Document as contemplated by Section 5.3 hereof. The Company understands and confirms that the Investors will rely on the foregoing representations in effecting transactions in securities of the Company.</w:t>
      </w:r>
    </w:p>
    <w:p>
      <w:pPr>
        <w:spacing w:after="0" w:line="123" w:lineRule="exact"/>
        <w:rPr>
          <w:sz w:val="20"/>
          <w:szCs w:val="20"/>
          <w:color w:val="auto"/>
        </w:rPr>
      </w:pPr>
    </w:p>
    <w:p>
      <w:pPr>
        <w:ind w:left="640" w:right="699" w:hanging="3"/>
        <w:spacing w:after="0" w:line="255" w:lineRule="auto"/>
        <w:tabs>
          <w:tab w:leader="none" w:pos="766"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 of Each Investor</w:t>
      </w:r>
      <w:r>
        <w:rPr>
          <w:rFonts w:ascii="Times New Roman" w:cs="Times New Roman" w:eastAsia="Times New Roman" w:hAnsi="Times New Roman"/>
          <w:sz w:val="13"/>
          <w:szCs w:val="13"/>
          <w:color w:val="auto"/>
        </w:rPr>
        <w:t xml:space="preserve">. Each Investor, severally for itself and not jointly with any other Investor, represents and warrants to the Company and the Placement Agents that the statements contained in this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are true and correct as of the date hereof (except for the representations and warranties that speak as of a specific date, which shall be made as of such date):</w:t>
      </w:r>
    </w:p>
    <w:p>
      <w:pPr>
        <w:spacing w:after="0" w:line="13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Organization</w:t>
      </w:r>
      <w:r>
        <w:rPr>
          <w:rFonts w:ascii="Times New Roman" w:cs="Times New Roman" w:eastAsia="Times New Roman" w:hAnsi="Times New Roman"/>
          <w:sz w:val="13"/>
          <w:szCs w:val="13"/>
          <w:color w:val="auto"/>
        </w:rPr>
        <w:t>. Such Investor is duly organized, validly existing and in good standing under the laws of the jurisdiction of its organization and has the requisite power and authority to own, lease and operate its properties and to carry on its business as now conducted.</w:t>
      </w:r>
    </w:p>
    <w:p>
      <w:pPr>
        <w:sectPr>
          <w:pgSz w:w="11900" w:h="16838" w:orient="portrait"/>
          <w:cols w:equalWidth="0" w:num="1">
            <w:col w:w="9019"/>
          </w:cols>
          <w:pgMar w:left="1440" w:top="231" w:right="1440" w:bottom="1440" w:gutter="0" w:footer="0" w:header="0"/>
        </w:sectPr>
      </w:pPr>
    </w:p>
    <w:bookmarkStart w:id="183" w:name="page184"/>
    <w:bookmarkEnd w:id="183"/>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 </w:t>
      </w:r>
      <w:r>
        <w:rPr>
          <w:rFonts w:ascii="Times New Roman" w:cs="Times New Roman" w:eastAsia="Times New Roman" w:hAnsi="Times New Roman"/>
          <w:sz w:val="13"/>
          <w:szCs w:val="13"/>
          <w:u w:val="single" w:color="auto"/>
          <w:color w:val="auto"/>
        </w:rPr>
        <w:t>Authorization</w:t>
      </w:r>
      <w:r>
        <w:rPr>
          <w:rFonts w:ascii="Times New Roman" w:cs="Times New Roman" w:eastAsia="Times New Roman" w:hAnsi="Times New Roman"/>
          <w:sz w:val="13"/>
          <w:szCs w:val="13"/>
          <w:color w:val="auto"/>
        </w:rPr>
        <w:t>.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41"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No Conflicts</w:t>
      </w:r>
      <w:r>
        <w:rPr>
          <w:rFonts w:ascii="Times New Roman" w:cs="Times New Roman" w:eastAsia="Times New Roman" w:hAnsi="Times New Roman"/>
          <w:sz w:val="13"/>
          <w:szCs w:val="13"/>
          <w:color w:val="auto"/>
        </w:rPr>
        <w:t>. The execution, delivery and performance of the Transaction Agreements by such Investor, the purchase of the Preferred Shares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w:t>
      </w:r>
    </w:p>
    <w:p>
      <w:pPr>
        <w:spacing w:after="0" w:line="137" w:lineRule="exact"/>
        <w:rPr>
          <w:sz w:val="20"/>
          <w:szCs w:val="20"/>
          <w:color w:val="auto"/>
        </w:rPr>
      </w:pPr>
    </w:p>
    <w:p>
      <w:pPr>
        <w:jc w:val="both"/>
        <w:ind w:left="640" w:right="739"/>
        <w:spacing w:after="0" w:line="255"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Residency</w:t>
      </w:r>
      <w:r>
        <w:rPr>
          <w:rFonts w:ascii="Times New Roman" w:cs="Times New Roman" w:eastAsia="Times New Roman" w:hAnsi="Times New Roman"/>
          <w:sz w:val="13"/>
          <w:szCs w:val="13"/>
          <w:color w:val="auto"/>
        </w:rPr>
        <w:t xml:space="preserve">. Such Investor’s residence (if an individual) or offices in which its investment decision with respect to the Preferred Shares was made (if an entity) are located at the address immediately below such Investor’s name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except as otherwise communicated by such Investor to the Company.</w:t>
      </w:r>
    </w:p>
    <w:p>
      <w:pPr>
        <w:spacing w:after="0" w:line="130"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Brokers and Finders</w:t>
      </w:r>
      <w:r>
        <w:rPr>
          <w:rFonts w:ascii="Times New Roman" w:cs="Times New Roman" w:eastAsia="Times New Roman" w:hAnsi="Times New Roman"/>
          <w:sz w:val="13"/>
          <w:szCs w:val="13"/>
          <w:color w:val="auto"/>
        </w:rPr>
        <w:t>. Such Investor has not retained, utilized or been represented by any broker or finder in connection with the transactions contemplated by this Agreement whose fees the Company would be required to pay.</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Investment Representations and Warranties</w:t>
      </w:r>
      <w:r>
        <w:rPr>
          <w:rFonts w:ascii="Times New Roman" w:cs="Times New Roman" w:eastAsia="Times New Roman" w:hAnsi="Times New Roman"/>
          <w:sz w:val="13"/>
          <w:szCs w:val="13"/>
          <w:color w:val="auto"/>
        </w:rPr>
        <w:t>.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Preferred Shares. Each Investor further represents and warrants that (x) it is capable of evaluating the merits and risk of such investment, and (y) that it has not been organized for the purpose of acquiring the Preferred Shares and is an “institutional account” as defined by FINRA Rule 4512(c). Such Investor understands and agrees that the offering and sale of the Preferred Shares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sectPr>
          <w:pgSz w:w="11900" w:h="16838" w:orient="portrait"/>
          <w:cols w:equalWidth="0" w:num="1">
            <w:col w:w="9019"/>
          </w:cols>
          <w:pgMar w:left="1440" w:top="231" w:right="1440" w:bottom="1440" w:gutter="0" w:footer="0" w:header="0"/>
        </w:sectPr>
      </w:pPr>
    </w:p>
    <w:bookmarkStart w:id="184" w:name="page185"/>
    <w:bookmarkEnd w:id="184"/>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4.7 </w:t>
      </w:r>
      <w:r>
        <w:rPr>
          <w:rFonts w:ascii="Times New Roman" w:cs="Times New Roman" w:eastAsia="Times New Roman" w:hAnsi="Times New Roman"/>
          <w:sz w:val="12"/>
          <w:szCs w:val="12"/>
          <w:u w:val="single" w:color="auto"/>
          <w:color w:val="auto"/>
        </w:rPr>
        <w:t>Intent</w:t>
      </w:r>
      <w:r>
        <w:rPr>
          <w:rFonts w:ascii="Times New Roman" w:cs="Times New Roman" w:eastAsia="Times New Roman" w:hAnsi="Times New Roman"/>
          <w:sz w:val="12"/>
          <w:szCs w:val="12"/>
          <w:color w:val="auto"/>
        </w:rPr>
        <w:t>. Each Investor is purchasing the Preferred Shares solely for investment purposes, for such Investor’s own account and not for the account of others, and not with a view to the resale or distribution of any part thereof (or any Conversion Shares or Exchange Shares)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Preferred Shares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present arrangement to sell the Preferred Shares (or any Conversion Shares or Exchange Shares) to or through any Person or entity. Each Investor understands that the Preferred Shares (and any Conversion Shares and Exchange Shares) must be held indefinitely unless such securities are resold pursuant to a registration statement under the Securities Act or an exemption from registration is available. Nothing contained herein shall be deemed a representation or warranty by such Investor to hold the Preferred Shares (or any Conversion Shares or Exchange Shares) for any period of time.</w:t>
      </w:r>
    </w:p>
    <w:p>
      <w:pPr>
        <w:spacing w:after="0" w:line="125"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Investment Experience; Ability to Protect Its Own Interests and Bear Economic Risks</w:t>
      </w:r>
      <w:r>
        <w:rPr>
          <w:rFonts w:ascii="Times New Roman" w:cs="Times New Roman" w:eastAsia="Times New Roman" w:hAnsi="Times New Roman"/>
          <w:sz w:val="13"/>
          <w:szCs w:val="13"/>
          <w:color w:val="auto"/>
        </w:rPr>
        <w:t>. Each Investor acknowledges that it can bear the economic risk and complete loss of its investment in the Preferred Shares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w:t>
      </w:r>
    </w:p>
    <w:p>
      <w:pPr>
        <w:spacing w:after="0" w:line="134"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Preferred Shares. Each Investor acknowledges that such Investor is aware that there are substantial risks incident to the purchase and ownership of the Preferred Shares, including those set forth in the Company’s filings with the SEC. Alone, or together with any professional advisor(s), such Investor has adequately analyzed and fully considered the risks of an investment in the Preferred Shares and determined that the Preferred Shares are a suitable investment for the Investor. Each Investor is, at this time and in the foreseeable future, able to afford the loss of such Investor’s entire investment in the Preferred Shares and such Investor acknowledges specifically that a possibility of total loss exists.</w:t>
      </w:r>
    </w:p>
    <w:p>
      <w:pPr>
        <w:spacing w:after="0" w:line="139" w:lineRule="exact"/>
        <w:rPr>
          <w:sz w:val="20"/>
          <w:szCs w:val="20"/>
          <w:color w:val="auto"/>
        </w:rPr>
      </w:pPr>
    </w:p>
    <w:p>
      <w:pPr>
        <w:jc w:val="both"/>
        <w:ind w:left="640" w:right="739"/>
        <w:spacing w:after="0" w:line="251"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u w:val="single" w:color="auto"/>
          <w:color w:val="auto"/>
        </w:rPr>
        <w:t>Independent Investment Decision</w:t>
      </w:r>
      <w:r>
        <w:rPr>
          <w:rFonts w:ascii="Times New Roman" w:cs="Times New Roman" w:eastAsia="Times New Roman" w:hAnsi="Times New Roman"/>
          <w:sz w:val="13"/>
          <w:szCs w:val="13"/>
          <w:color w:val="auto"/>
        </w:rPr>
        <w:t>. Such Investor understands that nothing in the Transaction Agreements or any other materials presented by or on behalf of the Company or Obsidian to such Investor in connection with the purchase of the Preferred Shares constitutes legal, tax or investment advice. Such Investor has consulted such legal, tax and investment advisors as it, in its sole discretion, has deemed necessary or appropriate in connection with its purchase of the Preferred Shares.</w:t>
      </w:r>
    </w:p>
    <w:p>
      <w:pPr>
        <w:spacing w:after="0" w:line="133"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Securities Not Registered; Legends</w:t>
      </w:r>
      <w:r>
        <w:rPr>
          <w:rFonts w:ascii="Times New Roman" w:cs="Times New Roman" w:eastAsia="Times New Roman" w:hAnsi="Times New Roman"/>
          <w:sz w:val="13"/>
          <w:szCs w:val="13"/>
          <w:color w:val="auto"/>
        </w:rPr>
        <w:t>. Such Investor acknowledges and agrees that the Preferred Shares are being offered in a transaction not involving any public offering within the meaning of the Securities Act, and such Investor understands that the Preferred Shares have not been registered under the Securities Act, by reason of their issuance by the Company in a transaction exempt from the registration requirements of the Securities Act, and that the Preferred Shares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w:t>
      </w:r>
    </w:p>
    <w:p>
      <w:pPr>
        <w:sectPr>
          <w:pgSz w:w="11900" w:h="16838" w:orient="portrait"/>
          <w:cols w:equalWidth="0" w:num="1">
            <w:col w:w="9019"/>
          </w:cols>
          <w:pgMar w:left="1440" w:top="231" w:right="1440" w:bottom="1440" w:gutter="0" w:footer="0" w:header="0"/>
        </w:sectPr>
      </w:pPr>
    </w:p>
    <w:bookmarkStart w:id="185" w:name="page186"/>
    <w:bookmarkEnd w:id="185"/>
    <w:p>
      <w:pPr>
        <w:ind w:left="640" w:right="65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Preferred Shares. Such Investor acknowledges that no federal or state agency has passed upon or endorsed the merits of the offering of the Preferred Shares or made any findings or determination as to the fairness of this investment.</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Each Investor understands that any book-entry notations evidencing the Preferred Shares may bear the following legend:</w:t>
      </w:r>
    </w:p>
    <w:p>
      <w:pPr>
        <w:spacing w:after="0" w:line="78"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“THE OFFER AND SALE OF THE SECURITIES REPRESENTED HEREBY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NOTWITHSTANDING THE FOREGOING, (I) THE SECURITIES MAY BE TRANSFERRED WITHOUT CONSIDERATION TO AN AFFILIATE OF SUCH HOLDER OR A CUSTODIAL NOMINEE AND (II) THE SECURITIES MAY BE PLEDGED IN CONNECTION WITH A BONA FIDE MARGIN ACCOUNT OR OTHER LOAN OR FINANCING ARRANGEMENT SECURED BY THE SECURITIES.”</w:t>
      </w:r>
    </w:p>
    <w:p>
      <w:pPr>
        <w:spacing w:after="0" w:line="137" w:lineRule="exact"/>
        <w:rPr>
          <w:sz w:val="20"/>
          <w:szCs w:val="20"/>
          <w:color w:val="auto"/>
        </w:rPr>
      </w:pPr>
    </w:p>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t>In addition, the Preferred Shares may contain a legend regarding affiliate status of the Investor, if applicable, provided that the Company will notify the Investor in advance of Closing if such a legend is to be placed on its Shares.</w:t>
      </w:r>
    </w:p>
    <w:p>
      <w:pPr>
        <w:spacing w:after="0" w:line="122"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u w:val="single" w:color="auto"/>
          <w:color w:val="auto"/>
        </w:rPr>
        <w:t>Placement Agents</w:t>
      </w:r>
      <w:r>
        <w:rPr>
          <w:rFonts w:ascii="Times New Roman" w:cs="Times New Roman" w:eastAsia="Times New Roman" w:hAnsi="Times New Roman"/>
          <w:sz w:val="13"/>
          <w:szCs w:val="13"/>
          <w:color w:val="auto"/>
        </w:rPr>
        <w:t>. Each Investor hereby acknowledges and agrees that (a) the Placement Agents are acting solely as Placement Agents in connection with the execution, delivery and performance of the Transaction Agreements and the issuance of the Preferred Shares to the Investor and neither the Placement Agents nor any of its Affiliates have acted as an underwriter or in any other capacity and are not and shall not be construed as a fiduciary or financial advisor for such Investor, the Company, Obsidian or any other Person or entity in connection with the execution, delivery and performance of the Transaction Agreements and the issuance and purchase of the Preferred Shares, (b) the Placement Agents have not made and do not make any representation or warranty, whether express or implied, of any kind or character, and the Placement Agents have not provided any advice or recommendation in connection with the execution, delivery and performance of the Transaction Agreements or with respect to the Preferred Shares, nor is such information or advice necessary or desired, (c) the Placement Agents will not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or Obsidian, and (d) the Placement Agents will not have any liability or obligation (including without limitation, for or with respect to any losses, claims, damages, obligations, penalties, judgments, awards, liabilities, costs, expenses or disbursements incurred by such Investor, the Company, Obsidian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w:t>
      </w:r>
    </w:p>
    <w:p>
      <w:pPr>
        <w:sectPr>
          <w:pgSz w:w="11900" w:h="16838" w:orient="portrait"/>
          <w:cols w:equalWidth="0" w:num="1">
            <w:col w:w="9019"/>
          </w:cols>
          <w:pgMar w:left="1440" w:top="231" w:right="1440" w:bottom="1440" w:gutter="0" w:footer="0" w:header="0"/>
        </w:sectPr>
      </w:pPr>
    </w:p>
    <w:bookmarkStart w:id="186" w:name="page187"/>
    <w:bookmarkEnd w:id="186"/>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bad faith. No disclosure or offering document has been prepared by the Placement Agents or any of their respective Affiliates in connection with the offer and sale of the Preferred Shares. Neither the Placement Agents nor any of its Affiliates have made or make any representation as to the quality or value of the Preferred Shares and the Placement Agents and its Affiliates may have acquired non-public information with respect to the Company or Obsidian which the Investor agrees need not be provided to it. On behalf of itself and its Affiliates, the Investor releases the Placement Agents in respect of any and all losses, claims, damages, liabilities, costs (including, without limitation, reasonable attorneys’ fees) or expenses related to the transactions contemplated by this Agreement and the purchase and sale of the Preferred Shares hereunder, except in each case for the Placement Agents’ gross negligence, willful misconduct or bad faith. Each Investor agrees not to commence any litigation or bring any claim against the Placement Agents in any court or any other forum which relates to, may arise out of, or is in connection with, the transactions contemplated by this Agreement and the purchase and sale of the Preferred Shares hereunder, except in each case for the Placement Agents’ gross negligence, willful misconduct or bad faith. This undertaking is given freely and after obtaining independent legal advice.</w:t>
      </w:r>
    </w:p>
    <w:p>
      <w:pPr>
        <w:spacing w:after="0" w:line="13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u w:val="single" w:color="auto"/>
          <w:color w:val="auto"/>
        </w:rPr>
        <w:t>No General Solicitation</w:t>
      </w:r>
      <w:r>
        <w:rPr>
          <w:rFonts w:ascii="Times New Roman" w:cs="Times New Roman" w:eastAsia="Times New Roman" w:hAnsi="Times New Roman"/>
          <w:sz w:val="13"/>
          <w:szCs w:val="13"/>
          <w:color w:val="auto"/>
        </w:rPr>
        <w:t>. Each Investor acknowledges and agrees that the Investor is purchasing the Preferred Shares directly from the Company. Such Investor became aware of this offering of the Preferred Shares solely by means of direct contact from the Placement Agents or directly from Obsidian or the Company as a result of a pre-existing, substantive relationship with Obsidian,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Preferred Shares were offered to such Investor solely by direct contact between such Investor, on the one hand, and Obsidian, the Company, the Placement Agents and/or their respective representatives, on the other hand. Such Investor did not become aware of this offering of the Preferred Shares, nor were the Preferred Shares offered to such Investor, by any other means, and none of Obsidian, the Company, the Placement Agents and/or their respective representatives acted as investment advisor, broker or dealer to such Investor. Such Investor is not purchasing the Preferred Shares as a result of any advertising or, to its knowledge, general solicitation, within the meaning of the Securities Act.</w:t>
      </w:r>
    </w:p>
    <w:p>
      <w:pPr>
        <w:spacing w:after="0" w:line="136"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Access to Information</w:t>
      </w:r>
      <w:r>
        <w:rPr>
          <w:rFonts w:ascii="Times New Roman" w:cs="Times New Roman" w:eastAsia="Times New Roman" w:hAnsi="Times New Roman"/>
          <w:sz w:val="13"/>
          <w:szCs w:val="13"/>
          <w:color w:val="auto"/>
        </w:rPr>
        <w:t xml:space="preserve">. In making its decision to purchase the Preferred Shares, each Investor has relied solely upon independent investigation made by such Investor, and upon the representations, warranties and covenants of the Company set forth herein. Such Investor acknowledges and agrees that such Investor has received such information as such Investor deems necessary in order to make an investment decision with respect to the Preferred Shares, including, with respect to the Company and Obsidian. Without limiting the generality of the foregoing, each Investor acknowledges that copies of the 2026 SEC Reports are available on Edgar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Each Investor acknowledges and agrees that such Investors and such Investor’s professional advisor(s), if any, have had the opportunity to ask such questions, receive such answers and obtain such information from Obsidian and the Company regarding Obsidian, the Company, their respective businesses and the terms and conditions of the offering of the Preferred Shares as such Investor and such Investor’s professional advisor(s), if any, have deemed necessary to make an investment decision with respect to the Preferred Shares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spacing w:after="0" w:line="141" w:lineRule="exact"/>
        <w:rPr>
          <w:sz w:val="20"/>
          <w:szCs w:val="20"/>
          <w:color w:val="auto"/>
        </w:rPr>
      </w:pPr>
    </w:p>
    <w:p>
      <w:pPr>
        <w:ind w:left="640" w:right="939"/>
        <w:spacing w:after="0" w:line="255" w:lineRule="auto"/>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Certain Trading Activities</w:t>
      </w:r>
      <w:r>
        <w:rPr>
          <w:rFonts w:ascii="Times New Roman" w:cs="Times New Roman" w:eastAsia="Times New Roman" w:hAnsi="Times New Roman"/>
          <w:sz w:val="13"/>
          <w:szCs w:val="13"/>
          <w:color w:val="auto"/>
        </w:rPr>
        <w:t>. Other than consummating the transaction contemplated hereby,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w:t>
      </w:r>
    </w:p>
    <w:p>
      <w:pPr>
        <w:sectPr>
          <w:pgSz w:w="11900" w:h="16838" w:orient="portrait"/>
          <w:cols w:equalWidth="0" w:num="1">
            <w:col w:w="9019"/>
          </w:cols>
          <w:pgMar w:left="1440" w:top="231" w:right="1440" w:bottom="1440" w:gutter="0" w:footer="0" w:header="0"/>
        </w:sectPr>
      </w:pPr>
    </w:p>
    <w:bookmarkStart w:id="187" w:name="page188"/>
    <w:bookmarkEnd w:id="187"/>
    <w:p>
      <w:pPr>
        <w:ind w:left="640" w:right="67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 or any other Person regarding the transaction contemplated hereby and ending immediately prior to execution of this Agreement.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Preferred Shares covered by this Agreement and (ii) in the case of an Investor whose investment adviser utilized an information barrier with respect to the information regarding the transactions contemplated hereunder after first being contacted by the Company, Obsidian or such other Person representing the Company or Obsidian,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46"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Regulation M</w:t>
      </w:r>
      <w:r>
        <w:rPr>
          <w:rFonts w:ascii="Times New Roman" w:cs="Times New Roman" w:eastAsia="Times New Roman" w:hAnsi="Times New Roman"/>
          <w:sz w:val="13"/>
          <w:szCs w:val="13"/>
          <w:color w:val="auto"/>
        </w:rPr>
        <w:t>. Such Investor is aware that the anti-manipulation rules of Regulation M under the Exchange Act may apply to sales of securities and other activities with respect to the Preferred Shares by the Investors.</w:t>
      </w:r>
    </w:p>
    <w:p>
      <w:pPr>
        <w:spacing w:after="0" w:line="122" w:lineRule="exact"/>
        <w:rPr>
          <w:sz w:val="20"/>
          <w:szCs w:val="20"/>
          <w:color w:val="auto"/>
        </w:rPr>
      </w:pPr>
    </w:p>
    <w:p>
      <w:pPr>
        <w:ind w:left="760" w:hanging="123"/>
        <w:spacing w:after="0"/>
        <w:tabs>
          <w:tab w:leader="none" w:pos="76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Covenants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xml:space="preserve">. After the date hereof,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are no longer accurate, and the Company agrees to promptly notify each Investor and the Placement Agents if any of the acknowledgments, understandings, agreements, representations and warranties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are no longer accurate.</w:t>
      </w:r>
    </w:p>
    <w:p>
      <w:pPr>
        <w:spacing w:after="0" w:line="137"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Prior to the Closing, the Company shall use reasonable best efforts to maintain the listing and trading of the Common Stock on the OTCQB Market and, in accordance therewith, will use reasonable best efforts to comply in all material respects with the Company’s reporting, filing and other obligations under the rules and regulations of the OTCQB Market. Parent shall also use its reasonable best efforts to take all steps necessary to cause the Exchange Shares to be approved for listing on one of the listing markets of the Nasdaq Stock Market LLC as promptly as possible and to comply in all material respects</w:t>
      </w:r>
    </w:p>
    <w:p>
      <w:pPr>
        <w:sectPr>
          <w:pgSz w:w="11900" w:h="16838" w:orient="portrait"/>
          <w:cols w:equalWidth="0" w:num="1">
            <w:col w:w="9019"/>
          </w:cols>
          <w:pgMar w:left="1440" w:top="231" w:right="1440" w:bottom="1440" w:gutter="0" w:footer="0" w:header="0"/>
        </w:sectPr>
      </w:pPr>
    </w:p>
    <w:bookmarkStart w:id="188" w:name="page189"/>
    <w:bookmarkEnd w:id="188"/>
    <w:p>
      <w:pPr>
        <w:ind w:left="640" w:right="6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Parent’s reporting, filing and other obligations under the rules and regulations of the Nasdaq Stock Market LLC. The Company agrees to use, and will cause Parent to use, commercially reasonable efforts to maintain the eligibility of the Exchange Shares for electronic transfer through an established clearing corporation, including, without limitation, by timely payment of fees to such clearing corporation in connection with such electronic transfer.</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Disclosure of Transactions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59" w:hanging="3"/>
        <w:spacing w:after="0" w:line="243" w:lineRule="auto"/>
        <w:tabs>
          <w:tab w:leader="none" w:pos="812"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by 9:00 a.m., New York City time, on the first (1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Business Day immediately following the date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this Agreement is executed between midnight and 9:00 a.m., New York City time on any Business Day, no later than 9:01 a.m. on the date hereof), issue a press release and ensure that the Company shall substantially contemporaneously file with the SEC a Current Report on Form 8-K (including all exhibits thereto, the “</w:t>
      </w:r>
      <w:r>
        <w:rPr>
          <w:rFonts w:ascii="Times New Roman" w:cs="Times New Roman" w:eastAsia="Times New Roman" w:hAnsi="Times New Roman"/>
          <w:sz w:val="12"/>
          <w:szCs w:val="12"/>
          <w:b w:val="1"/>
          <w:bCs w:val="1"/>
          <w:color w:val="auto"/>
        </w:rPr>
        <w:t>Disclosure Document</w:t>
      </w:r>
      <w:r>
        <w:rPr>
          <w:rFonts w:ascii="Times New Roman" w:cs="Times New Roman" w:eastAsia="Times New Roman" w:hAnsi="Times New Roman"/>
          <w:sz w:val="12"/>
          <w:szCs w:val="12"/>
          <w:color w:val="auto"/>
        </w:rPr>
        <w:t>” and the actual filing of such press release and/or Current Report on Form 8-K, the “</w:t>
      </w:r>
      <w:r>
        <w:rPr>
          <w:rFonts w:ascii="Times New Roman" w:cs="Times New Roman" w:eastAsia="Times New Roman" w:hAnsi="Times New Roman"/>
          <w:sz w:val="12"/>
          <w:szCs w:val="12"/>
          <w:b w:val="1"/>
          <w:bCs w:val="1"/>
          <w:color w:val="auto"/>
        </w:rPr>
        <w:t>Disclosure Time</w:t>
      </w:r>
      <w:r>
        <w:rPr>
          <w:rFonts w:ascii="Times New Roman" w:cs="Times New Roman" w:eastAsia="Times New Roman" w:hAnsi="Times New Roman"/>
          <w:sz w:val="12"/>
          <w:szCs w:val="12"/>
          <w:color w:val="auto"/>
        </w:rPr>
        <w:t>”) disclosing</w:t>
      </w:r>
    </w:p>
    <w:p>
      <w:pPr>
        <w:spacing w:after="0" w:line="2" w:lineRule="exact"/>
        <w:rPr>
          <w:rFonts w:ascii="Times New Roman" w:cs="Times New Roman" w:eastAsia="Times New Roman" w:hAnsi="Times New Roman"/>
          <w:sz w:val="12"/>
          <w:szCs w:val="12"/>
          <w:color w:val="auto"/>
        </w:rPr>
      </w:pPr>
    </w:p>
    <w:p>
      <w:pPr>
        <w:ind w:left="640" w:right="779" w:hanging="3"/>
        <w:spacing w:after="0" w:line="243" w:lineRule="auto"/>
        <w:tabs>
          <w:tab w:leader="none" w:pos="791"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terms of the transactions contemplated hereby and by the other Transaction Agreements and the Merger Agreement and attaching this Agreement, the other Transaction Agreements and the Merger Agreement as exhibits to such Disclosure Document, and (ii) all material non-public information concerning the Company, Obsidian,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Obsidian, their respective Subsidiaries or any of their respective officers, directors, employees or agents (including the Placement Agents). Without limiting the terms of the Registration Rights Agreement, from and after the issuance of the Disclosure Document, the Company shall not provide material non-public information to any Investor, unless otherwise specifically agreed in writing by such Investor prior to any such disclosure. Notwithstanding the foregoing, certain Investors may be in possession of additional confidential information, including certain non-public clinical updates, of Obsidian. Obsidian hereby agrees that it shall make public such confidential information by 5:00 p.m. EST on June 2, 2026. The Company and Obsidian understands and confirms that the Investors will rely on the foregoing representations in effecting securities transactions.</w:t>
      </w:r>
    </w:p>
    <w:p>
      <w:pPr>
        <w:spacing w:after="0" w:line="141" w:lineRule="exact"/>
        <w:rPr>
          <w:rFonts w:ascii="Times New Roman" w:cs="Times New Roman" w:eastAsia="Times New Roman" w:hAnsi="Times New Roman"/>
          <w:sz w:val="13"/>
          <w:szCs w:val="13"/>
          <w:color w:val="auto"/>
        </w:rPr>
      </w:pPr>
    </w:p>
    <w:p>
      <w:pPr>
        <w:ind w:left="640" w:right="859" w:hanging="3"/>
        <w:spacing w:after="0" w:line="268" w:lineRule="auto"/>
        <w:tabs>
          <w:tab w:leader="none" w:pos="819"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in this Agreement to the contrary, the Company shall not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Merger Agreement or the Registration Rights Agreement) or any regulatory agency, without the prior written consent of such Investor, except (i) as required by the federal securities law in connection with (A) any registration statement contemplated by the Merger Agreement or the Registration Rights Agreement and</w:t>
      </w:r>
    </w:p>
    <w:p>
      <w:pPr>
        <w:ind w:left="640" w:right="75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the filing of final Transaction Agreements with the SEC or pursuant to other routine proceedings of regulatory authorities, or (ii) to the extent such disclosure is required by law, at the request of the staff of the SEC or regulatory agency or under the regulations of the OTCQB Market or Nasdaq, provided that the Company shall use commercially reasonable efforts to provide the Investors with prior written notice of and a reasonable opportunity to review such disclosure permitted under foregoing clauses (i) and (ii).</w:t>
      </w:r>
    </w:p>
    <w:p>
      <w:pPr>
        <w:spacing w:after="0" w:line="137"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Integration</w:t>
      </w:r>
      <w:r>
        <w:rPr>
          <w:rFonts w:ascii="Times New Roman" w:cs="Times New Roman" w:eastAsia="Times New Roman" w:hAnsi="Times New Roman"/>
          <w:sz w:val="13"/>
          <w:szCs w:val="13"/>
          <w:color w:val="auto"/>
        </w:rPr>
        <w:t>. The Company shall not, and shall use its reasonable best efforts to ensure that no Affiliate of the Company shall, sell, offer for sale or solicit offers to buy or otherwise negotiate in respect of any security (as defined in Section 2 of the Securities Act) that will be integrated with the offer or sale of the Preferred Shares in a manner that would require the registration under the Securities Act of the sale of the Preferred Shares to the Investors, or that will be integrated with the offer or sale of the Preferred Shares for purposes of the rules and regulations of any National Exchange such that it would require stockholder approval prior to the closing of such other transaction unless stockholder approval is obtained before the closing of such subsequent transaction.</w:t>
      </w:r>
    </w:p>
    <w:p>
      <w:pPr>
        <w:sectPr>
          <w:pgSz w:w="11900" w:h="16838" w:orient="portrait"/>
          <w:cols w:equalWidth="0" w:num="1">
            <w:col w:w="9019"/>
          </w:cols>
          <w:pgMar w:left="1440" w:top="231" w:right="1440" w:bottom="1440" w:gutter="0" w:footer="0" w:header="0"/>
        </w:sectPr>
      </w:pPr>
    </w:p>
    <w:bookmarkStart w:id="189" w:name="page190"/>
    <w:bookmarkEnd w:id="189"/>
    <w:p>
      <w:pPr>
        <w:ind w:left="640" w:right="67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5.5 </w:t>
      </w:r>
      <w:r>
        <w:rPr>
          <w:rFonts w:ascii="Times New Roman" w:cs="Times New Roman" w:eastAsia="Times New Roman" w:hAnsi="Times New Roman"/>
          <w:sz w:val="12"/>
          <w:szCs w:val="12"/>
          <w:u w:val="single" w:color="auto"/>
          <w:color w:val="auto"/>
        </w:rPr>
        <w:t>Removal of Legends</w:t>
      </w:r>
      <w:r>
        <w:rPr>
          <w:rFonts w:ascii="Times New Roman" w:cs="Times New Roman" w:eastAsia="Times New Roman" w:hAnsi="Times New Roman"/>
          <w:sz w:val="12"/>
          <w:szCs w:val="12"/>
          <w:color w:val="auto"/>
        </w:rPr>
        <w:t>. Once the Resale Registration Statement (as defined in the Registration Rights Agreement) covering the resale of the Exchange Shares is declared or becomes effective, the Company shall instruct its Transfer Agent to remove all restrictive legends (other than, if applicable, an “affiliate” legend) within five (5) business days from such date, including the legend set forth in Section 4.10 above (or, in the event that Exchange Shares are issued after the Merger Registration Statement is declared effective, the Exchange Shares shall be issued without restrictive legends). Further,</w:t>
      </w:r>
    </w:p>
    <w:p>
      <w:pPr>
        <w:spacing w:after="0" w:line="1" w:lineRule="exact"/>
        <w:rPr>
          <w:sz w:val="20"/>
          <w:szCs w:val="20"/>
          <w:color w:val="auto"/>
        </w:rPr>
      </w:pPr>
    </w:p>
    <w:p>
      <w:pPr>
        <w:ind w:left="640" w:right="659" w:hanging="3"/>
        <w:spacing w:after="0" w:line="243" w:lineRule="auto"/>
        <w:tabs>
          <w:tab w:leader="none" w:pos="791"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while a registration statement (including the Registration Statement) covering the resale of such security is effective under the Securities Act, (ii) in connection with any sale, assignment, transfer or other disposition of Exchange Shares by an Investor pursuant to Rule 144 or pursuant to any other exemption under the Securities Act such that the purchaser acquires freely tradable shares, (iii) if the Exchange Shares are eligible for sale under Rule 144 without the need to comply with the current information requirement contained in Rule 144(c), or (iv) if such legend is not required under applicable requirements of the Securities Act (including judicial interpretations and pronouncements issued by the staff of the Commission), if requested by the Investor by notice to the Company, the Company shall request its transfer agent to remove any restrictive legends related to the book entry account holding such shares and make a new, unlegended entry for such book entry shares without restrictive legends as soon as reasonably practicable (but no later than five (5) business days) following any such request therefor from the Investor, provided that the Company has timely received from the Investor customary representations and other documentation reasonably acceptable to the Company in connection therewith. The Company shall cause its counsel to issue a legal opinion to its transfer agent or the Investor promptly if required by the transfer Agent to effect the removal of the legend hereunder, or if requested by an Investor, respectively. The Company shall be responsible for the fees of its transfer agent and its legal counsel associated with such legend removal.</w:t>
      </w:r>
    </w:p>
    <w:p>
      <w:pPr>
        <w:spacing w:after="0" w:line="142" w:lineRule="exact"/>
        <w:rPr>
          <w:sz w:val="20"/>
          <w:szCs w:val="20"/>
          <w:color w:val="auto"/>
        </w:rPr>
      </w:pPr>
    </w:p>
    <w:p>
      <w:pPr>
        <w:ind w:left="640" w:right="779"/>
        <w:spacing w:after="0" w:line="309" w:lineRule="auto"/>
        <w:rPr>
          <w:sz w:val="20"/>
          <w:szCs w:val="20"/>
          <w:color w:val="auto"/>
        </w:rPr>
      </w:pPr>
      <w:r>
        <w:rPr>
          <w:rFonts w:ascii="Times New Roman" w:cs="Times New Roman" w:eastAsia="Times New Roman" w:hAnsi="Times New Roman"/>
          <w:sz w:val="12"/>
          <w:szCs w:val="12"/>
          <w:color w:val="auto"/>
        </w:rPr>
        <w:t xml:space="preserve">5.6 </w:t>
      </w:r>
      <w:r>
        <w:rPr>
          <w:rFonts w:ascii="Times New Roman" w:cs="Times New Roman" w:eastAsia="Times New Roman" w:hAnsi="Times New Roman"/>
          <w:sz w:val="12"/>
          <w:szCs w:val="12"/>
          <w:u w:val="single" w:color="auto"/>
          <w:color w:val="auto"/>
        </w:rPr>
        <w:t>Withholding Taxes</w:t>
      </w:r>
      <w:r>
        <w:rPr>
          <w:rFonts w:ascii="Times New Roman" w:cs="Times New Roman" w:eastAsia="Times New Roman" w:hAnsi="Times New Roman"/>
          <w:sz w:val="12"/>
          <w:szCs w:val="12"/>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0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Fees</w:t>
      </w:r>
      <w:r>
        <w:rPr>
          <w:rFonts w:ascii="Times New Roman" w:cs="Times New Roman" w:eastAsia="Times New Roman" w:hAnsi="Times New Roman"/>
          <w:sz w:val="13"/>
          <w:szCs w:val="13"/>
          <w:color w:val="auto"/>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w:t>
      </w:r>
    </w:p>
    <w:p>
      <w:pPr>
        <w:spacing w:after="0" w:line="130" w:lineRule="exact"/>
        <w:rPr>
          <w:sz w:val="20"/>
          <w:szCs w:val="20"/>
          <w:color w:val="auto"/>
        </w:rPr>
      </w:pPr>
    </w:p>
    <w:p>
      <w:pPr>
        <w:ind w:left="640" w:right="1019"/>
        <w:spacing w:after="0" w:line="267" w:lineRule="auto"/>
        <w:rPr>
          <w:sz w:val="20"/>
          <w:szCs w:val="20"/>
          <w:color w:val="auto"/>
        </w:rPr>
      </w:pPr>
      <w:r>
        <w:rPr>
          <w:rFonts w:ascii="Times New Roman" w:cs="Times New Roman" w:eastAsia="Times New Roman" w:hAnsi="Times New Roman"/>
          <w:sz w:val="13"/>
          <w:szCs w:val="13"/>
          <w:color w:val="auto"/>
        </w:rPr>
        <w:t xml:space="preserve">5.8 </w:t>
      </w:r>
      <w:r>
        <w:rPr>
          <w:rFonts w:ascii="Times New Roman" w:cs="Times New Roman" w:eastAsia="Times New Roman" w:hAnsi="Times New Roman"/>
          <w:sz w:val="13"/>
          <w:szCs w:val="13"/>
          <w:u w:val="single" w:color="auto"/>
          <w:color w:val="auto"/>
        </w:rPr>
        <w:t>No Conflicting Agreements</w:t>
      </w:r>
      <w:r>
        <w:rPr>
          <w:rFonts w:ascii="Times New Roman" w:cs="Times New Roman" w:eastAsia="Times New Roman" w:hAnsi="Times New Roman"/>
          <w:sz w:val="13"/>
          <w:szCs w:val="13"/>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22"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u w:val="single" w:color="auto"/>
          <w:color w:val="auto"/>
        </w:rPr>
        <w:t>Reporting Status</w:t>
      </w:r>
      <w:r>
        <w:rPr>
          <w:rFonts w:ascii="Times New Roman" w:cs="Times New Roman" w:eastAsia="Times New Roman" w:hAnsi="Times New Roman"/>
          <w:sz w:val="13"/>
          <w:szCs w:val="13"/>
          <w:color w:val="auto"/>
        </w:rPr>
        <w:t>.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otherwise permit such termination.</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5.10 </w:t>
      </w:r>
      <w:r>
        <w:rPr>
          <w:rFonts w:ascii="Times New Roman" w:cs="Times New Roman" w:eastAsia="Times New Roman" w:hAnsi="Times New Roman"/>
          <w:sz w:val="13"/>
          <w:szCs w:val="13"/>
          <w:u w:val="single" w:color="auto"/>
          <w:color w:val="auto"/>
        </w:rPr>
        <w:t>Indemnification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hanging="3"/>
        <w:spacing w:after="0" w:line="255" w:lineRule="auto"/>
        <w:tabs>
          <w:tab w:leader="none" w:pos="812"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to indemnify and hold harmless each Investor and its Affiliates and each Person who controls such Investor (within the meaning of Section 15 of the Securities Act and Section 20 of the Exchange Act), and their respective directors, officers, trustees, members, managers, employees, investment advisers and agents (collectively, the “</w:t>
      </w:r>
      <w:r>
        <w:rPr>
          <w:rFonts w:ascii="Times New Roman" w:cs="Times New Roman" w:eastAsia="Times New Roman" w:hAnsi="Times New Roman"/>
          <w:sz w:val="13"/>
          <w:szCs w:val="13"/>
          <w:b w:val="1"/>
          <w:bCs w:val="1"/>
          <w:color w:val="auto"/>
        </w:rPr>
        <w:t>Indemnified Persons</w:t>
      </w:r>
      <w:r>
        <w:rPr>
          <w:rFonts w:ascii="Times New Roman" w:cs="Times New Roman" w:eastAsia="Times New Roman" w:hAnsi="Times New Roman"/>
          <w:sz w:val="13"/>
          <w:szCs w:val="13"/>
          <w:color w:val="auto"/>
        </w:rPr>
        <w:t>”), from and against any and all</w:t>
      </w:r>
    </w:p>
    <w:p>
      <w:pPr>
        <w:sectPr>
          <w:pgSz w:w="11900" w:h="16838" w:orient="portrait"/>
          <w:cols w:equalWidth="0" w:num="1">
            <w:col w:w="9019"/>
          </w:cols>
          <w:pgMar w:left="1440" w:top="231" w:right="1440" w:bottom="1440" w:gutter="0" w:footer="0" w:header="0"/>
        </w:sectPr>
      </w:pPr>
    </w:p>
    <w:bookmarkStart w:id="190" w:name="page191"/>
    <w:bookmarkEnd w:id="190"/>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who is not an Affiliate of the Indemnified Person, whether directly or in a derivative capacity, with respect to the transactions contemplated by the Transaction Agreements (unless such action, claim or proceeding is based upon a breach of such Investor’s representations, warranties or covenants under the Transaction Agreements), and in each case will reimburse any such Indemnified Person for all such amounts as they are incurred by such Indemnified Person. For the avoidance of doubt, the indemnification obligations of the Company set forth in this Section 5.10 shall apply whether or not the transactions contemplated by this Agreement are consummated, provided that the applicable breach or action giving rise to indemnification occurred prior to or in connection with the Closing.</w:t>
      </w:r>
    </w:p>
    <w:p>
      <w:pPr>
        <w:spacing w:after="0" w:line="141" w:lineRule="exact"/>
        <w:rPr>
          <w:sz w:val="20"/>
          <w:szCs w:val="20"/>
          <w:color w:val="auto"/>
        </w:rPr>
      </w:pPr>
    </w:p>
    <w:p>
      <w:pPr>
        <w:ind w:left="640" w:right="679" w:hanging="3"/>
        <w:spacing w:after="0" w:line="265" w:lineRule="auto"/>
        <w:tabs>
          <w:tab w:leader="none" w:pos="819"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w:t>
      </w:r>
    </w:p>
    <w:p>
      <w:pPr>
        <w:spacing w:after="0" w:line="2" w:lineRule="exact"/>
        <w:rPr>
          <w:rFonts w:ascii="Times New Roman" w:cs="Times New Roman" w:eastAsia="Times New Roman" w:hAnsi="Times New Roman"/>
          <w:sz w:val="12"/>
          <w:szCs w:val="12"/>
          <w:color w:val="auto"/>
        </w:rPr>
      </w:pPr>
    </w:p>
    <w:p>
      <w:pPr>
        <w:ind w:left="640" w:right="719" w:hanging="3"/>
        <w:spacing w:after="0" w:line="244" w:lineRule="auto"/>
        <w:tabs>
          <w:tab w:leader="none" w:pos="826"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Reservation of Common Stock</w:t>
      </w:r>
      <w:r>
        <w:rPr>
          <w:rFonts w:ascii="Times New Roman" w:cs="Times New Roman" w:eastAsia="Times New Roman" w:hAnsi="Times New Roman"/>
          <w:sz w:val="13"/>
          <w:szCs w:val="13"/>
          <w:color w:val="auto"/>
        </w:rPr>
        <w:t>. As of the date hereof, the Company has reserved and the Company shall continue to reserve and keep available at all times, free of preemptive rights, a sufficient number of shares of Common Stock for the purpose of enabling the Company to issue the Conversion Shares. Prior to the Closing, Parent shall reserve and shall thereafter keep at all times, free of preemptive rights, a sufficient number of shares of common stock for purposes of enabling Parent to issue the Exchange Shares.</w:t>
      </w:r>
    </w:p>
    <w:p>
      <w:pPr>
        <w:sectPr>
          <w:pgSz w:w="11900" w:h="16838" w:orient="portrait"/>
          <w:cols w:equalWidth="0" w:num="1">
            <w:col w:w="9019"/>
          </w:cols>
          <w:pgMar w:left="1440" w:top="231" w:right="1440" w:bottom="1440" w:gutter="0" w:footer="0" w:header="0"/>
        </w:sectPr>
      </w:pPr>
    </w:p>
    <w:bookmarkStart w:id="191" w:name="page192"/>
    <w:bookmarkEnd w:id="191"/>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5.13 </w:t>
      </w:r>
      <w:r>
        <w:rPr>
          <w:rFonts w:ascii="Times New Roman" w:cs="Times New Roman" w:eastAsia="Times New Roman" w:hAnsi="Times New Roman"/>
          <w:sz w:val="13"/>
          <w:szCs w:val="13"/>
          <w:u w:val="single" w:color="auto"/>
          <w:color w:val="auto"/>
        </w:rPr>
        <w:t>No Amendment or Waiver of Merger Agreement Terms</w:t>
      </w:r>
      <w:r>
        <w:rPr>
          <w:rFonts w:ascii="Times New Roman" w:cs="Times New Roman" w:eastAsia="Times New Roman" w:hAnsi="Times New Roman"/>
          <w:sz w:val="13"/>
          <w:szCs w:val="13"/>
          <w:color w:val="auto"/>
        </w:rPr>
        <w:t>. The Company shall not, between the date hereof and the Closing Date, and shall not permit any of its Subsidiaries to, amend, modify, supplement, terminate or waive (or fail to contest an action regarding a breach of or agree to amend, modify, supplement, terminate or waive) any provision of the Merger Agreement or any other Transaction Agreement in a manner that would reasonably be expected to materially and adversely affect the benefits that an Investor would reasonably expect to receive pursuant to this Agreement without the prior written consent of a Majority in Interest of the Purchasers, it being agreed that any amendment or modification to the definition of “Exchange Ratio” shall be deemed to materially and adversely affect the benefits that the Investors would reasonably expect to receive under this Agreement. In seeking any such consent, the Company shall not disclose any material nonpublic information pertaining to the Company, Parent, Obsidian or their respective operations.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5.14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5.15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color w:val="auto"/>
        </w:rPr>
        <w:t xml:space="preserve">5.16 </w:t>
      </w:r>
      <w:r>
        <w:rPr>
          <w:rFonts w:ascii="Times New Roman" w:cs="Times New Roman" w:eastAsia="Times New Roman" w:hAnsi="Times New Roman"/>
          <w:sz w:val="13"/>
          <w:szCs w:val="13"/>
          <w:u w:val="single" w:color="auto"/>
          <w:color w:val="auto"/>
        </w:rPr>
        <w:t>Equal Treatment of Investors</w:t>
      </w:r>
      <w:r>
        <w:rPr>
          <w:rFonts w:ascii="Times New Roman" w:cs="Times New Roman" w:eastAsia="Times New Roman" w:hAnsi="Times New Roman"/>
          <w:sz w:val="13"/>
          <w:szCs w:val="13"/>
          <w:color w:val="auto"/>
        </w:rPr>
        <w:t>. No consideration shall be offered or paid to any Investor to amend or consent to a waiver or modification of any provision of this Agreement unless the same consideration is also offered to all of the Investors. The Company further confirms that there are no side letters or other agreements giving any Investor any additional rights or benefits other than as set forth in the Transaction Agreements (other than confidentiality, nondisclosure, or similar agreements). The Company shall not be entitled to redeem or repurchase any of the Preferred Shares unless such redemption or repurchase is on a pro-rata basis amongst the Investors. For clarification purposes, this provision constitutes a separate right granted to each Investor by the Company and negotiated separately by each Investor and shall not in any way be construed as the Investors acting in concert or as a group with respect to the purchase, disposition or voting of shares of Common Stock or otherwise.</w:t>
      </w:r>
    </w:p>
    <w:p>
      <w:pPr>
        <w:spacing w:after="0" w:line="136" w:lineRule="exact"/>
        <w:rPr>
          <w:sz w:val="20"/>
          <w:szCs w:val="20"/>
          <w:color w:val="auto"/>
        </w:rPr>
      </w:pPr>
    </w:p>
    <w:p>
      <w:pPr>
        <w:ind w:left="640" w:right="859"/>
        <w:spacing w:after="0" w:line="274" w:lineRule="auto"/>
        <w:rPr>
          <w:sz w:val="20"/>
          <w:szCs w:val="20"/>
          <w:color w:val="auto"/>
        </w:rPr>
      </w:pPr>
      <w:r>
        <w:rPr>
          <w:rFonts w:ascii="Times New Roman" w:cs="Times New Roman" w:eastAsia="Times New Roman" w:hAnsi="Times New Roman"/>
          <w:sz w:val="12"/>
          <w:szCs w:val="12"/>
          <w:color w:val="auto"/>
        </w:rPr>
        <w:t xml:space="preserve">5.17 </w:t>
      </w:r>
      <w:r>
        <w:rPr>
          <w:rFonts w:ascii="Times New Roman" w:cs="Times New Roman" w:eastAsia="Times New Roman" w:hAnsi="Times New Roman"/>
          <w:sz w:val="12"/>
          <w:szCs w:val="12"/>
          <w:u w:val="single" w:color="auto"/>
          <w:color w:val="auto"/>
        </w:rPr>
        <w:t>Subsequent Equity Sales</w:t>
      </w:r>
      <w:r>
        <w:rPr>
          <w:rFonts w:ascii="Times New Roman" w:cs="Times New Roman" w:eastAsia="Times New Roman" w:hAnsi="Times New Roman"/>
          <w:sz w:val="12"/>
          <w:szCs w:val="12"/>
          <w:color w:val="auto"/>
        </w:rPr>
        <w:t>. From the date of this Agreement until the later of (a) ninety (90) days after the Closing Date and (b) the Business Day immediately following the effective date of the Registration Statement filed pursuant to the Registration Rights Agreement , the Company shall not</w:t>
      </w:r>
    </w:p>
    <w:p>
      <w:pPr>
        <w:spacing w:after="0" w:line="1" w:lineRule="exact"/>
        <w:rPr>
          <w:sz w:val="20"/>
          <w:szCs w:val="20"/>
          <w:color w:val="auto"/>
        </w:rPr>
      </w:pPr>
    </w:p>
    <w:p>
      <w:pPr>
        <w:ind w:left="640" w:right="699" w:hanging="3"/>
        <w:spacing w:after="0" w:line="263" w:lineRule="auto"/>
        <w:tabs>
          <w:tab w:leader="none" w:pos="847" w:val="left"/>
        </w:tabs>
        <w:numPr>
          <w:ilvl w:val="0"/>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contemplated by the Merger Agreement, issue shares of Common Stock, Common Stock Equivalents, Parent Common Stock (as defined in the Merger Agreement), or any securities of Parent that would entitle the holder thereof to acquire at any time Parent Common Stock, including, without limitation, any debt, preferred stock, rights, options, warrants or other instrument that is at any time convertible into or exchangeable for, or otherwise entitles the holder thereof to receive, Parent Common Stock (collectively, the “Parent Common Stock Equivalents”), (B) except as contemplated by the Merger Agreement, effect a reverse stock split, recapitalization, share consolidation, reclassification or similar transaction affecting the outstanding Common Stock or (C) file with the SEC a registration statement under the Securities Act relating to any shares of Common Stock, Common Stock Equivalents, Parent Common Stock or Parent Common Stock Equivalents, except pursuant to the terms of the Registration Rights Agreement or as contemplated by the Merger Agreement. Notwithstanding the foregoing, the provisions of this Section 5.17 shall not apply to (i) the issuance of the Shares hereunder, the Conversion Shares or the Exchange Shares, (ii) the issuance of Common Stock or Common Stock Equivalents upon the conversion, exercise or vesting of any securities of the Company outstanding on the date of this Agreement or outstanding pursuant to clause (iii) below, (iii) the issuance of any Common Stock or Common Stock Equivalents pursuant to any Company stock-based compensation plans, or</w:t>
      </w:r>
    </w:p>
    <w:p>
      <w:pPr>
        <w:spacing w:after="0" w:line="4" w:lineRule="exact"/>
        <w:rPr>
          <w:rFonts w:ascii="Times New Roman" w:cs="Times New Roman" w:eastAsia="Times New Roman" w:hAnsi="Times New Roman"/>
          <w:sz w:val="12"/>
          <w:szCs w:val="12"/>
          <w:color w:val="auto"/>
        </w:rPr>
      </w:pPr>
    </w:p>
    <w:p>
      <w:pPr>
        <w:ind w:left="640" w:right="8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(iv) the filing of a registration statement on Form S-8 under the Securities Act to register the offer and sale of securities on an equity incentive plan or employee stock purchase plan, including as required pursuant to the Merger Agreement.</w:t>
      </w:r>
    </w:p>
    <w:p>
      <w:pPr>
        <w:sectPr>
          <w:pgSz w:w="11900" w:h="16838" w:orient="portrait"/>
          <w:cols w:equalWidth="0" w:num="1">
            <w:col w:w="9019"/>
          </w:cols>
          <w:pgMar w:left="1440" w:top="231" w:right="1440" w:bottom="1440" w:gutter="0" w:footer="0" w:header="0"/>
        </w:sectPr>
      </w:pPr>
    </w:p>
    <w:bookmarkStart w:id="192" w:name="page193"/>
    <w:bookmarkEnd w:id="192"/>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5.18 </w:t>
      </w:r>
      <w:r>
        <w:rPr>
          <w:rFonts w:ascii="Times New Roman" w:cs="Times New Roman" w:eastAsia="Times New Roman" w:hAnsi="Times New Roman"/>
          <w:sz w:val="13"/>
          <w:szCs w:val="13"/>
          <w:u w:val="single" w:color="auto"/>
          <w:color w:val="auto"/>
        </w:rPr>
        <w:t>Blue Sky</w:t>
      </w:r>
      <w:r>
        <w:rPr>
          <w:rFonts w:ascii="Times New Roman" w:cs="Times New Roman" w:eastAsia="Times New Roman" w:hAnsi="Times New Roman"/>
          <w:sz w:val="13"/>
          <w:szCs w:val="13"/>
          <w:color w:val="auto"/>
        </w:rPr>
        <w:t>. The Company, on or before the Closing Date, shall take such action as the Company shall reasonably determine is necessary in order to obtain an exemption for or to qualify the Preferred Shares, Conversion Shares and Exchange Shares for sale and/or issuance to the Investors under applicable securities or “Blue Sky” laws of the states of the United States (or to obtain an exemption from such qualification) and shall provide evidence of such actions promptly upon the written request of any Investors.</w:t>
      </w:r>
    </w:p>
    <w:p>
      <w:pPr>
        <w:spacing w:after="0" w:line="133" w:lineRule="exact"/>
        <w:rPr>
          <w:sz w:val="20"/>
          <w:szCs w:val="20"/>
          <w:color w:val="auto"/>
        </w:rPr>
      </w:pPr>
    </w:p>
    <w:p>
      <w:pPr>
        <w:ind w:left="760" w:hanging="123"/>
        <w:spacing w:after="0"/>
        <w:tabs>
          <w:tab w:leader="none" w:pos="760"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Conditions of Closing.</w:t>
      </w:r>
    </w:p>
    <w:p>
      <w:pPr>
        <w:spacing w:after="0" w:line="154"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Conditions to the Obligation of the Investors</w:t>
      </w:r>
      <w:r>
        <w:rPr>
          <w:rFonts w:ascii="Times New Roman" w:cs="Times New Roman" w:eastAsia="Times New Roman" w:hAnsi="Times New Roman"/>
          <w:sz w:val="13"/>
          <w:szCs w:val="13"/>
          <w:color w:val="auto"/>
        </w:rPr>
        <w:t>. The several obligations of each Investor to consummate the transactions to be consummated at the Closing, and to purchase and pay for the Preferred Shares being purchased by it at the Closing pursuant to this Agreement, are subject to the satisfaction or waiver in writing (by each such investor) of the following conditions precedent:</w:t>
      </w:r>
    </w:p>
    <w:p>
      <w:pPr>
        <w:spacing w:after="0" w:line="130" w:lineRule="exact"/>
        <w:rPr>
          <w:sz w:val="20"/>
          <w:szCs w:val="20"/>
          <w:color w:val="auto"/>
        </w:rPr>
      </w:pPr>
    </w:p>
    <w:p>
      <w:pPr>
        <w:ind w:left="640" w:right="699" w:hanging="3"/>
        <w:spacing w:after="0" w:line="247" w:lineRule="auto"/>
        <w:tabs>
          <w:tab w:leader="none" w:pos="812"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those representations and warranties qualified by materiality or Material Adverse Effect, which shall be true and correct in all respects and except to the extent any such representation or warranty expressly speaks as of an earlier date, in which case such representation or warranty shall be true and correct in all material respects as of such earlier date.</w:t>
      </w:r>
    </w:p>
    <w:p>
      <w:pPr>
        <w:spacing w:after="0" w:line="136" w:lineRule="exact"/>
        <w:rPr>
          <w:rFonts w:ascii="Times New Roman" w:cs="Times New Roman" w:eastAsia="Times New Roman" w:hAnsi="Times New Roman"/>
          <w:sz w:val="13"/>
          <w:szCs w:val="13"/>
          <w:color w:val="auto"/>
        </w:rPr>
      </w:pPr>
    </w:p>
    <w:p>
      <w:pPr>
        <w:ind w:left="640" w:right="699" w:hanging="3"/>
        <w:spacing w:after="0" w:line="267" w:lineRule="auto"/>
        <w:tabs>
          <w:tab w:leader="none" w:pos="819"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The Company shall have performed in all material respects the obligations and conditions herein required to be performed or observed by the Company on or prior to the Closing Date.</w:t>
      </w:r>
    </w:p>
    <w:p>
      <w:pPr>
        <w:spacing w:after="0" w:line="122" w:lineRule="exact"/>
        <w:rPr>
          <w:rFonts w:ascii="Times New Roman" w:cs="Times New Roman" w:eastAsia="Times New Roman" w:hAnsi="Times New Roman"/>
          <w:sz w:val="13"/>
          <w:szCs w:val="13"/>
          <w:color w:val="auto"/>
        </w:rPr>
      </w:pPr>
    </w:p>
    <w:p>
      <w:pPr>
        <w:ind w:left="640" w:right="1359" w:hanging="3"/>
        <w:spacing w:after="0" w:line="267" w:lineRule="auto"/>
        <w:tabs>
          <w:tab w:leader="none" w:pos="812"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Injunction</w:t>
      </w:r>
      <w:r>
        <w:rPr>
          <w:rFonts w:ascii="Times New Roman" w:cs="Times New Roman" w:eastAsia="Times New Roman" w:hAnsi="Times New Roman"/>
          <w:sz w:val="13"/>
          <w:szCs w:val="13"/>
          <w:color w:val="auto"/>
        </w:rPr>
        <w:t>. The purchase of and payment for the Preferred Shares by each Investor shall not be prohibited or enjoined by any law or governmental or court order or regulation and no such prohibition shall have been threatened in writing.</w:t>
      </w:r>
    </w:p>
    <w:p>
      <w:pPr>
        <w:spacing w:after="0" w:line="122" w:lineRule="exact"/>
        <w:rPr>
          <w:rFonts w:ascii="Times New Roman" w:cs="Times New Roman" w:eastAsia="Times New Roman" w:hAnsi="Times New Roman"/>
          <w:sz w:val="13"/>
          <w:szCs w:val="13"/>
          <w:color w:val="auto"/>
        </w:rPr>
      </w:pPr>
    </w:p>
    <w:p>
      <w:pPr>
        <w:ind w:left="640" w:right="779" w:hanging="3"/>
        <w:spacing w:after="0" w:line="267" w:lineRule="auto"/>
        <w:tabs>
          <w:tab w:leader="none" w:pos="819"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The Company shall have obtained any and all consents, permits, approvals, registrations and waivers necessary for the consummation of the purchase and sale of the Preferred Shares, all of which shall be in full force and effect.</w:t>
      </w:r>
    </w:p>
    <w:p>
      <w:pPr>
        <w:spacing w:after="0" w:line="122" w:lineRule="exact"/>
        <w:rPr>
          <w:rFonts w:ascii="Times New Roman" w:cs="Times New Roman" w:eastAsia="Times New Roman" w:hAnsi="Times New Roman"/>
          <w:sz w:val="13"/>
          <w:szCs w:val="13"/>
          <w:color w:val="auto"/>
        </w:rPr>
      </w:pPr>
    </w:p>
    <w:p>
      <w:pPr>
        <w:ind w:left="640" w:right="779" w:hanging="3"/>
        <w:spacing w:after="0" w:line="267" w:lineRule="auto"/>
        <w:tabs>
          <w:tab w:leader="none" w:pos="812"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Agent</w:t>
      </w:r>
      <w:r>
        <w:rPr>
          <w:rFonts w:ascii="Times New Roman" w:cs="Times New Roman" w:eastAsia="Times New Roman" w:hAnsi="Times New Roman"/>
          <w:sz w:val="13"/>
          <w:szCs w:val="13"/>
          <w:color w:val="auto"/>
        </w:rPr>
        <w:t>. The Company shall have furnished all required materials to the Transfer Agent to reflect the issuance of the Preferred Shares at the Closing.</w:t>
      </w:r>
    </w:p>
    <w:p>
      <w:pPr>
        <w:spacing w:after="0" w:line="122" w:lineRule="exact"/>
        <w:rPr>
          <w:rFonts w:ascii="Times New Roman" w:cs="Times New Roman" w:eastAsia="Times New Roman" w:hAnsi="Times New Roman"/>
          <w:sz w:val="13"/>
          <w:szCs w:val="13"/>
          <w:color w:val="auto"/>
        </w:rPr>
      </w:pPr>
    </w:p>
    <w:p>
      <w:pPr>
        <w:ind w:left="640" w:right="939" w:hanging="3"/>
        <w:spacing w:after="0" w:line="309" w:lineRule="auto"/>
        <w:tabs>
          <w:tab w:leader="none" w:pos="798"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Adverse Changes</w:t>
      </w:r>
      <w:r>
        <w:rPr>
          <w:rFonts w:ascii="Times New Roman" w:cs="Times New Roman" w:eastAsia="Times New Roman" w:hAnsi="Times New Roman"/>
          <w:sz w:val="12"/>
          <w:szCs w:val="12"/>
          <w:color w:val="auto"/>
        </w:rPr>
        <w:t>. Since the date hereof, no event or series of events shall have occurred that has had or would reasonably be expected to have a Material Adverse Effect, an Obsidian Material Adverse Effect or a Galera Material Adverse Effect (each, as defined in the Merger Agreement).</w:t>
      </w:r>
    </w:p>
    <w:p>
      <w:pPr>
        <w:spacing w:after="0" w:line="99" w:lineRule="exact"/>
        <w:rPr>
          <w:rFonts w:ascii="Times New Roman" w:cs="Times New Roman" w:eastAsia="Times New Roman" w:hAnsi="Times New Roman"/>
          <w:sz w:val="12"/>
          <w:szCs w:val="12"/>
          <w:color w:val="auto"/>
        </w:rPr>
      </w:pPr>
    </w:p>
    <w:p>
      <w:pPr>
        <w:ind w:left="640" w:right="659" w:hanging="3"/>
        <w:spacing w:after="0" w:line="286" w:lineRule="auto"/>
        <w:tabs>
          <w:tab w:leader="none" w:pos="819"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Opinion of Company Counsel</w:t>
      </w:r>
      <w:r>
        <w:rPr>
          <w:rFonts w:ascii="Times New Roman" w:cs="Times New Roman" w:eastAsia="Times New Roman" w:hAnsi="Times New Roman"/>
          <w:sz w:val="12"/>
          <w:szCs w:val="12"/>
          <w:color w:val="auto"/>
        </w:rPr>
        <w:t>. The Company shall have delivered to the Investors and the Placement Agents the opinion of Sidley Austin LLP, dated as of the Closing Date, in customary form and substance to be reasonably agreed upon with the Placement Agents and a Majority in Interest of the Purchasers and addressing such legal matters as the Placement Agents and a Majority in Interest of the Purchasers and the Company reasonably agree.</w:t>
      </w:r>
    </w:p>
    <w:p>
      <w:pPr>
        <w:spacing w:after="0" w:line="113" w:lineRule="exact"/>
        <w:rPr>
          <w:rFonts w:ascii="Times New Roman" w:cs="Times New Roman" w:eastAsia="Times New Roman" w:hAnsi="Times New Roman"/>
          <w:sz w:val="12"/>
          <w:szCs w:val="12"/>
          <w:color w:val="auto"/>
        </w:rPr>
      </w:pPr>
    </w:p>
    <w:p>
      <w:pPr>
        <w:ind w:left="640" w:right="819" w:hanging="3"/>
        <w:spacing w:after="0" w:line="279" w:lineRule="auto"/>
        <w:tabs>
          <w:tab w:leader="none" w:pos="819"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Compliance Certificate</w:t>
      </w:r>
      <w:r>
        <w:rPr>
          <w:rFonts w:ascii="Times New Roman" w:cs="Times New Roman" w:eastAsia="Times New Roman" w:hAnsi="Times New Roman"/>
          <w:sz w:val="12"/>
          <w:szCs w:val="12"/>
          <w:color w:val="auto"/>
        </w:rPr>
        <w:t xml:space="preserve">. An authorized officer of the Company shall have delivered to the Investors at the Closing Date a certificate, in form and substance reasonably acceptable to a Majority in Interest of the Purchasers, certifying that the conditions specified in </w:t>
      </w:r>
      <w:r>
        <w:rPr>
          <w:rFonts w:ascii="Times New Roman" w:cs="Times New Roman" w:eastAsia="Times New Roman" w:hAnsi="Times New Roman"/>
          <w:sz w:val="12"/>
          <w:szCs w:val="12"/>
          <w:u w:val="single" w:color="auto"/>
          <w:color w:val="auto"/>
        </w:rPr>
        <w:t>Sections 6.1(a)</w:t>
      </w:r>
      <w:r>
        <w:rPr>
          <w:rFonts w:ascii="Times New Roman" w:cs="Times New Roman" w:eastAsia="Times New Roman" w:hAnsi="Times New Roman"/>
          <w:sz w:val="12"/>
          <w:szCs w:val="12"/>
          <w:color w:val="auto"/>
        </w:rPr>
        <w:t xml:space="preserve"> (Representations and Warranties), </w:t>
      </w:r>
      <w:r>
        <w:rPr>
          <w:rFonts w:ascii="Times New Roman" w:cs="Times New Roman" w:eastAsia="Times New Roman" w:hAnsi="Times New Roman"/>
          <w:sz w:val="12"/>
          <w:szCs w:val="12"/>
          <w:u w:val="single" w:color="auto"/>
          <w:color w:val="auto"/>
        </w:rPr>
        <w:t>6.1(b)</w:t>
      </w:r>
      <w:r>
        <w:rPr>
          <w:rFonts w:ascii="Times New Roman" w:cs="Times New Roman" w:eastAsia="Times New Roman" w:hAnsi="Times New Roman"/>
          <w:sz w:val="12"/>
          <w:szCs w:val="12"/>
          <w:color w:val="auto"/>
        </w:rPr>
        <w:t xml:space="preserve"> (Performance), </w:t>
      </w:r>
      <w:r>
        <w:rPr>
          <w:rFonts w:ascii="Times New Roman" w:cs="Times New Roman" w:eastAsia="Times New Roman" w:hAnsi="Times New Roman"/>
          <w:sz w:val="12"/>
          <w:szCs w:val="12"/>
          <w:u w:val="single" w:color="auto"/>
          <w:color w:val="auto"/>
        </w:rPr>
        <w:t>6.1(c)</w:t>
      </w:r>
      <w:r>
        <w:rPr>
          <w:rFonts w:ascii="Times New Roman" w:cs="Times New Roman" w:eastAsia="Times New Roman" w:hAnsi="Times New Roman"/>
          <w:sz w:val="12"/>
          <w:szCs w:val="12"/>
          <w:color w:val="auto"/>
        </w:rPr>
        <w:t xml:space="preserve"> (No Injunction), </w:t>
      </w:r>
      <w:r>
        <w:rPr>
          <w:rFonts w:ascii="Times New Roman" w:cs="Times New Roman" w:eastAsia="Times New Roman" w:hAnsi="Times New Roman"/>
          <w:sz w:val="12"/>
          <w:szCs w:val="12"/>
          <w:u w:val="single" w:color="auto"/>
          <w:color w:val="auto"/>
        </w:rPr>
        <w:t>6.1(d)</w:t>
      </w:r>
      <w:r>
        <w:rPr>
          <w:rFonts w:ascii="Times New Roman" w:cs="Times New Roman" w:eastAsia="Times New Roman" w:hAnsi="Times New Roman"/>
          <w:sz w:val="12"/>
          <w:szCs w:val="12"/>
          <w:color w:val="auto"/>
        </w:rPr>
        <w:t xml:space="preserve"> (Consents), </w:t>
      </w:r>
      <w:r>
        <w:rPr>
          <w:rFonts w:ascii="Times New Roman" w:cs="Times New Roman" w:eastAsia="Times New Roman" w:hAnsi="Times New Roman"/>
          <w:sz w:val="12"/>
          <w:szCs w:val="12"/>
          <w:u w:val="single" w:color="auto"/>
          <w:color w:val="auto"/>
        </w:rPr>
        <w:t>6.1(f)</w:t>
      </w:r>
      <w:r>
        <w:rPr>
          <w:rFonts w:ascii="Times New Roman" w:cs="Times New Roman" w:eastAsia="Times New Roman" w:hAnsi="Times New Roman"/>
          <w:sz w:val="12"/>
          <w:szCs w:val="12"/>
          <w:color w:val="auto"/>
        </w:rPr>
        <w:t xml:space="preserve"> (Adverse Changes), </w:t>
      </w:r>
      <w:r>
        <w:rPr>
          <w:rFonts w:ascii="Times New Roman" w:cs="Times New Roman" w:eastAsia="Times New Roman" w:hAnsi="Times New Roman"/>
          <w:sz w:val="12"/>
          <w:szCs w:val="12"/>
          <w:u w:val="single" w:color="auto"/>
          <w:color w:val="auto"/>
        </w:rPr>
        <w:t>6.1(k)</w:t>
      </w:r>
      <w:r>
        <w:rPr>
          <w:rFonts w:ascii="Times New Roman" w:cs="Times New Roman" w:eastAsia="Times New Roman" w:hAnsi="Times New Roman"/>
          <w:sz w:val="12"/>
          <w:szCs w:val="12"/>
          <w:color w:val="auto"/>
        </w:rPr>
        <w:t xml:space="preserve"> (Listing Requirements), </w:t>
      </w:r>
      <w:r>
        <w:rPr>
          <w:rFonts w:ascii="Times New Roman" w:cs="Times New Roman" w:eastAsia="Times New Roman" w:hAnsi="Times New Roman"/>
          <w:sz w:val="12"/>
          <w:szCs w:val="12"/>
          <w:u w:val="single" w:color="auto"/>
          <w:color w:val="auto"/>
        </w:rPr>
        <w:t>6.1(l)</w:t>
      </w:r>
      <w:r>
        <w:rPr>
          <w:rFonts w:ascii="Times New Roman" w:cs="Times New Roman" w:eastAsia="Times New Roman" w:hAnsi="Times New Roman"/>
          <w:sz w:val="12"/>
          <w:szCs w:val="12"/>
          <w:color w:val="auto"/>
        </w:rPr>
        <w:t xml:space="preserve"> (Minimum Financing Amount), </w:t>
      </w:r>
      <w:r>
        <w:rPr>
          <w:rFonts w:ascii="Times New Roman" w:cs="Times New Roman" w:eastAsia="Times New Roman" w:hAnsi="Times New Roman"/>
          <w:sz w:val="12"/>
          <w:szCs w:val="12"/>
          <w:u w:val="single" w:color="auto"/>
          <w:color w:val="auto"/>
        </w:rPr>
        <w:t>6.1(m)</w:t>
      </w:r>
      <w:r>
        <w:rPr>
          <w:rFonts w:ascii="Times New Roman" w:cs="Times New Roman" w:eastAsia="Times New Roman" w:hAnsi="Times New Roman"/>
          <w:sz w:val="12"/>
          <w:szCs w:val="12"/>
          <w:color w:val="auto"/>
        </w:rPr>
        <w:t xml:space="preserve"> (Mergers) and </w:t>
      </w:r>
      <w:r>
        <w:rPr>
          <w:rFonts w:ascii="Times New Roman" w:cs="Times New Roman" w:eastAsia="Times New Roman" w:hAnsi="Times New Roman"/>
          <w:sz w:val="12"/>
          <w:szCs w:val="12"/>
          <w:u w:val="single" w:color="auto"/>
          <w:color w:val="auto"/>
        </w:rPr>
        <w:t>6.1(n)</w:t>
      </w:r>
      <w:r>
        <w:rPr>
          <w:rFonts w:ascii="Times New Roman" w:cs="Times New Roman" w:eastAsia="Times New Roman" w:hAnsi="Times New Roman"/>
          <w:sz w:val="12"/>
          <w:szCs w:val="12"/>
          <w:color w:val="auto"/>
        </w:rPr>
        <w:t xml:space="preserve"> (Certificate of Designation) of this Agreement have been fulfilled.</w:t>
      </w:r>
    </w:p>
    <w:p>
      <w:pPr>
        <w:sectPr>
          <w:pgSz w:w="11900" w:h="16838" w:orient="portrait"/>
          <w:cols w:equalWidth="0" w:num="1">
            <w:col w:w="9019"/>
          </w:cols>
          <w:pgMar w:left="1440" w:top="231" w:right="1440" w:bottom="1440" w:gutter="0" w:footer="0" w:header="0"/>
        </w:sectPr>
      </w:pPr>
    </w:p>
    <w:bookmarkStart w:id="193" w:name="page194"/>
    <w:bookmarkEnd w:id="193"/>
    <w:p>
      <w:pPr>
        <w:ind w:left="640" w:right="759" w:hanging="3"/>
        <w:spacing w:after="0" w:line="251" w:lineRule="auto"/>
        <w:tabs>
          <w:tab w:leader="none" w:pos="791"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Secretary’s Certificate</w:t>
      </w:r>
      <w:r>
        <w:rPr>
          <w:rFonts w:ascii="Times New Roman" w:cs="Times New Roman" w:eastAsia="Times New Roman" w:hAnsi="Times New Roman"/>
          <w:sz w:val="13"/>
          <w:szCs w:val="13"/>
          <w:color w:val="auto"/>
        </w:rPr>
        <w:t>. The Secretary of the Company shall have delivered to the Investors at the Closing Date a certificate certifying (i) the Certificate of Incorporation (including the Certificate of Designation), (ii) the Bylaws, and (iii) resolutions of the Company’s Board of Directors (or an authorized committee thereof) approving this Agreement, the other Transaction Agreements, the transactions contemplated by this Agreement and the issuance of the Shares.</w:t>
      </w:r>
    </w:p>
    <w:p>
      <w:pPr>
        <w:spacing w:after="0" w:line="132" w:lineRule="exact"/>
        <w:rPr>
          <w:rFonts w:ascii="Times New Roman" w:cs="Times New Roman" w:eastAsia="Times New Roman" w:hAnsi="Times New Roman"/>
          <w:sz w:val="13"/>
          <w:szCs w:val="13"/>
          <w:color w:val="auto"/>
        </w:rPr>
      </w:pPr>
    </w:p>
    <w:p>
      <w:pPr>
        <w:ind w:left="640" w:right="819" w:hanging="3"/>
        <w:spacing w:after="0" w:line="267" w:lineRule="auto"/>
        <w:tabs>
          <w:tab w:leader="none" w:pos="791"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xml:space="preserve">. Each of the Company and Parent shall have executed and delivered the Registration Rights Agreement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Registration Rights Agreement</w:t>
      </w:r>
      <w:r>
        <w:rPr>
          <w:rFonts w:ascii="Times New Roman" w:cs="Times New Roman" w:eastAsia="Times New Roman" w:hAnsi="Times New Roman"/>
          <w:sz w:val="13"/>
          <w:szCs w:val="13"/>
          <w:color w:val="auto"/>
        </w:rPr>
        <w:t>”) to the Investors.</w:t>
      </w:r>
    </w:p>
    <w:p>
      <w:pPr>
        <w:spacing w:after="0" w:line="122" w:lineRule="exact"/>
        <w:rPr>
          <w:rFonts w:ascii="Times New Roman" w:cs="Times New Roman" w:eastAsia="Times New Roman" w:hAnsi="Times New Roman"/>
          <w:sz w:val="13"/>
          <w:szCs w:val="13"/>
          <w:color w:val="auto"/>
        </w:rPr>
      </w:pPr>
    </w:p>
    <w:p>
      <w:pPr>
        <w:ind w:left="640" w:right="659" w:hanging="3"/>
        <w:spacing w:after="0" w:line="279" w:lineRule="auto"/>
        <w:tabs>
          <w:tab w:leader="none" w:pos="819"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Listing Requirements</w:t>
      </w:r>
      <w:r>
        <w:rPr>
          <w:rFonts w:ascii="Times New Roman" w:cs="Times New Roman" w:eastAsia="Times New Roman" w:hAnsi="Times New Roman"/>
          <w:sz w:val="12"/>
          <w:szCs w:val="12"/>
          <w:color w:val="auto"/>
        </w:rPr>
        <w:t>. No stop order or suspension of trading shall have been imposed by the OTCQB Market, the SEC or any other governmental or regulatory body with respect to public trading in the Common Stock. Parent Common Stock shall be listed on one of the listing markets of the Nasdaq Stock Market LLC and the Company shall have filed, or shall have caused Parent to file, with Nasdaq the Nasdaq Listing Application and Nasdaq shall have raised no objection to the transactions contemplated in this Agreement, the other Transaction Agreements or the Merger Agreement.</w:t>
      </w:r>
    </w:p>
    <w:p>
      <w:pPr>
        <w:spacing w:after="0" w:line="116" w:lineRule="exact"/>
        <w:rPr>
          <w:rFonts w:ascii="Times New Roman" w:cs="Times New Roman" w:eastAsia="Times New Roman" w:hAnsi="Times New Roman"/>
          <w:sz w:val="12"/>
          <w:szCs w:val="12"/>
          <w:color w:val="auto"/>
        </w:rPr>
      </w:pPr>
    </w:p>
    <w:p>
      <w:pPr>
        <w:ind w:left="640" w:right="979" w:hanging="3"/>
        <w:spacing w:after="0" w:line="309" w:lineRule="auto"/>
        <w:tabs>
          <w:tab w:leader="none" w:pos="791"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Minimum Financing Amount</w:t>
      </w:r>
      <w:r>
        <w:rPr>
          <w:rFonts w:ascii="Times New Roman" w:cs="Times New Roman" w:eastAsia="Times New Roman" w:hAnsi="Times New Roman"/>
          <w:sz w:val="12"/>
          <w:szCs w:val="12"/>
          <w:color w:val="auto"/>
        </w:rPr>
        <w:t>. The Company shall receive at Closing aggregate proceeds from the purchase of Preferred Shares pursuant to this Agreement of not less than (i) $350,000,000 less (ii) any proceeds received by Obsidian in connection with the Interim Permitted Financing.</w:t>
      </w:r>
    </w:p>
    <w:p>
      <w:pPr>
        <w:spacing w:after="0" w:line="99" w:lineRule="exact"/>
        <w:rPr>
          <w:rFonts w:ascii="Times New Roman" w:cs="Times New Roman" w:eastAsia="Times New Roman" w:hAnsi="Times New Roman"/>
          <w:sz w:val="12"/>
          <w:szCs w:val="12"/>
          <w:color w:val="auto"/>
        </w:rPr>
      </w:pPr>
    </w:p>
    <w:p>
      <w:pPr>
        <w:ind w:left="640" w:right="719" w:hanging="3"/>
        <w:spacing w:after="0" w:line="286" w:lineRule="auto"/>
        <w:tabs>
          <w:tab w:leader="none" w:pos="854"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 The conditions to the closing of the Mergers shall have been satisfied or waived (other than those conditions which, by their nature, are to be satisfied at the closing of the transactions contemplated by the Merger Agreement), as determined in the Company’s reasonable discretion (which conditions to closing of the Mergers shall not have been amended or waived in any manner that materially and adversely affects the Investors).</w:t>
      </w:r>
    </w:p>
    <w:p>
      <w:pPr>
        <w:spacing w:after="0" w:line="113" w:lineRule="exact"/>
        <w:rPr>
          <w:rFonts w:ascii="Times New Roman" w:cs="Times New Roman" w:eastAsia="Times New Roman" w:hAnsi="Times New Roman"/>
          <w:sz w:val="12"/>
          <w:szCs w:val="12"/>
          <w:color w:val="auto"/>
        </w:rPr>
      </w:pPr>
    </w:p>
    <w:p>
      <w:pPr>
        <w:ind w:left="640" w:right="679" w:hanging="3"/>
        <w:spacing w:after="0" w:line="267" w:lineRule="auto"/>
        <w:tabs>
          <w:tab w:leader="none" w:pos="819"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Certificate of Designation</w:t>
      </w:r>
      <w:r>
        <w:rPr>
          <w:rFonts w:ascii="Times New Roman" w:cs="Times New Roman" w:eastAsia="Times New Roman" w:hAnsi="Times New Roman"/>
          <w:sz w:val="13"/>
          <w:szCs w:val="13"/>
          <w:color w:val="auto"/>
        </w:rPr>
        <w:t>. The Company shall have received a certified copy of the Certificate of Designation, as filed with the Secretary of State of the State of Delaware.</w:t>
      </w:r>
    </w:p>
    <w:p>
      <w:pPr>
        <w:spacing w:after="0" w:line="122" w:lineRule="exact"/>
        <w:rPr>
          <w:rFonts w:ascii="Times New Roman" w:cs="Times New Roman" w:eastAsia="Times New Roman" w:hAnsi="Times New Roman"/>
          <w:sz w:val="13"/>
          <w:szCs w:val="13"/>
          <w:color w:val="auto"/>
        </w:rPr>
      </w:pPr>
    </w:p>
    <w:p>
      <w:pPr>
        <w:ind w:left="640" w:right="679" w:hanging="3"/>
        <w:spacing w:after="0" w:line="267" w:lineRule="auto"/>
        <w:tabs>
          <w:tab w:leader="none" w:pos="819"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Stock Split and Share Increase</w:t>
      </w:r>
      <w:r>
        <w:rPr>
          <w:rFonts w:ascii="Times New Roman" w:cs="Times New Roman" w:eastAsia="Times New Roman" w:hAnsi="Times New Roman"/>
          <w:sz w:val="13"/>
          <w:szCs w:val="13"/>
          <w:color w:val="auto"/>
        </w:rPr>
        <w:t>. The Company shall have affected the Galera Reverse Stock Split and the Galera Authorized Common Stock Increase (each as defined in the Merger Agreement).</w:t>
      </w:r>
    </w:p>
    <w:p>
      <w:pPr>
        <w:spacing w:after="0" w:line="122"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Conditions to the Obligation of the Company</w:t>
      </w:r>
      <w:r>
        <w:rPr>
          <w:rFonts w:ascii="Times New Roman" w:cs="Times New Roman" w:eastAsia="Times New Roman" w:hAnsi="Times New Roman"/>
          <w:sz w:val="13"/>
          <w:szCs w:val="13"/>
          <w:color w:val="auto"/>
        </w:rPr>
        <w:t>. The obligation of the Company to consummate the transactions to be consummated at the Closing, and to issue and sell to each Investor the Preferred Shares to be purchased by it at the Closing pursuant to this Agreement, is subject to the satisfaction or waiver in writing of the following conditions precedent:</w:t>
      </w:r>
    </w:p>
    <w:p>
      <w:pPr>
        <w:spacing w:after="0" w:line="130" w:lineRule="exact"/>
        <w:rPr>
          <w:sz w:val="20"/>
          <w:szCs w:val="20"/>
          <w:color w:val="auto"/>
        </w:rPr>
      </w:pPr>
    </w:p>
    <w:p>
      <w:pPr>
        <w:ind w:left="640" w:right="719" w:hanging="3"/>
        <w:spacing w:after="0" w:line="249" w:lineRule="auto"/>
        <w:tabs>
          <w:tab w:leader="none" w:pos="812"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xml:space="preserve">. The representations and warranties of each Investor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hereto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sectPr>
          <w:pgSz w:w="11900" w:h="16838" w:orient="portrait"/>
          <w:cols w:equalWidth="0" w:num="1">
            <w:col w:w="9019"/>
          </w:cols>
          <w:pgMar w:left="1440" w:top="231" w:right="1440" w:bottom="1440" w:gutter="0" w:footer="0" w:header="0"/>
        </w:sectPr>
      </w:pPr>
    </w:p>
    <w:bookmarkStart w:id="194" w:name="page195"/>
    <w:bookmarkEnd w:id="194"/>
    <w:p>
      <w:pPr>
        <w:ind w:left="640" w:right="1039" w:hanging="3"/>
        <w:spacing w:after="0" w:line="267" w:lineRule="auto"/>
        <w:tabs>
          <w:tab w:leader="none" w:pos="819"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Performance</w:t>
      </w:r>
      <w:r>
        <w:rPr>
          <w:rFonts w:ascii="Times New Roman" w:cs="Times New Roman" w:eastAsia="Times New Roman" w:hAnsi="Times New Roman"/>
          <w:sz w:val="13"/>
          <w:szCs w:val="13"/>
          <w:color w:val="auto"/>
        </w:rPr>
        <w:t>. Each Investor shall have performed or complied with in all material respects all obligations and conditions herein required to be performed or observed by such Investor on or prior to the Closing Date.</w:t>
      </w:r>
    </w:p>
    <w:p>
      <w:pPr>
        <w:spacing w:after="0" w:line="122" w:lineRule="exact"/>
        <w:rPr>
          <w:rFonts w:ascii="Times New Roman" w:cs="Times New Roman" w:eastAsia="Times New Roman" w:hAnsi="Times New Roman"/>
          <w:sz w:val="13"/>
          <w:szCs w:val="13"/>
          <w:color w:val="auto"/>
        </w:rPr>
      </w:pPr>
    </w:p>
    <w:p>
      <w:pPr>
        <w:ind w:left="640" w:right="679" w:hanging="3"/>
        <w:spacing w:after="0" w:line="267" w:lineRule="auto"/>
        <w:tabs>
          <w:tab w:leader="none" w:pos="812"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Injunction</w:t>
      </w:r>
      <w:r>
        <w:rPr>
          <w:rFonts w:ascii="Times New Roman" w:cs="Times New Roman" w:eastAsia="Times New Roman" w:hAnsi="Times New Roman"/>
          <w:sz w:val="13"/>
          <w:szCs w:val="13"/>
          <w:color w:val="auto"/>
        </w:rPr>
        <w:t>. The purchase of and payment for the Preferred Shares by each Investor shall not be prohibited or enjoined by any law or governmental or court order or regulation.</w:t>
      </w:r>
    </w:p>
    <w:p>
      <w:pPr>
        <w:spacing w:after="0" w:line="122" w:lineRule="exact"/>
        <w:rPr>
          <w:rFonts w:ascii="Times New Roman" w:cs="Times New Roman" w:eastAsia="Times New Roman" w:hAnsi="Times New Roman"/>
          <w:sz w:val="13"/>
          <w:szCs w:val="13"/>
          <w:color w:val="auto"/>
        </w:rPr>
      </w:pPr>
    </w:p>
    <w:p>
      <w:pPr>
        <w:ind w:left="640" w:right="919" w:hanging="3"/>
        <w:spacing w:after="0" w:line="267" w:lineRule="auto"/>
        <w:tabs>
          <w:tab w:leader="none" w:pos="819"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79" w:hanging="3"/>
        <w:spacing w:after="0" w:line="255" w:lineRule="auto"/>
        <w:tabs>
          <w:tab w:leader="none" w:pos="812"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xml:space="preserve">. Except as may be agreed to among the Company and such Investor in accordance with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the Company shall have received payment, by wire transfer of immediately available funds, in the full amount of the purchase price for the number of Preferred Shares being purchased by each Investor at the Closing as set forth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7. Termination.</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The obligations of the Company, on the one hand, and each Investor, on the other hand, to effect the Closing shall terminate as follows:</w:t>
      </w:r>
    </w:p>
    <w:p>
      <w:pPr>
        <w:spacing w:after="0" w:line="89" w:lineRule="exact"/>
        <w:rPr>
          <w:sz w:val="20"/>
          <w:szCs w:val="20"/>
          <w:color w:val="auto"/>
        </w:rPr>
      </w:pPr>
    </w:p>
    <w:p>
      <w:pPr>
        <w:ind w:left="780" w:hanging="143"/>
        <w:spacing w:after="0"/>
        <w:tabs>
          <w:tab w:leader="none" w:pos="780"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mutual written consent of the Company and a Majority in Interest of the Purchasers prior to the Closing;</w:t>
      </w:r>
    </w:p>
    <w:p>
      <w:pPr>
        <w:spacing w:after="0" w:line="153" w:lineRule="exact"/>
        <w:rPr>
          <w:rFonts w:ascii="Times New Roman" w:cs="Times New Roman" w:eastAsia="Times New Roman" w:hAnsi="Times New Roman"/>
          <w:sz w:val="13"/>
          <w:szCs w:val="13"/>
          <w:color w:val="auto"/>
        </w:rPr>
      </w:pPr>
    </w:p>
    <w:p>
      <w:pPr>
        <w:ind w:left="640" w:right="779" w:hanging="3"/>
        <w:spacing w:after="0" w:line="267" w:lineRule="auto"/>
        <w:tabs>
          <w:tab w:leader="none" w:pos="826"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if any of the conditions set forth in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shall have become incapable of fulfillment and shall not have been waived by the Company;</w:t>
      </w:r>
    </w:p>
    <w:p>
      <w:pPr>
        <w:spacing w:after="0" w:line="122" w:lineRule="exact"/>
        <w:rPr>
          <w:rFonts w:ascii="Times New Roman" w:cs="Times New Roman" w:eastAsia="Times New Roman" w:hAnsi="Times New Roman"/>
          <w:sz w:val="13"/>
          <w:szCs w:val="13"/>
          <w:color w:val="auto"/>
        </w:rPr>
      </w:pPr>
    </w:p>
    <w:p>
      <w:pPr>
        <w:ind w:left="640" w:right="679" w:hanging="3"/>
        <w:spacing w:after="0" w:line="267" w:lineRule="auto"/>
        <w:tabs>
          <w:tab w:leader="none" w:pos="861"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an Investor, solely as to itself, if any of the conditions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shall have become incapable of fulfillment and shall not have been waived by such Investor; or</w:t>
      </w:r>
    </w:p>
    <w:p>
      <w:pPr>
        <w:spacing w:after="0" w:line="122" w:lineRule="exact"/>
        <w:rPr>
          <w:rFonts w:ascii="Times New Roman" w:cs="Times New Roman" w:eastAsia="Times New Roman" w:hAnsi="Times New Roman"/>
          <w:sz w:val="13"/>
          <w:szCs w:val="13"/>
          <w:color w:val="auto"/>
        </w:rPr>
      </w:pPr>
    </w:p>
    <w:p>
      <w:pPr>
        <w:ind w:left="640" w:right="759" w:hanging="3"/>
        <w:spacing w:after="0" w:line="251" w:lineRule="auto"/>
        <w:tabs>
          <w:tab w:leader="none" w:pos="854"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the Company or an Investor, solely as to itself, if the Closing has not occurred on or before the Outside Date (as defined in the Merger Agreement, as in effect on the date hereof and as may be extended solely with the prior written consent of a Majority in Interest of the Purchasers),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the Outside Date may not be extended to any date that is more than eighteen (18) months following the date hereof without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Investors’ prior written consent;</w:t>
      </w:r>
    </w:p>
    <w:p>
      <w:pPr>
        <w:spacing w:after="0" w:line="133"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30"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In the event of termination pursuant to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written notice thereof shall be given to each other Investor by the Company. Nothing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8. Miscellaneous Provisions.</w:t>
      </w:r>
    </w:p>
    <w:p>
      <w:pPr>
        <w:spacing w:after="0" w:line="154" w:lineRule="exact"/>
        <w:rPr>
          <w:sz w:val="20"/>
          <w:szCs w:val="20"/>
          <w:color w:val="auto"/>
        </w:rPr>
      </w:pPr>
    </w:p>
    <w:p>
      <w:pPr>
        <w:ind w:left="640" w:right="739"/>
        <w:spacing w:after="0" w:line="272" w:lineRule="auto"/>
        <w:rPr>
          <w:sz w:val="20"/>
          <w:szCs w:val="20"/>
          <w:color w:val="auto"/>
        </w:rPr>
      </w:pPr>
      <w:r>
        <w:rPr>
          <w:rFonts w:ascii="Times New Roman" w:cs="Times New Roman" w:eastAsia="Times New Roman" w:hAnsi="Times New Roman"/>
          <w:sz w:val="12"/>
          <w:szCs w:val="12"/>
          <w:color w:val="auto"/>
        </w:rPr>
        <w:t xml:space="preserve">8.1 </w:t>
      </w:r>
      <w:r>
        <w:rPr>
          <w:rFonts w:ascii="Times New Roman" w:cs="Times New Roman" w:eastAsia="Times New Roman" w:hAnsi="Times New Roman"/>
          <w:sz w:val="12"/>
          <w:szCs w:val="12"/>
          <w:u w:val="single" w:color="auto"/>
          <w:color w:val="auto"/>
        </w:rPr>
        <w:t>Public Statements or Releases</w:t>
      </w:r>
      <w:r>
        <w:rPr>
          <w:rFonts w:ascii="Times New Roman" w:cs="Times New Roman" w:eastAsia="Times New Roman" w:hAnsi="Times New Roman"/>
          <w:sz w:val="12"/>
          <w:szCs w:val="12"/>
          <w:color w:val="auto"/>
        </w:rPr>
        <w:t xml:space="preserve">. Except as set forth in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and except for an investor call held prior to the Disclosure Time and the material terms of which are disclosed in the Disclosure Document,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or as otherwise required by law, rule or regulation, which, for avoidance of doubt, shall not require the Company’s consent;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 publicly disclose the name of any Investor or any Affiliate or investment adviser of any Investor without such Investor’s prior written consent (email being sufficient).</w:t>
      </w:r>
    </w:p>
    <w:p>
      <w:pPr>
        <w:sectPr>
          <w:pgSz w:w="11900" w:h="16838" w:orient="portrait"/>
          <w:cols w:equalWidth="0" w:num="1">
            <w:col w:w="9019"/>
          </w:cols>
          <w:pgMar w:left="1440" w:top="231" w:right="1440" w:bottom="1440" w:gutter="0" w:footer="0" w:header="0"/>
        </w:sectPr>
      </w:pPr>
    </w:p>
    <w:bookmarkStart w:id="195" w:name="page196"/>
    <w:bookmarkEnd w:id="195"/>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8.2 </w:t>
      </w: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Any notices or other communications required or permitted to be given hereunder shall be in writing and shall be deemed to be given</w:t>
      </w:r>
    </w:p>
    <w:p>
      <w:pPr>
        <w:spacing w:after="0" w:line="15" w:lineRule="exact"/>
        <w:rPr>
          <w:sz w:val="20"/>
          <w:szCs w:val="20"/>
          <w:color w:val="auto"/>
        </w:rPr>
      </w:pPr>
    </w:p>
    <w:p>
      <w:pPr>
        <w:ind w:left="640" w:right="839" w:hanging="3"/>
        <w:spacing w:after="0" w:line="244" w:lineRule="auto"/>
        <w:tabs>
          <w:tab w:leader="none" w:pos="812"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If to the Company, addressed as follows: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101 Lindenwood Drive, Suite 225</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Malvern, Pennsylvania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President and Principal Executive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Address: [***]</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2850 Quarry Lake Drive, Suite 301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Baltimore, Maryland 21209</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Asher Rubin; Istvan Hajdu; Kayla West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Address: arubin@sidley.com; ihajdu@sidley.com; kwest@sidley.com</w:t>
      </w:r>
    </w:p>
    <w:p>
      <w:pPr>
        <w:spacing w:after="0" w:line="141" w:lineRule="exact"/>
        <w:rPr>
          <w:sz w:val="20"/>
          <w:szCs w:val="20"/>
          <w:color w:val="auto"/>
        </w:rPr>
      </w:pPr>
    </w:p>
    <w:p>
      <w:pPr>
        <w:ind w:left="640" w:right="759" w:hanging="3"/>
        <w:spacing w:after="0" w:line="267" w:lineRule="auto"/>
        <w:tabs>
          <w:tab w:leader="none" w:pos="819"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to any Investor, at each of its email addresses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or to such e-mail addresses or addresses as subsequently modified by written notice given in accordance with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Any Person may change the address to which notices and communications to it are to be addressed by notification as provided for herein.</w:t>
      </w:r>
    </w:p>
    <w:p>
      <w:pPr>
        <w:sectPr>
          <w:pgSz w:w="11900" w:h="16838" w:orient="portrait"/>
          <w:cols w:equalWidth="0" w:num="1">
            <w:col w:w="9019"/>
          </w:cols>
          <w:pgMar w:left="1440" w:top="231" w:right="1440" w:bottom="1440" w:gutter="0" w:footer="0" w:header="0"/>
        </w:sectPr>
      </w:pPr>
    </w:p>
    <w:bookmarkStart w:id="196" w:name="page197"/>
    <w:bookmarkEnd w:id="196"/>
    <w:p>
      <w:pPr>
        <w:ind w:left="640" w:right="71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8.4 </w:t>
      </w:r>
      <w:r>
        <w:rPr>
          <w:rFonts w:ascii="Times New Roman" w:cs="Times New Roman" w:eastAsia="Times New Roman" w:hAnsi="Times New Roman"/>
          <w:sz w:val="13"/>
          <w:szCs w:val="13"/>
          <w:u w:val="single" w:color="auto"/>
          <w:color w:val="auto"/>
        </w:rPr>
        <w:t>Consent to Electronic Notice</w:t>
      </w:r>
      <w:r>
        <w:rPr>
          <w:rFonts w:ascii="Times New Roman" w:cs="Times New Roman" w:eastAsia="Times New Roman" w:hAnsi="Times New Roman"/>
          <w:sz w:val="13"/>
          <w:szCs w:val="13"/>
          <w:color w:val="auto"/>
        </w:rPr>
        <w:t xml:space="preserve">. Each Investor consents to the delivery of any stockholder notice pursuant to Section 232 of the DGCL, as amended or superseded from time to time, with respect to the Preferred Shares at the e-mail address(es) set forth below the Investor’s name on the signature page or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as updated from time to time by notice to the Company in accordance with Section 8.3.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Investor agrees to promptly notify the Company of any change in its e-mail address, and that failure to do so shall not affect the foregoing.</w:t>
      </w:r>
    </w:p>
    <w:p>
      <w:pPr>
        <w:spacing w:after="0" w:line="135"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8.6 </w:t>
      </w:r>
      <w:r>
        <w:rPr>
          <w:rFonts w:ascii="Times New Roman" w:cs="Times New Roman" w:eastAsia="Times New Roman" w:hAnsi="Times New Roman"/>
          <w:sz w:val="13"/>
          <w:szCs w:val="13"/>
          <w:u w:val="single" w:color="auto"/>
          <w:color w:val="auto"/>
        </w:rPr>
        <w:t>Governing Law; Submission to Jurisdiction; Venue; Waiver of Trial by Jury.</w:t>
      </w:r>
    </w:p>
    <w:p>
      <w:pPr>
        <w:spacing w:after="0" w:line="154" w:lineRule="exact"/>
        <w:rPr>
          <w:sz w:val="20"/>
          <w:szCs w:val="20"/>
          <w:color w:val="auto"/>
        </w:rPr>
      </w:pPr>
    </w:p>
    <w:p>
      <w:pPr>
        <w:ind w:left="640" w:right="1019" w:hanging="3"/>
        <w:spacing w:after="0" w:line="267" w:lineRule="auto"/>
        <w:tabs>
          <w:tab w:leader="none" w:pos="812"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governed by, and construed in accordance with, the laws of the State of Delaware without regard to choice of laws or conflicts of laws provisions thereof that would require the application of the laws of any other jurisdiction.</w:t>
      </w:r>
    </w:p>
    <w:p>
      <w:pPr>
        <w:spacing w:after="0" w:line="122"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the Investors hereby irrevocably and unconditionally:</w:t>
      </w:r>
    </w:p>
    <w:p>
      <w:pPr>
        <w:spacing w:after="0" w:line="78" w:lineRule="exact"/>
        <w:rPr>
          <w:sz w:val="20"/>
          <w:szCs w:val="20"/>
          <w:color w:val="auto"/>
        </w:rPr>
      </w:pPr>
    </w:p>
    <w:p>
      <w:pPr>
        <w:ind w:left="640" w:right="779" w:hanging="3"/>
        <w:spacing w:after="0" w:line="267" w:lineRule="auto"/>
        <w:tabs>
          <w:tab w:leader="none" w:pos="791"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spacing w:after="0" w:line="122" w:lineRule="exact"/>
        <w:rPr>
          <w:rFonts w:ascii="Times New Roman" w:cs="Times New Roman" w:eastAsia="Times New Roman" w:hAnsi="Times New Roman"/>
          <w:sz w:val="13"/>
          <w:szCs w:val="13"/>
          <w:color w:val="auto"/>
        </w:rPr>
      </w:pPr>
    </w:p>
    <w:p>
      <w:pPr>
        <w:ind w:left="640" w:right="739" w:hanging="3"/>
        <w:spacing w:after="0" w:line="255" w:lineRule="auto"/>
        <w:tabs>
          <w:tab w:leader="none" w:pos="826"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30" w:lineRule="exact"/>
        <w:rPr>
          <w:rFonts w:ascii="Times New Roman" w:cs="Times New Roman" w:eastAsia="Times New Roman" w:hAnsi="Times New Roman"/>
          <w:sz w:val="13"/>
          <w:szCs w:val="13"/>
          <w:color w:val="auto"/>
        </w:rPr>
      </w:pPr>
    </w:p>
    <w:p>
      <w:pPr>
        <w:jc w:val="both"/>
        <w:ind w:left="640" w:right="899" w:hanging="3"/>
        <w:spacing w:after="0" w:line="255" w:lineRule="auto"/>
        <w:tabs>
          <w:tab w:leader="none" w:pos="861"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or at such other address of which the other party shall have been notified pursuant thereto;</w:t>
      </w:r>
    </w:p>
    <w:p>
      <w:pPr>
        <w:spacing w:after="0" w:line="130" w:lineRule="exact"/>
        <w:rPr>
          <w:rFonts w:ascii="Times New Roman" w:cs="Times New Roman" w:eastAsia="Times New Roman" w:hAnsi="Times New Roman"/>
          <w:sz w:val="13"/>
          <w:szCs w:val="13"/>
          <w:color w:val="auto"/>
        </w:rPr>
      </w:pPr>
    </w:p>
    <w:p>
      <w:pPr>
        <w:jc w:val="both"/>
        <w:ind w:left="640" w:right="699" w:hanging="3"/>
        <w:spacing w:after="0" w:line="255" w:lineRule="auto"/>
        <w:tabs>
          <w:tab w:leader="none" w:pos="854"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30" w:lineRule="exact"/>
        <w:rPr>
          <w:rFonts w:ascii="Times New Roman" w:cs="Times New Roman" w:eastAsia="Times New Roman" w:hAnsi="Times New Roman"/>
          <w:sz w:val="13"/>
          <w:szCs w:val="13"/>
          <w:color w:val="auto"/>
        </w:rPr>
      </w:pPr>
    </w:p>
    <w:p>
      <w:pPr>
        <w:ind w:left="640" w:right="819" w:hanging="3"/>
        <w:spacing w:after="0" w:line="255" w:lineRule="auto"/>
        <w:tabs>
          <w:tab w:leader="none" w:pos="819"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30" w:lineRule="exact"/>
        <w:rPr>
          <w:rFonts w:ascii="Times New Roman" w:cs="Times New Roman" w:eastAsia="Times New Roman" w:hAnsi="Times New Roman"/>
          <w:sz w:val="13"/>
          <w:szCs w:val="13"/>
          <w:color w:val="auto"/>
        </w:rPr>
      </w:pPr>
    </w:p>
    <w:p>
      <w:pPr>
        <w:jc w:val="both"/>
        <w:ind w:left="640" w:right="899" w:hanging="3"/>
        <w:spacing w:after="0" w:line="255" w:lineRule="auto"/>
        <w:tabs>
          <w:tab w:leader="none" w:pos="854"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30" w:lineRule="exact"/>
        <w:rPr>
          <w:rFonts w:ascii="Times New Roman" w:cs="Times New Roman" w:eastAsia="Times New Roman" w:hAnsi="Times New Roman"/>
          <w:sz w:val="13"/>
          <w:szCs w:val="13"/>
          <w:color w:val="auto"/>
        </w:rPr>
      </w:pPr>
    </w:p>
    <w:p>
      <w:pPr>
        <w:ind w:left="880" w:hanging="243"/>
        <w:spacing w:after="0"/>
        <w:tabs>
          <w:tab w:leader="none" w:pos="880"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and unconditionally waives trial by jury in any legal action or proceeding in relation to this Agreement.</w:t>
      </w:r>
    </w:p>
    <w:p>
      <w:pPr>
        <w:sectPr>
          <w:pgSz w:w="11900" w:h="16838" w:orient="portrait"/>
          <w:cols w:equalWidth="0" w:num="1">
            <w:col w:w="9019"/>
          </w:cols>
          <w:pgMar w:left="1440" w:top="231" w:right="1440" w:bottom="1440" w:gutter="0" w:footer="0" w:header="0"/>
        </w:sectPr>
      </w:pPr>
    </w:p>
    <w:bookmarkStart w:id="197" w:name="page198"/>
    <w:bookmarkEnd w:id="197"/>
    <w:p>
      <w:pPr>
        <w:jc w:val="both"/>
        <w:ind w:left="640" w:right="7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8.7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3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 xml:space="preserve">8.8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Preferred Shares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Preferred Shares, Conversion Shares or Exchange Shares to the Investors.</w:t>
      </w:r>
    </w:p>
    <w:p>
      <w:pPr>
        <w:spacing w:after="0" w:line="135"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 xml:space="preserve">8.9 </w:t>
      </w:r>
      <w:r>
        <w:rPr>
          <w:rFonts w:ascii="Times New Roman" w:cs="Times New Roman" w:eastAsia="Times New Roman" w:hAnsi="Times New Roman"/>
          <w:sz w:val="12"/>
          <w:szCs w:val="12"/>
          <w:u w:val="single" w:color="auto"/>
          <w:color w:val="auto"/>
        </w:rPr>
        <w:t>Assignment</w:t>
      </w:r>
      <w:r>
        <w:rPr>
          <w:rFonts w:ascii="Times New Roman" w:cs="Times New Roman" w:eastAsia="Times New Roman" w:hAnsi="Times New Roman"/>
          <w:sz w:val="12"/>
          <w:szCs w:val="12"/>
          <w:color w:val="auto"/>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 Investor may, without the prior consent of the Company, (i) assign its rights to purchase the Preferred Shares hereunder to any of its Affiliates or to any other investment funds or accounts managed or advised by the investment manager who acts on behalf of such Investor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each such assignee agrees to be bound by the terms of this Agreement as an Investor hereunder and makes the same representations and warranties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or (ii) assign its rights hereunder to a permitted transferee of its Preferred Shares or Conversion Shares following the Closing (other than with respect to transfers pursuant to a registration statement or Rule 144)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each such assignee agrees to be bound by the terms of this Agreement applicable to the Investor).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8.10 </w:t>
      </w:r>
      <w:r>
        <w:rPr>
          <w:rFonts w:ascii="Times New Roman" w:cs="Times New Roman" w:eastAsia="Times New Roman" w:hAnsi="Times New Roman"/>
          <w:sz w:val="13"/>
          <w:szCs w:val="13"/>
          <w:u w:val="single" w:color="auto"/>
          <w:color w:val="auto"/>
        </w:rPr>
        <w:t>Confidential Information.</w:t>
      </w:r>
    </w:p>
    <w:p>
      <w:pPr>
        <w:spacing w:after="0" w:line="154" w:lineRule="exact"/>
        <w:rPr>
          <w:sz w:val="20"/>
          <w:szCs w:val="20"/>
          <w:color w:val="auto"/>
        </w:rPr>
      </w:pPr>
    </w:p>
    <w:p>
      <w:pPr>
        <w:ind w:left="640" w:right="659" w:hanging="3"/>
        <w:spacing w:after="0" w:line="269" w:lineRule="auto"/>
        <w:tabs>
          <w:tab w:leader="none" w:pos="812" w:val="left"/>
        </w:tabs>
        <w:numPr>
          <w:ilvl w:val="0"/>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Investor covenants that until the earliest of (i) such time as the transactions contemplated by this Agreement and any material non-public information provided to such Investor are publicly disclosed by the Company in accordance with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(ii) such time the foregoing is required to be disclosed under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and (iii) the termination of this Agreement,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applicable law or regulation or at the request of any governmental or regulatory authority having jurisdiction over such Investor. Each Investor may identify its investment in the Company and the value of such Investor’s security holdings in the Company in accordance with applicable investment reporting and disclosure regulations and respond to examinations, demands, requests or reporting requirements of a regulatory authority without prior notice to or consent from the Company.</w:t>
      </w:r>
    </w:p>
    <w:p>
      <w:pPr>
        <w:sectPr>
          <w:pgSz w:w="11900" w:h="16838" w:orient="portrait"/>
          <w:cols w:equalWidth="0" w:num="1">
            <w:col w:w="9019"/>
          </w:cols>
          <w:pgMar w:left="1440" w:top="231" w:right="1440" w:bottom="1440" w:gutter="0" w:footer="0" w:header="0"/>
        </w:sectPr>
      </w:pPr>
    </w:p>
    <w:bookmarkStart w:id="198" w:name="page199"/>
    <w:bookmarkEnd w:id="198"/>
    <w:p>
      <w:pPr>
        <w:ind w:left="640" w:right="739" w:hanging="3"/>
        <w:spacing w:after="0" w:line="271" w:lineRule="auto"/>
        <w:tabs>
          <w:tab w:leader="none" w:pos="819"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may request from the Investors such reasonable and customary additional information as the Company may deem necessary to evaluate the eligibility of the Investor to acquire the Preferred Shares, and the Investor shall promptly provide such information as may reasonably be requested to the extent readily available; provided, that the Company agrees to keep any such information provided by the Investor confidential, except</w:t>
      </w:r>
    </w:p>
    <w:p>
      <w:pPr>
        <w:ind w:left="640" w:right="659" w:hanging="3"/>
        <w:spacing w:after="0" w:line="244" w:lineRule="auto"/>
        <w:tabs>
          <w:tab w:leader="none" w:pos="791"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required by the federal securities laws, rules or regulations and (ii) to the extent such disclosure is required by other laws, rules or regulations, at the request of the staff of the SEC or regulatory agency or under the regulations of the OTCQB Market or another National Exchange, in which case, the Company will use commercially reasonable efforts to notify the applicable Investor and provide such Investor the opportunity to review such disclosure. Each Investor acknowledges that the Company may file a form of this Agreement and the Registration Rights Agreement with the SEC as exhibits to a periodic report or a registration statement of the Company.</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8.11 </w:t>
      </w:r>
      <w:r>
        <w:rPr>
          <w:rFonts w:ascii="Times New Roman" w:cs="Times New Roman" w:eastAsia="Times New Roman" w:hAnsi="Times New Roman"/>
          <w:sz w:val="13"/>
          <w:szCs w:val="13"/>
          <w:u w:val="single" w:color="auto"/>
          <w:color w:val="auto"/>
        </w:rPr>
        <w:t>Reliance by and Exculpation of Placement Agents.</w:t>
      </w:r>
    </w:p>
    <w:p>
      <w:pPr>
        <w:spacing w:after="0" w:line="154" w:lineRule="exact"/>
        <w:rPr>
          <w:sz w:val="20"/>
          <w:szCs w:val="20"/>
          <w:color w:val="auto"/>
        </w:rPr>
      </w:pPr>
    </w:p>
    <w:p>
      <w:pPr>
        <w:ind w:left="640" w:right="659" w:hanging="3"/>
        <w:spacing w:after="0" w:line="266" w:lineRule="auto"/>
        <w:tabs>
          <w:tab w:leader="none" w:pos="812"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Investor agrees for the express benefit of the Placement Agents, any of its Affiliates and representatives that (i) neither the Placement Agents nor any of its Affiliates or their representatives have made and will not make any representations or warranties with respect to the Company, Obsidian or the offer and sale of the Preferred Shares, and such Investor will not rely on any statements made by the Placement Agents, orally or in writing, to the contrary, (ii) the Placement Agents are acting solely as the agent of the Company in this placement of the Preferred Shares and is not acting as underwriter or in any other capacity and is not and shall not be construed as fiduciary for the Investor, the Company, Obsidian or any other person or entity in connection with this placement of the Preferred Shares, (iii) such Investor will be responsible for conducting its own due diligence investigation with respect to the Company, Obsidian and the offer and sale of the Preferred Shares, (iv) such Investor will be purchasing Preferred Shares based on the results of its own due diligence investigation of the Company and Obsidian, and the Placement Agents and each of their respective directors, officers, employees, representatives, and controlling persons have made no independent investigation with respect to the Company, Obsidian, the Preferred Shares, or the accuracy, completeness, or adequacy of any information supplied to the Investor by the Company or Obsidian, (vi) such Investor has negotiated the offer and sale of the Preferred Shares directly with the Company and the Placement Agents will not be responsible for the ultimate success of any such investment and (vii)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Preferred Shares,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2"/>
          <w:szCs w:val="12"/>
          <w:u w:val="single" w:color="auto"/>
          <w:color w:val="auto"/>
        </w:rPr>
        <w:t>Section 8.11</w:t>
      </w:r>
      <w:r>
        <w:rPr>
          <w:rFonts w:ascii="Times New Roman" w:cs="Times New Roman" w:eastAsia="Times New Roman" w:hAnsi="Times New Roman"/>
          <w:sz w:val="12"/>
          <w:szCs w:val="12"/>
          <w:color w:val="auto"/>
        </w:rPr>
        <w:t xml:space="preserve"> shall survive any termination of this Agreement.</w:t>
      </w:r>
    </w:p>
    <w:p>
      <w:pPr>
        <w:spacing w:after="0" w:line="130" w:lineRule="exact"/>
        <w:rPr>
          <w:rFonts w:ascii="Times New Roman" w:cs="Times New Roman" w:eastAsia="Times New Roman" w:hAnsi="Times New Roman"/>
          <w:sz w:val="12"/>
          <w:szCs w:val="12"/>
          <w:color w:val="auto"/>
        </w:rPr>
      </w:pPr>
    </w:p>
    <w:p>
      <w:pPr>
        <w:ind w:left="640" w:right="739" w:hanging="3"/>
        <w:spacing w:after="0" w:line="255" w:lineRule="auto"/>
        <w:tabs>
          <w:tab w:leader="none" w:pos="819"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spacing w:after="0" w:line="130" w:lineRule="exact"/>
        <w:rPr>
          <w:rFonts w:ascii="Times New Roman" w:cs="Times New Roman" w:eastAsia="Times New Roman" w:hAnsi="Times New Roman"/>
          <w:sz w:val="13"/>
          <w:szCs w:val="13"/>
          <w:color w:val="auto"/>
        </w:rPr>
      </w:pPr>
    </w:p>
    <w:p>
      <w:pPr>
        <w:ind w:left="640" w:right="799" w:hanging="3"/>
        <w:spacing w:after="0" w:line="247" w:lineRule="auto"/>
        <w:tabs>
          <w:tab w:leader="none" w:pos="812"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Placement Agents nor any of their respective Affiliates or representatives (1) shall be liable for any improper payment made in accordance with the information provided by the Company or Obsidian; (2) makes any representation or warranty, or has any responsibilities as to the validity, enforceability, accuracy, value or genuineness of any information, certificates or documentation delivered by or on behalf of the Company or Obsidian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w:t>
      </w:r>
    </w:p>
    <w:p>
      <w:pPr>
        <w:sectPr>
          <w:pgSz w:w="11900" w:h="16838" w:orient="portrait"/>
          <w:cols w:equalWidth="0" w:num="1">
            <w:col w:w="9019"/>
          </w:cols>
          <w:pgMar w:left="1440" w:top="231" w:right="1440" w:bottom="1440" w:gutter="0" w:footer="0" w:header="0"/>
        </w:sectPr>
      </w:pPr>
    </w:p>
    <w:bookmarkStart w:id="199" w:name="page200"/>
    <w:bookmarkEnd w:id="199"/>
    <w:p>
      <w:pPr>
        <w:ind w:left="640" w:right="659" w:hanging="3"/>
        <w:spacing w:after="0" w:line="251" w:lineRule="auto"/>
        <w:tabs>
          <w:tab w:leader="none" w:pos="819"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agrees that the Placement Agents and its respective Affiliates and representatives shall be entitled to (1) rely on, and shall be protected in acting upon, any certificate, instrument, notice, letter or any other document or security delivered to any of them by or on behalf of the Company or Obsidian, and (2) be indemnified by the Company for acting as the Placement Agents hereunder pursuant to the indemnification provisions set forth in the applicable letter agreement(s) between the Company and the Placement Agents.</w:t>
      </w:r>
    </w:p>
    <w:p>
      <w:pPr>
        <w:spacing w:after="0" w:line="133"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2"/>
          <w:szCs w:val="12"/>
          <w:color w:val="auto"/>
        </w:rPr>
        <w:t xml:space="preserve">8.12 </w:t>
      </w:r>
      <w:r>
        <w:rPr>
          <w:rFonts w:ascii="Times New Roman" w:cs="Times New Roman" w:eastAsia="Times New Roman" w:hAnsi="Times New Roman"/>
          <w:sz w:val="12"/>
          <w:szCs w:val="12"/>
          <w:u w:val="single" w:color="auto"/>
          <w:color w:val="auto"/>
        </w:rPr>
        <w:t>Third Parties</w:t>
      </w:r>
      <w:r>
        <w:rPr>
          <w:rFonts w:ascii="Times New Roman" w:cs="Times New Roman" w:eastAsia="Times New Roman" w:hAnsi="Times New Roman"/>
          <w:sz w:val="12"/>
          <w:szCs w:val="12"/>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w:t>
      </w:r>
    </w:p>
    <w:p>
      <w:pPr>
        <w:spacing w:after="0" w:line="1" w:lineRule="exact"/>
        <w:rPr>
          <w:sz w:val="20"/>
          <w:szCs w:val="20"/>
          <w:color w:val="auto"/>
        </w:rPr>
      </w:pPr>
    </w:p>
    <w:p>
      <w:pPr>
        <w:ind w:left="640" w:right="1059" w:hanging="3"/>
        <w:spacing w:after="0" w:line="245" w:lineRule="auto"/>
        <w:tabs>
          <w:tab w:leader="none" w:pos="791"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Placement Agents are an intended third-party beneficiary of the representations and warranties of the Company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the representations and warranties of each Investor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8.11</w:t>
      </w:r>
      <w:r>
        <w:rPr>
          <w:rFonts w:ascii="Times New Roman" w:cs="Times New Roman" w:eastAsia="Times New Roman" w:hAnsi="Times New Roman"/>
          <w:sz w:val="13"/>
          <w:szCs w:val="13"/>
          <w:color w:val="auto"/>
        </w:rPr>
        <w:t xml:space="preserve"> of this Agreement, and (ii) the Indemnified Persons are intended third-party beneficiaries of </w:t>
      </w:r>
      <w:r>
        <w:rPr>
          <w:rFonts w:ascii="Times New Roman" w:cs="Times New Roman" w:eastAsia="Times New Roman" w:hAnsi="Times New Roman"/>
          <w:sz w:val="13"/>
          <w:szCs w:val="13"/>
          <w:u w:val="single" w:color="auto"/>
          <w:color w:val="auto"/>
        </w:rPr>
        <w:t>Section 5.10</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 xml:space="preserve">8.13 </w:t>
      </w:r>
      <w:r>
        <w:rPr>
          <w:rFonts w:ascii="Times New Roman" w:cs="Times New Roman" w:eastAsia="Times New Roman" w:hAnsi="Times New Roman"/>
          <w:sz w:val="13"/>
          <w:szCs w:val="13"/>
          <w:u w:val="single" w:color="auto"/>
          <w:color w:val="auto"/>
        </w:rPr>
        <w:t>Independent Nature of Investors’ Obligations and Right.</w:t>
      </w:r>
      <w:r>
        <w:rPr>
          <w:rFonts w:ascii="Times New Roman" w:cs="Times New Roman" w:eastAsia="Times New Roman" w:hAnsi="Times New Roman"/>
          <w:sz w:val="13"/>
          <w:szCs w:val="13"/>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none of Sidley Austin LLP or Mintz, Levin, Cohn, Glovsky, and Popeo, P.C., or Goodwin Procter LLP have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37" w:lineRule="exact"/>
        <w:rPr>
          <w:sz w:val="20"/>
          <w:szCs w:val="20"/>
          <w:color w:val="auto"/>
        </w:rPr>
      </w:pPr>
    </w:p>
    <w:p>
      <w:pPr>
        <w:ind w:left="640" w:right="1339"/>
        <w:spacing w:after="0" w:line="267" w:lineRule="auto"/>
        <w:rPr>
          <w:sz w:val="20"/>
          <w:szCs w:val="20"/>
          <w:color w:val="auto"/>
        </w:rPr>
      </w:pPr>
      <w:r>
        <w:rPr>
          <w:rFonts w:ascii="Times New Roman" w:cs="Times New Roman" w:eastAsia="Times New Roman" w:hAnsi="Times New Roman"/>
          <w:sz w:val="13"/>
          <w:szCs w:val="13"/>
          <w:color w:val="auto"/>
        </w:rPr>
        <w:t xml:space="preserve">8.14 </w:t>
      </w: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122"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 xml:space="preserve">8.15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xml:space="preserve">. This Agreement may be executed in three (3)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t>
      </w:r>
      <w:r>
        <w:rPr>
          <w:rFonts w:ascii="Times New Roman" w:cs="Times New Roman" w:eastAsia="Times New Roman" w:hAnsi="Times New Roman"/>
          <w:sz w:val="13"/>
          <w:szCs w:val="13"/>
          <w:i w:val="1"/>
          <w:iCs w:val="1"/>
          <w:color w:val="auto"/>
        </w:rPr>
        <w:t>www.docusign.com</w:t>
      </w:r>
      <w:r>
        <w:rPr>
          <w:rFonts w:ascii="Times New Roman" w:cs="Times New Roman" w:eastAsia="Times New Roman" w:hAnsi="Times New Roman"/>
          <w:sz w:val="13"/>
          <w:szCs w:val="13"/>
          <w:color w:val="auto"/>
        </w:rPr>
        <w:t xml:space="preserve"> shall be considered due execution and shall be binding upon the signatory thereto with the same force and effect as if the signature were an original, not a facsimile or pdf (or other electronic reproduction of a) signature.</w:t>
      </w:r>
    </w:p>
    <w:p>
      <w:pPr>
        <w:sectPr>
          <w:pgSz w:w="11900" w:h="16838" w:orient="portrait"/>
          <w:cols w:equalWidth="0" w:num="1">
            <w:col w:w="9019"/>
          </w:cols>
          <w:pgMar w:left="1440" w:top="231" w:right="1440" w:bottom="1440" w:gutter="0" w:footer="0" w:header="0"/>
        </w:sectPr>
      </w:pPr>
    </w:p>
    <w:bookmarkStart w:id="200" w:name="page201"/>
    <w:bookmarkEnd w:id="200"/>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8.16 </w:t>
      </w:r>
      <w:r>
        <w:rPr>
          <w:rFonts w:ascii="Times New Roman" w:cs="Times New Roman" w:eastAsia="Times New Roman" w:hAnsi="Times New Roman"/>
          <w:sz w:val="12"/>
          <w:szCs w:val="12"/>
          <w:u w:val="single" w:color="auto"/>
          <w:color w:val="auto"/>
        </w:rPr>
        <w:t>Entire Agreement; Amendments</w:t>
      </w:r>
      <w:r>
        <w:rPr>
          <w:rFonts w:ascii="Times New Roman" w:cs="Times New Roman" w:eastAsia="Times New Roman" w:hAnsi="Times New Roman"/>
          <w:sz w:val="12"/>
          <w:szCs w:val="12"/>
          <w:color w:val="auto"/>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Investors of at least a majority in interest of the Preferred Shares then held by the Investors, provided that if any amendment, modification or waiver disproportionately and adversely impacts an Investor (or group of Investors), the consent of at least seventy five percent (75%) in interest of such disproportionately impacted Investor (or group of Investors) shall also be required. Notwithstanding the foregoing,</w:t>
      </w:r>
    </w:p>
    <w:p>
      <w:pPr>
        <w:spacing w:after="0" w:line="4" w:lineRule="exact"/>
        <w:rPr>
          <w:sz w:val="20"/>
          <w:szCs w:val="20"/>
          <w:color w:val="auto"/>
        </w:rPr>
      </w:pPr>
    </w:p>
    <w:p>
      <w:pPr>
        <w:ind w:left="640" w:right="659" w:hanging="3"/>
        <w:spacing w:after="0" w:line="243" w:lineRule="auto"/>
        <w:tabs>
          <w:tab w:leader="none" w:pos="791"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Agreement may not be amended or waived with respect to any Investor without the written consent of such Investor unless such amendment or waiver applies to all Investors in the same fashion, and (ii) any amendment to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5.10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or this </w:t>
      </w:r>
      <w:r>
        <w:rPr>
          <w:rFonts w:ascii="Times New Roman" w:cs="Times New Roman" w:eastAsia="Times New Roman" w:hAnsi="Times New Roman"/>
          <w:sz w:val="13"/>
          <w:szCs w:val="13"/>
          <w:u w:val="single" w:color="auto"/>
          <w:color w:val="auto"/>
        </w:rPr>
        <w:t>Section 8.16</w:t>
      </w:r>
      <w:r>
        <w:rPr>
          <w:rFonts w:ascii="Times New Roman" w:cs="Times New Roman" w:eastAsia="Times New Roman" w:hAnsi="Times New Roman"/>
          <w:sz w:val="13"/>
          <w:szCs w:val="13"/>
          <w:color w:val="auto"/>
        </w:rPr>
        <w:t xml:space="preserve"> shall require the consent of each Investor. No consideration (including any modification of this Agreement) shall be offered or paid to any Person to amend or consent to a waiver or modification of any provision of this Agreement unless the same consideration is also offered to all of the parties to this Agreement.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w:t>
      </w:r>
      <w:r>
        <w:rPr>
          <w:rFonts w:ascii="Times New Roman" w:cs="Times New Roman" w:eastAsia="Times New Roman" w:hAnsi="Times New Roman"/>
          <w:sz w:val="13"/>
          <w:szCs w:val="13"/>
          <w:u w:val="single" w:color="auto"/>
          <w:color w:val="auto"/>
        </w:rPr>
        <w:t>Section 8.16</w:t>
      </w:r>
      <w:r>
        <w:rPr>
          <w:rFonts w:ascii="Times New Roman" w:cs="Times New Roman" w:eastAsia="Times New Roman" w:hAnsi="Times New Roman"/>
          <w:sz w:val="13"/>
          <w:szCs w:val="13"/>
          <w:color w:val="auto"/>
        </w:rPr>
        <w:t xml:space="preserve"> that is material and adverse to the Placement Agents shall be valid without the prior written consent of the Placement Agents, which consent may be granted or withheld in the sole discretion of the Placement Agents.</w:t>
      </w:r>
    </w:p>
    <w:p>
      <w:pPr>
        <w:spacing w:after="0" w:line="141"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 xml:space="preserve">8.17 </w:t>
      </w:r>
      <w:r>
        <w:rPr>
          <w:rFonts w:ascii="Times New Roman" w:cs="Times New Roman" w:eastAsia="Times New Roman" w:hAnsi="Times New Roman"/>
          <w:sz w:val="13"/>
          <w:szCs w:val="13"/>
          <w:u w:val="single" w:color="auto"/>
          <w:color w:val="auto"/>
        </w:rPr>
        <w:t>Survival</w:t>
      </w:r>
      <w:r>
        <w:rPr>
          <w:rFonts w:ascii="Times New Roman" w:cs="Times New Roman" w:eastAsia="Times New Roman" w:hAnsi="Times New Roman"/>
          <w:sz w:val="13"/>
          <w:szCs w:val="13"/>
          <w:color w:val="auto"/>
        </w:rPr>
        <w:t>. The covenants, representations and warranties made by each party hereto contained in this Agreement shall survive the Closing and the delivery of the Preferred Shares in accordance with their respective terms. Each Investor shall be responsible only for its own representations, warranties, agreements and covenants hereunder.</w:t>
      </w:r>
    </w:p>
    <w:p>
      <w:pPr>
        <w:spacing w:after="0" w:line="130"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 xml:space="preserve">8.18 </w:t>
      </w:r>
      <w:r>
        <w:rPr>
          <w:rFonts w:ascii="Times New Roman" w:cs="Times New Roman" w:eastAsia="Times New Roman" w:hAnsi="Times New Roman"/>
          <w:sz w:val="13"/>
          <w:szCs w:val="13"/>
          <w:u w:val="single" w:color="auto"/>
          <w:color w:val="auto"/>
        </w:rPr>
        <w:t>Mutual Drafting.</w:t>
      </w:r>
      <w:r>
        <w:rPr>
          <w:rFonts w:ascii="Times New Roman" w:cs="Times New Roman" w:eastAsia="Times New Roman" w:hAnsi="Times New Roman"/>
          <w:sz w:val="13"/>
          <w:szCs w:val="13"/>
          <w:color w:val="auto"/>
        </w:rPr>
        <w:t xml:space="preserve">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22"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 xml:space="preserve">8.19 </w:t>
      </w:r>
      <w:r>
        <w:rPr>
          <w:rFonts w:ascii="Times New Roman" w:cs="Times New Roman" w:eastAsia="Times New Roman" w:hAnsi="Times New Roman"/>
          <w:sz w:val="13"/>
          <w:szCs w:val="13"/>
          <w:u w:val="single" w:color="auto"/>
          <w:color w:val="auto"/>
        </w:rPr>
        <w:t>Arm’s Length Negotiations</w:t>
      </w:r>
      <w:r>
        <w:rPr>
          <w:rFonts w:ascii="Times New Roman" w:cs="Times New Roman" w:eastAsia="Times New Roman" w:hAnsi="Times New Roman"/>
          <w:sz w:val="13"/>
          <w:szCs w:val="13"/>
          <w:color w:val="auto"/>
        </w:rPr>
        <w:t>. For the avoidance of doubt, the parties acknowledge and confirm that the terms and conditions of the Preferred Shares were determined as a result of arm’s-length negotiations.</w:t>
      </w:r>
    </w:p>
    <w:p>
      <w:pPr>
        <w:spacing w:after="0" w:line="122"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 xml:space="preserve">8.20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ectPr>
          <w:pgSz w:w="11900" w:h="16838" w:orient="portrait"/>
          <w:cols w:equalWidth="0" w:num="1">
            <w:col w:w="9019"/>
          </w:cols>
          <w:pgMar w:left="1440" w:top="231" w:right="1440" w:bottom="1440" w:gutter="0" w:footer="0" w:header="0"/>
        </w:sectPr>
      </w:pPr>
    </w:p>
    <w:bookmarkStart w:id="201" w:name="page202"/>
    <w:bookmarkEnd w:id="201"/>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GALERA THERAPEUTICS,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9019"/>
          </w:cols>
          <w:pgMar w:left="1440" w:top="229" w:right="1440" w:bottom="1440" w:gutter="0" w:footer="0" w:header="0"/>
        </w:sectPr>
      </w:pPr>
    </w:p>
    <w:bookmarkStart w:id="202" w:name="page203"/>
    <w:bookmarkEnd w:id="202"/>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GAZELLE PARENT,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Solely with respect to Sections 3.2, 3.3, 3.4, 3.5, 3.6, 3.7, 3.33 and 5.12 of this Agreement.</w:t>
      </w:r>
    </w:p>
    <w:p>
      <w:pPr>
        <w:sectPr>
          <w:pgSz w:w="11900" w:h="16838" w:orient="portrait"/>
          <w:cols w:equalWidth="0" w:num="1">
            <w:col w:w="9019"/>
          </w:cols>
          <w:pgMar w:left="1440" w:top="229" w:right="1440" w:bottom="1440" w:gutter="0" w:footer="0" w:header="0"/>
        </w:sectPr>
      </w:pPr>
    </w:p>
    <w:bookmarkStart w:id="203" w:name="page204"/>
    <w:bookmarkEnd w:id="203"/>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OBSIDIAN THERAPEUTICS,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9525</wp:posOffset>
            </wp:positionV>
            <wp:extent cx="182308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  Solely with respect to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of this Agreement.</w:t>
      </w:r>
    </w:p>
    <w:p>
      <w:pPr>
        <w:sectPr>
          <w:pgSz w:w="11900" w:h="16838" w:orient="portrait"/>
          <w:cols w:equalWidth="0" w:num="1">
            <w:col w:w="9019"/>
          </w:cols>
          <w:pgMar w:left="1440" w:top="229" w:right="1440" w:bottom="1440" w:gutter="0" w:footer="0" w:header="0"/>
        </w:sectPr>
      </w:pPr>
    </w:p>
    <w:bookmarkStart w:id="204" w:name="page205"/>
    <w:bookmarkEnd w:id="204"/>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13335</wp:posOffset>
            </wp:positionV>
            <wp:extent cx="170878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08785" cy="571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-88265</wp:posOffset>
            </wp:positionV>
            <wp:extent cx="170878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Aggregate Series C Preferred Shares Purchase</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r>
      <w:tr>
        <w:trPr>
          <w:trHeight w:val="152"/>
        </w:trPr>
        <w:tc>
          <w:tcPr>
            <w:tcW w:w="2800" w:type="dxa"/>
            <w:vAlign w:val="bottom"/>
          </w:tcPr>
          <w:p>
            <w:pPr>
              <w:spacing w:after="0"/>
              <w:rPr>
                <w:sz w:val="13"/>
                <w:szCs w:val="13"/>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Price (Preferred Subscription Amount):</w:t>
            </w:r>
          </w:p>
        </w:tc>
        <w:tc>
          <w:tcPr>
            <w:tcW w:w="740" w:type="dxa"/>
            <w:vAlign w:val="bottom"/>
          </w:tcPr>
          <w:p>
            <w:pPr>
              <w:spacing w:after="0"/>
              <w:rPr>
                <w:sz w:val="13"/>
                <w:szCs w:val="13"/>
                <w:color w:val="auto"/>
              </w:rPr>
            </w:pPr>
          </w:p>
        </w:tc>
      </w:tr>
      <w:tr>
        <w:trPr>
          <w:trHeight w:val="165"/>
        </w:trPr>
        <w:tc>
          <w:tcPr>
            <w:tcW w:w="28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w:t>
            </w:r>
          </w:p>
        </w:tc>
        <w:tc>
          <w:tcPr>
            <w:tcW w:w="740" w:type="dxa"/>
            <w:vAlign w:val="bottom"/>
          </w:tcPr>
          <w:p>
            <w:pPr>
              <w:spacing w:after="0"/>
              <w:rPr>
                <w:sz w:val="14"/>
                <w:szCs w:val="14"/>
                <w:color w:val="auto"/>
              </w:rPr>
            </w:pPr>
          </w:p>
        </w:tc>
      </w:tr>
      <w:tr>
        <w:trPr>
          <w:trHeight w:val="290"/>
        </w:trPr>
        <w:tc>
          <w:tcPr>
            <w:tcW w:w="280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Number of Series C Preferred Shares to be</w:t>
            </w:r>
          </w:p>
        </w:tc>
        <w:tc>
          <w:tcPr>
            <w:tcW w:w="740" w:type="dxa"/>
            <w:vAlign w:val="bottom"/>
          </w:tcPr>
          <w:p>
            <w:pPr>
              <w:spacing w:after="0"/>
              <w:rPr>
                <w:sz w:val="24"/>
                <w:szCs w:val="24"/>
                <w:color w:val="auto"/>
              </w:rPr>
            </w:pPr>
          </w:p>
        </w:tc>
      </w:tr>
      <w:tr>
        <w:trPr>
          <w:trHeight w:val="165"/>
        </w:trPr>
        <w:tc>
          <w:tcPr>
            <w:tcW w:w="28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Acquired:</w:t>
            </w:r>
          </w:p>
        </w:tc>
        <w:tc>
          <w:tcPr>
            <w:tcW w:w="740" w:type="dxa"/>
            <w:vAlign w:val="bottom"/>
          </w:tcPr>
          <w:p>
            <w:pPr>
              <w:spacing w:after="0"/>
              <w:rPr>
                <w:sz w:val="14"/>
                <w:szCs w:val="14"/>
                <w:color w:val="auto"/>
              </w:rPr>
            </w:pPr>
          </w:p>
        </w:tc>
      </w:tr>
      <w:tr>
        <w:trPr>
          <w:trHeight w:val="237"/>
        </w:trPr>
        <w:tc>
          <w:tcPr>
            <w:tcW w:w="280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______________________</w:t>
            </w:r>
          </w:p>
        </w:tc>
        <w:tc>
          <w:tcPr>
            <w:tcW w:w="740" w:type="dxa"/>
            <w:vAlign w:val="bottom"/>
          </w:tcPr>
          <w:p>
            <w:pPr>
              <w:spacing w:after="0"/>
              <w:rPr>
                <w:sz w:val="20"/>
                <w:szCs w:val="20"/>
                <w:color w:val="auto"/>
              </w:rPr>
            </w:pPr>
          </w:p>
        </w:tc>
      </w:tr>
      <w:tr>
        <w:trPr>
          <w:trHeight w:val="300"/>
        </w:trPr>
        <w:tc>
          <w:tcPr>
            <w:tcW w:w="280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Tax ID No.: ____________________</w:t>
            </w:r>
          </w:p>
        </w:tc>
        <w:tc>
          <w:tcPr>
            <w:tcW w:w="740" w:type="dxa"/>
            <w:vAlign w:val="bottom"/>
          </w:tcPr>
          <w:p>
            <w:pPr>
              <w:spacing w:after="0"/>
              <w:rPr>
                <w:sz w:val="24"/>
                <w:szCs w:val="24"/>
                <w:color w:val="auto"/>
              </w:rPr>
            </w:pPr>
          </w:p>
        </w:tc>
      </w:tr>
      <w:tr>
        <w:trPr>
          <w:trHeight w:val="165"/>
        </w:trPr>
        <w:tc>
          <w:tcPr>
            <w:tcW w:w="28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Address for Notice:</w:t>
            </w:r>
          </w:p>
        </w:tc>
        <w:tc>
          <w:tcPr>
            <w:tcW w:w="740" w:type="dxa"/>
            <w:vAlign w:val="bottom"/>
          </w:tcPr>
          <w:p>
            <w:pPr>
              <w:spacing w:after="0"/>
              <w:rPr>
                <w:sz w:val="14"/>
                <w:szCs w:val="14"/>
                <w:color w:val="auto"/>
              </w:rPr>
            </w:pPr>
          </w:p>
        </w:tc>
      </w:tr>
      <w:tr>
        <w:trPr>
          <w:trHeight w:val="303"/>
        </w:trPr>
        <w:tc>
          <w:tcPr>
            <w:tcW w:w="2800" w:type="dxa"/>
            <w:vAlign w:val="bottom"/>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151"/>
        </w:trPr>
        <w:tc>
          <w:tcPr>
            <w:tcW w:w="2800" w:type="dxa"/>
            <w:vAlign w:val="bottom"/>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r>
      <w:tr>
        <w:trPr>
          <w:trHeight w:val="151"/>
        </w:trPr>
        <w:tc>
          <w:tcPr>
            <w:tcW w:w="2800" w:type="dxa"/>
            <w:vAlign w:val="bottom"/>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r>
    </w:tbl>
    <w:p>
      <w:pPr>
        <w:spacing w:after="0" w:line="14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 xml:space="preserve">Telephone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2693035</wp:posOffset>
            </wp:positionH>
            <wp:positionV relativeFrom="paragraph">
              <wp:posOffset>-7620</wp:posOffset>
            </wp:positionV>
            <wp:extent cx="72199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spacing w:after="0" w:line="1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color w:val="auto"/>
        </w:rPr>
        <w:t xml:space="preserve">Facsimile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-7620</wp:posOffset>
            </wp:positionV>
            <wp:extent cx="72199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spacing w:after="0" w:line="1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color w:val="auto"/>
        </w:rPr>
        <w:t xml:space="preserve">E-mail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-7620</wp:posOffset>
            </wp:positionV>
            <wp:extent cx="72199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spacing w:after="0" w:line="1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color w:val="auto"/>
        </w:rPr>
        <w:t>Attention: _______________________</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Delivery Instructions: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(if different than above)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 ____________________________</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Street: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-7620</wp:posOffset>
            </wp:positionV>
            <wp:extent cx="100266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02665"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City/State/Zip: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-7620</wp:posOffset>
            </wp:positionV>
            <wp:extent cx="72199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Attention: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-7620</wp:posOffset>
            </wp:positionV>
            <wp:extent cx="88265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2650"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 No.: ________________________</w:t>
      </w:r>
    </w:p>
    <w:p>
      <w:pPr>
        <w:sectPr>
          <w:pgSz w:w="11900" w:h="16838" w:orient="portrait"/>
          <w:cols w:equalWidth="0" w:num="1">
            <w:col w:w="9019"/>
          </w:cols>
          <w:pgMar w:left="1440" w:top="229" w:right="1440" w:bottom="1440" w:gutter="0" w:footer="0" w:header="0"/>
        </w:sectPr>
      </w:pPr>
    </w:p>
    <w:bookmarkStart w:id="205" w:name="page206"/>
    <w:bookmarkEnd w:id="205"/>
    <w:p>
      <w:pPr>
        <w:ind w:left="4180"/>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8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INVESTORS</w:t>
      </w:r>
    </w:p>
    <w:p>
      <w:pPr>
        <w:sectPr>
          <w:pgSz w:w="11900" w:h="16838" w:orient="portrait"/>
          <w:cols w:equalWidth="0" w:num="1">
            <w:col w:w="9019"/>
          </w:cols>
          <w:pgMar w:left="1440" w:top="229" w:right="1440"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B</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CERTIFICATE OF DESIGNATION</w:t>
      </w:r>
    </w:p>
    <w:p>
      <w:pPr>
        <w:sectPr>
          <w:pgSz w:w="11900" w:h="16838" w:orient="portrait"/>
          <w:cols w:equalWidth="0" w:num="1">
            <w:col w:w="9019"/>
          </w:cols>
          <w:pgMar w:left="1440" w:top="229" w:right="1440"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REGISTRATION RIGHTS AGREEMENT</w:t>
      </w:r>
    </w:p>
    <w:p>
      <w:pPr>
        <w:sectPr>
          <w:pgSz w:w="11900" w:h="16838" w:orient="portrait"/>
          <w:cols w:equalWidth="0" w:num="1">
            <w:col w:w="9019"/>
          </w:cols>
          <w:pgMar w:left="1440" w:top="229" w:right="1440" w:bottom="1440" w:gutter="0" w:footer="0" w:header="0"/>
        </w:sectPr>
      </w:pPr>
    </w:p>
    <w:bookmarkStart w:id="208" w:name="page209"/>
    <w:bookmarkEnd w:id="20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154"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THIS REGISTRATION RIGHTS AGREEMENT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dated as of April 14, 2026, is entered into by and among Galera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Therapeutics, Inc., a Delaware corporation, Gazelle Parent,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and the several investors signatory hereto (individually as an “</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collectively together with their respective permitted assigns, the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 Capitalized terms used herein and not otherwise defined herein shall have the respective meanings set forth in the Securities Purchase Agreement by and among the Company and the Investors party thereto, dated on or around the date hereof (as amended, restated, supplemented or otherwise modified from time to time, the “</w:t>
      </w:r>
      <w:r>
        <w:rPr>
          <w:rFonts w:ascii="Times New Roman" w:cs="Times New Roman" w:eastAsia="Times New Roman" w:hAnsi="Times New Roman"/>
          <w:sz w:val="13"/>
          <w:szCs w:val="13"/>
          <w:b w:val="1"/>
          <w:bCs w:val="1"/>
          <w:color w:val="auto"/>
        </w:rPr>
        <w:t>Purchase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WHEREAS:</w:t>
      </w:r>
    </w:p>
    <w:p>
      <w:pPr>
        <w:spacing w:after="0" w:line="156"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A. The Company is party to that certain Agreement and Plan of Merger by and among the Company, Obsidian Therapeutics, Inc., a Delaware corporation (“</w:t>
      </w:r>
      <w:r>
        <w:rPr>
          <w:rFonts w:ascii="Times New Roman" w:cs="Times New Roman" w:eastAsia="Times New Roman" w:hAnsi="Times New Roman"/>
          <w:sz w:val="13"/>
          <w:szCs w:val="13"/>
          <w:b w:val="1"/>
          <w:bCs w:val="1"/>
          <w:color w:val="auto"/>
        </w:rPr>
        <w:t>Obsidian</w:t>
      </w:r>
      <w:r>
        <w:rPr>
          <w:rFonts w:ascii="Times New Roman" w:cs="Times New Roman" w:eastAsia="Times New Roman" w:hAnsi="Times New Roman"/>
          <w:sz w:val="13"/>
          <w:szCs w:val="13"/>
          <w:color w:val="auto"/>
        </w:rPr>
        <w:t xml:space="preserve">”), Parent, Onyx MergerSub, Inc., a Delaware corporation and a direct, wholly owned subsidiary of Parent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Onyx 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Sub</w:t>
      </w:r>
      <w:r>
        <w:rPr>
          <w:rFonts w:ascii="Times New Roman" w:cs="Times New Roman" w:eastAsia="Times New Roman" w:hAnsi="Times New Roman"/>
          <w:sz w:val="13"/>
          <w:szCs w:val="13"/>
          <w:color w:val="auto"/>
        </w:rPr>
        <w:t>”), and Gazelle Merger Subsidiary, Inc., a Delaware corporation and a direct, wholly owned subsidiary of Parent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Gazelle Merger Sub</w:t>
      </w:r>
      <w:r>
        <w:rPr>
          <w:rFonts w:ascii="Times New Roman" w:cs="Times New Roman" w:eastAsia="Times New Roman" w:hAnsi="Times New Roman"/>
          <w:sz w:val="13"/>
          <w:szCs w:val="13"/>
          <w:color w:val="auto"/>
        </w:rPr>
        <w:t>”), dated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April 14, 2026 (as amended from time to time in accordance with the terms thereof,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pursuant to which (i) Onyx Merger Sub will merge with and into Obsidian and Obsidian will become a wholly-owned subsidiary of Parent and (ii) Gazelle Merger Sub will merge with and into Galera and Galera will become a wholly-owned subsidiary of Parent, with Parent acting as the parent company for the combined businesses of Obsidian and Galera (the “</w:t>
      </w:r>
      <w:r>
        <w:rPr>
          <w:rFonts w:ascii="Times New Roman" w:cs="Times New Roman" w:eastAsia="Times New Roman" w:hAnsi="Times New Roman"/>
          <w:sz w:val="13"/>
          <w:szCs w:val="13"/>
          <w:b w:val="1"/>
          <w:bCs w:val="1"/>
          <w:color w:val="auto"/>
        </w:rPr>
        <w:t>Mergers</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B. Upon the terms and subject to the conditions of the Purchase Agreement, the Company has agreed to issue to certain Investors, and such Investors have agreed to purchase, severally and not jointly, an aggregate of approximately $350,000,000 worth of shares (the “</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 of Series C Non-Voting Convertible Preferred Stock, par value $0.001 per share (the “</w:t>
      </w:r>
      <w:r>
        <w:rPr>
          <w:rFonts w:ascii="Times New Roman" w:cs="Times New Roman" w:eastAsia="Times New Roman" w:hAnsi="Times New Roman"/>
          <w:sz w:val="13"/>
          <w:szCs w:val="13"/>
          <w:b w:val="1"/>
          <w:bCs w:val="1"/>
          <w:color w:val="auto"/>
        </w:rPr>
        <w:t>Series C Preferred Stock</w:t>
      </w:r>
      <w:r>
        <w:rPr>
          <w:rFonts w:ascii="Times New Roman" w:cs="Times New Roman" w:eastAsia="Times New Roman" w:hAnsi="Times New Roman"/>
          <w:sz w:val="13"/>
          <w:szCs w:val="13"/>
          <w:color w:val="auto"/>
        </w:rPr>
        <w:t>”) of the Company, which will be convertible into shares (the “</w:t>
      </w:r>
      <w:r>
        <w:rPr>
          <w:rFonts w:ascii="Times New Roman" w:cs="Times New Roman" w:eastAsia="Times New Roman" w:hAnsi="Times New Roman"/>
          <w:sz w:val="13"/>
          <w:szCs w:val="13"/>
          <w:b w:val="1"/>
          <w:bCs w:val="1"/>
          <w:color w:val="auto"/>
        </w:rPr>
        <w:t>Conversion Shares</w:t>
      </w:r>
      <w:r>
        <w:rPr>
          <w:rFonts w:ascii="Times New Roman" w:cs="Times New Roman" w:eastAsia="Times New Roman" w:hAnsi="Times New Roman"/>
          <w:sz w:val="13"/>
          <w:szCs w:val="13"/>
          <w:color w:val="auto"/>
        </w:rPr>
        <w:t>”) of the Company’s common stock, par value $0.001 per share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in accordance with the terms set forth in the Certificate of Designations.</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 To induce the Investors to enter into the Purchase Agreement, the Company and the Parent have agreed to provide certain registration rights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under the U.S. Securities Act of 1933, as amended, and the rules and regulations thereunder, or any similar successor statute (collectively,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and applicable state securities laws, with respect to the Parent Common Stock (as defined in the Merger Agreement) issued in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exchange for the Conversion Shares (the “</w:t>
      </w:r>
      <w:r>
        <w:rPr>
          <w:rFonts w:ascii="Times New Roman" w:cs="Times New Roman" w:eastAsia="Times New Roman" w:hAnsi="Times New Roman"/>
          <w:sz w:val="13"/>
          <w:szCs w:val="13"/>
          <w:b w:val="1"/>
          <w:bCs w:val="1"/>
          <w:color w:val="auto"/>
        </w:rPr>
        <w:t>Exchange Shares</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83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 xml:space="preserve">NOW, THEREFORE, </w:t>
      </w:r>
      <w:r>
        <w:rPr>
          <w:rFonts w:ascii="Times New Roman" w:cs="Times New Roman" w:eastAsia="Times New Roman" w:hAnsi="Times New Roman"/>
          <w:sz w:val="12"/>
          <w:szCs w:val="12"/>
          <w:color w:val="auto"/>
        </w:rPr>
        <w:t>in consideration of the promises and the mutual covenants contained herein and other good and valuable consideration,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receipt and sufficiency of which are hereby acknowledged, the Company, the Parent and the Investors hereby agree as follows:</w:t>
      </w:r>
    </w:p>
    <w:p>
      <w:pPr>
        <w:spacing w:after="0" w:line="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1. DEFINITIONS.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For purposes of this Agreement, the following terms shall have the following meanings:</w:t>
      </w:r>
    </w:p>
    <w:p>
      <w:pPr>
        <w:spacing w:after="0" w:line="76" w:lineRule="exact"/>
        <w:rPr>
          <w:sz w:val="20"/>
          <w:szCs w:val="20"/>
          <w:color w:val="auto"/>
        </w:rPr>
      </w:pPr>
    </w:p>
    <w:p>
      <w:pPr>
        <w:ind w:left="640" w:right="919" w:firstLine="693"/>
        <w:spacing w:after="0" w:line="270" w:lineRule="auto"/>
        <w:tabs>
          <w:tab w:leader="none" w:pos="1508"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means Galera Therapeutics, Inc., a Delaware corporation, for all periods prior to the effective time of the transactions contemplated by the Merger Agreement and Parent for all periods following such effective time.</w:t>
      </w:r>
    </w:p>
    <w:p>
      <w:pPr>
        <w:spacing w:after="0" w:line="118" w:lineRule="exact"/>
        <w:rPr>
          <w:rFonts w:ascii="Times New Roman" w:cs="Times New Roman" w:eastAsia="Times New Roman" w:hAnsi="Times New Roman"/>
          <w:sz w:val="13"/>
          <w:szCs w:val="13"/>
          <w:color w:val="auto"/>
        </w:rPr>
      </w:pPr>
    </w:p>
    <w:p>
      <w:pPr>
        <w:ind w:left="640" w:right="759" w:firstLine="693"/>
        <w:spacing w:after="0" w:line="222" w:lineRule="auto"/>
        <w:tabs>
          <w:tab w:leader="none" w:pos="1515"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Filing Deadline</w:t>
      </w:r>
      <w:r>
        <w:rPr>
          <w:rFonts w:ascii="Times New Roman" w:cs="Times New Roman" w:eastAsia="Times New Roman" w:hAnsi="Times New Roman"/>
          <w:sz w:val="13"/>
          <w:szCs w:val="13"/>
          <w:color w:val="auto"/>
        </w:rPr>
        <w:t>” means, with respect to the Resale Registration Statement required hereunder, the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calendar day following the Closing Date (as defined in the Merger Agreement) and, with respect to any New Registration Statements or other Registration Statement filed hereunder, the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calendar day following the later of (i) 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 For the purposes of this definition, the ‘necessity’ to file a New Registration Statement shall be deemed to arise at the time the Company determines that the number of shares then registered is insufficient to cover all Registrable Securities required to be covered hereunder.</w:t>
      </w:r>
    </w:p>
    <w:p>
      <w:pPr>
        <w:sectPr>
          <w:pgSz w:w="11900" w:h="16838" w:orient="portrait"/>
          <w:cols w:equalWidth="0" w:num="1">
            <w:col w:w="9019"/>
          </w:cols>
          <w:pgMar w:left="1440" w:top="229" w:right="1440" w:bottom="1440" w:gutter="0" w:footer="0" w:header="0"/>
        </w:sectPr>
      </w:pPr>
    </w:p>
    <w:bookmarkStart w:id="209" w:name="page210"/>
    <w:bookmarkEnd w:id="209"/>
    <w:p>
      <w:pPr>
        <w:ind w:left="640" w:right="819" w:firstLine="693"/>
        <w:spacing w:after="0" w:line="313" w:lineRule="auto"/>
        <w:tabs>
          <w:tab w:leader="none" w:pos="150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 individual, partnership, corporation, limited liability company, business trust, joint stock company, trust, unincorporated association, joint venture, other entity or organization, any governmental agency or any governmental or political subdivision thereof.</w:t>
      </w:r>
    </w:p>
    <w:p>
      <w:pPr>
        <w:spacing w:after="0" w:line="94" w:lineRule="exact"/>
        <w:rPr>
          <w:rFonts w:ascii="Times New Roman" w:cs="Times New Roman" w:eastAsia="Times New Roman" w:hAnsi="Times New Roman"/>
          <w:sz w:val="12"/>
          <w:szCs w:val="12"/>
          <w:color w:val="auto"/>
        </w:rPr>
      </w:pPr>
    </w:p>
    <w:p>
      <w:pPr>
        <w:ind w:left="640" w:right="939" w:firstLine="693"/>
        <w:spacing w:after="0" w:line="257" w:lineRule="auto"/>
        <w:tabs>
          <w:tab w:leader="none" w:pos="1515"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Registered</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Registration</w:t>
      </w:r>
      <w:r>
        <w:rPr>
          <w:rFonts w:ascii="Times New Roman" w:cs="Times New Roman" w:eastAsia="Times New Roman" w:hAnsi="Times New Roman"/>
          <w:sz w:val="13"/>
          <w:szCs w:val="13"/>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w:t>
      </w:r>
    </w:p>
    <w:p>
      <w:pPr>
        <w:spacing w:after="0" w:line="126"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08"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Registrable Securities</w:t>
      </w:r>
      <w:r>
        <w:rPr>
          <w:rFonts w:ascii="Times New Roman" w:cs="Times New Roman" w:eastAsia="Times New Roman" w:hAnsi="Times New Roman"/>
          <w:sz w:val="13"/>
          <w:szCs w:val="13"/>
          <w:color w:val="auto"/>
        </w:rPr>
        <w:t>” means (i) the Exchange Shares (ii) any shares of Common Stock of the Parent held by the Holders that are not otherwise registered under the Merger Registration Statement (as defined in the Purchase Agreement), and (iii) any shares of Common Stock issued or issuable with respect to the foregoing clauses (i), (ii) and (iii)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a Registration Statement, (B) such Registrable Securities have been previously sold by such Investor in accordance with Rule 144, and (C) such securities become eligible for resale by such Investor without volume or manner-of-sale restrictions pursuant to Rule 144 and without the requirement for the Company to be in compliance with the current public information requirement under Rule 144 (each of the foregoing, a “</w:t>
      </w:r>
      <w:r>
        <w:rPr>
          <w:rFonts w:ascii="Times New Roman" w:cs="Times New Roman" w:eastAsia="Times New Roman" w:hAnsi="Times New Roman"/>
          <w:sz w:val="13"/>
          <w:szCs w:val="13"/>
          <w:b w:val="1"/>
          <w:bCs w:val="1"/>
          <w:color w:val="auto"/>
        </w:rPr>
        <w:t>Termination Event</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679" w:firstLine="693"/>
        <w:spacing w:after="0" w:line="270" w:lineRule="auto"/>
        <w:tabs>
          <w:tab w:leader="none" w:pos="1494"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Registration Expenses</w:t>
      </w:r>
      <w:r>
        <w:rPr>
          <w:rFonts w:ascii="Times New Roman" w:cs="Times New Roman" w:eastAsia="Times New Roman" w:hAnsi="Times New Roman"/>
          <w:sz w:val="12"/>
          <w:szCs w:val="12"/>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or this Agreement, any legal fees or other costs of the Investors.</w:t>
      </w:r>
    </w:p>
    <w:p>
      <w:pPr>
        <w:spacing w:after="0" w:line="122" w:lineRule="exact"/>
        <w:rPr>
          <w:rFonts w:ascii="Times New Roman" w:cs="Times New Roman" w:eastAsia="Times New Roman" w:hAnsi="Times New Roman"/>
          <w:sz w:val="12"/>
          <w:szCs w:val="12"/>
          <w:color w:val="auto"/>
        </w:rPr>
      </w:pPr>
    </w:p>
    <w:p>
      <w:pPr>
        <w:ind w:left="640" w:right="739" w:firstLine="693"/>
        <w:spacing w:after="0" w:line="248" w:lineRule="auto"/>
        <w:tabs>
          <w:tab w:leader="none" w:pos="1515"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134"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Required Investors</w:t>
      </w:r>
      <w:r>
        <w:rPr>
          <w:rFonts w:ascii="Times New Roman" w:cs="Times New Roman" w:eastAsia="Times New Roman" w:hAnsi="Times New Roman"/>
          <w:sz w:val="13"/>
          <w:szCs w:val="13"/>
          <w:color w:val="auto"/>
        </w:rPr>
        <w:t>” means the Investors holding a majority of the Registrable Securities then outstanding.</w:t>
      </w:r>
    </w:p>
    <w:p>
      <w:pPr>
        <w:spacing w:after="0" w:line="153" w:lineRule="exact"/>
        <w:rPr>
          <w:rFonts w:ascii="Times New Roman" w:cs="Times New Roman" w:eastAsia="Times New Roman" w:hAnsi="Times New Roman"/>
          <w:sz w:val="13"/>
          <w:szCs w:val="13"/>
          <w:color w:val="auto"/>
        </w:rPr>
      </w:pPr>
    </w:p>
    <w:p>
      <w:pPr>
        <w:ind w:left="640" w:right="739" w:firstLine="693"/>
        <w:spacing w:after="0" w:line="257" w:lineRule="auto"/>
        <w:tabs>
          <w:tab w:leader="none" w:pos="1487"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 Guidance</w:t>
      </w:r>
      <w:r>
        <w:rPr>
          <w:rFonts w:ascii="Times New Roman" w:cs="Times New Roman" w:eastAsia="Times New Roman" w:hAnsi="Times New Roman"/>
          <w:sz w:val="13"/>
          <w:szCs w:val="13"/>
          <w:color w:val="auto"/>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w:t>
      </w:r>
    </w:p>
    <w:p>
      <w:pPr>
        <w:spacing w:after="0" w:line="126" w:lineRule="exact"/>
        <w:rPr>
          <w:rFonts w:ascii="Times New Roman" w:cs="Times New Roman" w:eastAsia="Times New Roman" w:hAnsi="Times New Roman"/>
          <w:sz w:val="13"/>
          <w:szCs w:val="13"/>
          <w:color w:val="auto"/>
        </w:rPr>
      </w:pPr>
    </w:p>
    <w:p>
      <w:pPr>
        <w:ind w:left="640" w:right="819" w:firstLine="693"/>
        <w:spacing w:after="0" w:line="270" w:lineRule="auto"/>
        <w:tabs>
          <w:tab w:leader="none" w:pos="1487"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Selling Expenses</w:t>
      </w:r>
      <w:r>
        <w:rPr>
          <w:rFonts w:ascii="Times New Roman" w:cs="Times New Roman" w:eastAsia="Times New Roman" w:hAnsi="Times New Roman"/>
          <w:sz w:val="13"/>
          <w:szCs w:val="13"/>
          <w:color w:val="auto"/>
        </w:rPr>
        <w:t>” means all underwriting discounts and selling commissions applicable to the sale of Registrable Securities and all similar fees and commissions relating to an Investor’s disposition of its Registrable Securities.</w:t>
      </w:r>
    </w:p>
    <w:p>
      <w:pPr>
        <w:sectPr>
          <w:pgSz w:w="11900" w:h="16838" w:orient="portrait"/>
          <w:cols w:equalWidth="0" w:num="1">
            <w:col w:w="9019"/>
          </w:cols>
          <w:pgMar w:left="1440" w:top="229" w:right="1440" w:bottom="1440" w:gutter="0" w:footer="0" w:header="0"/>
        </w:sectPr>
      </w:pPr>
    </w:p>
    <w:bookmarkStart w:id="210" w:name="page211"/>
    <w:bookmarkEnd w:id="210"/>
    <w:p>
      <w:pPr>
        <w:ind w:left="1080" w:hanging="133"/>
        <w:spacing w:after="0"/>
        <w:tabs>
          <w:tab w:leader="none" w:pos="1080" w:val="left"/>
        </w:tabs>
        <w:numPr>
          <w:ilvl w:val="1"/>
          <w:numId w:val="2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REGISTRATION.</w:t>
      </w:r>
    </w:p>
    <w:p>
      <w:pPr>
        <w:spacing w:after="0" w:line="155" w:lineRule="exact"/>
        <w:rPr>
          <w:rFonts w:ascii="Times New Roman" w:cs="Times New Roman" w:eastAsia="Times New Roman" w:hAnsi="Times New Roman"/>
          <w:sz w:val="13"/>
          <w:szCs w:val="13"/>
          <w:b w:val="1"/>
          <w:bCs w:val="1"/>
          <w:color w:val="auto"/>
        </w:rPr>
      </w:pPr>
    </w:p>
    <w:p>
      <w:pPr>
        <w:ind w:left="640" w:right="679" w:firstLine="693"/>
        <w:spacing w:after="0" w:line="265" w:lineRule="auto"/>
        <w:tabs>
          <w:tab w:leader="none" w:pos="1508" w:val="left"/>
        </w:tabs>
        <w:numPr>
          <w:ilvl w:val="2"/>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Mandatory Registration</w:t>
      </w:r>
      <w:r>
        <w:rPr>
          <w:rFonts w:ascii="Times New Roman" w:cs="Times New Roman" w:eastAsia="Times New Roman" w:hAnsi="Times New Roman"/>
          <w:sz w:val="12"/>
          <w:szCs w:val="12"/>
          <w:color w:val="auto"/>
        </w:rPr>
        <w:t>. The Company shall, as promptly as reasonably practicable and in any event no later than the Filing Deadline, prepare and file with the SEC an initial resale Registration Statement (the “</w:t>
      </w:r>
      <w:r>
        <w:rPr>
          <w:rFonts w:ascii="Times New Roman" w:cs="Times New Roman" w:eastAsia="Times New Roman" w:hAnsi="Times New Roman"/>
          <w:sz w:val="12"/>
          <w:szCs w:val="12"/>
          <w:b w:val="1"/>
          <w:bCs w:val="1"/>
          <w:color w:val="auto"/>
        </w:rPr>
        <w:t>Resale Registration Statement</w:t>
      </w:r>
      <w:r>
        <w:rPr>
          <w:rFonts w:ascii="Times New Roman" w:cs="Times New Roman" w:eastAsia="Times New Roman" w:hAnsi="Times New Roman"/>
          <w:sz w:val="12"/>
          <w:szCs w:val="12"/>
          <w:color w:val="auto"/>
        </w:rPr>
        <w:t xml:space="preserve">”) covering the resale of all Registrable Securities. Before filing any Registration Statement, the Company shall furnish to the Investors a copy of that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Such Registration Statement shall not include any securities other than Registrable Securities without the prior written consent of the Required Investors. Subject to any SEC comments, such Registration Statement shall include the plan of distribution substantially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Such Registration Statement also shall cover, to the extent allowable under the Securities Act and the rules promulgated thereunder (including Rule 416), such indeterminate number of additional shares of Exchange Shares resulting from stock splits, stock dividends or similar transactions with respect to the Registrable Securities. The Company shall</w:t>
      </w:r>
    </w:p>
    <w:p>
      <w:pPr>
        <w:spacing w:after="0" w:line="5"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12"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consider in good faith any comments as any Investor or its counsel reasonably proposed by such Investor to such document prior to being so filed with the SEC, and (b) not file any Registration Statement or related prospectus or any amendment or supplement thereto containing information regarding any Investor to which such Investor reasonably objects or reasonably believes contains an untrue statement of a material fact or omit to state a material fact required to be stated therein or necessary to make the statements therein, in light of the circumstances under which they were made, not misleading, unless such information is required (in the opinion of the Company’s outside legal counsel) to comply with any applicable law or regulation or SEC Guidance. Each Investor shall furnish all information with respect to such Investor reasonably requested by the Company as shall be reasonably required in connection with any registration referred to in this Agreement and any Registration Statement.</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34" w:lineRule="auto"/>
        <w:tabs>
          <w:tab w:leader="none" w:pos="1515" w:val="left"/>
        </w:tabs>
        <w:numPr>
          <w:ilvl w:val="2"/>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Effectiveness</w:t>
      </w:r>
      <w:r>
        <w:rPr>
          <w:rFonts w:ascii="Times New Roman" w:cs="Times New Roman" w:eastAsia="Times New Roman" w:hAnsi="Times New Roman"/>
          <w:sz w:val="13"/>
          <w:szCs w:val="13"/>
          <w:color w:val="auto"/>
        </w:rPr>
        <w:t>. The Company shall use its reasonable best efforts to have the Resale Registration Statement and any amendment thereto declared effective by the SEC at the earliest possible date but no later than the earlier of (a) the sixtieth (60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calendar day following the earlier of (i) the initial filing date of the Resale Registration Statement and (ii) the Filing Deadline, if the SEC notifies the Company that it will “review” the Resale Registration Statement and (b)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Business Day after the date the Company is notified (orally or in writing, whichever is earlier) by the SEC that the Resale Registration Statement will not be “reviewed” or will not be subject to further review (such earlier date, the “</w:t>
      </w:r>
      <w:r>
        <w:rPr>
          <w:rFonts w:ascii="Times New Roman" w:cs="Times New Roman" w:eastAsia="Times New Roman" w:hAnsi="Times New Roman"/>
          <w:sz w:val="13"/>
          <w:szCs w:val="13"/>
          <w:b w:val="1"/>
          <w:bCs w:val="1"/>
          <w:color w:val="auto"/>
        </w:rPr>
        <w:t>Effectiveness Deadline</w:t>
      </w:r>
      <w:r>
        <w:rPr>
          <w:rFonts w:ascii="Times New Roman" w:cs="Times New Roman" w:eastAsia="Times New Roman" w:hAnsi="Times New Roman"/>
          <w:sz w:val="13"/>
          <w:szCs w:val="13"/>
          <w:color w:val="auto"/>
        </w:rPr>
        <w:t>”). The Company shall notify the Investors by e-mail as promptly as practicable, and in any event, within twenty-four (24) hours, after the Resale Registration Statement is declared effective or is supplemented and shall provide the Investors with copies of any related prospectus to be used in connection with the sale or other disposition of the securities covered thereby. The Company shall use reasonable best efforts to keep the Resale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(whether pursuant to Rule 144, the Resale Registration Statement or otherwise); and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3"/>
          <w:szCs w:val="13"/>
          <w:b w:val="1"/>
          <w:bCs w:val="1"/>
          <w:color w:val="auto"/>
        </w:rPr>
        <w:t>Registration Period</w:t>
      </w:r>
      <w:r>
        <w:rPr>
          <w:rFonts w:ascii="Times New Roman" w:cs="Times New Roman" w:eastAsia="Times New Roman" w:hAnsi="Times New Roman"/>
          <w:sz w:val="13"/>
          <w:szCs w:val="13"/>
          <w:color w:val="auto"/>
        </w:rPr>
        <w:t>”). The Resale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39"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08" w:val="left"/>
        </w:tabs>
        <w:numPr>
          <w:ilvl w:val="2"/>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Sufficient Number of Shares Registered</w:t>
      </w:r>
      <w:r>
        <w:rPr>
          <w:rFonts w:ascii="Times New Roman" w:cs="Times New Roman" w:eastAsia="Times New Roman" w:hAnsi="Times New Roman"/>
          <w:sz w:val="13"/>
          <w:szCs w:val="13"/>
          <w:color w:val="auto"/>
        </w:rPr>
        <w:t>. In the event the number of shares available under the Resale Registration Statement at any time is insufficient to cover the Registrable Securities, the Company shall, to the extent necessary and permissible, amend the Resale Registration Statement or file a new registration statement (together with any prospectuses or prospectus supplements thereunder, a “</w:t>
      </w:r>
      <w:r>
        <w:rPr>
          <w:rFonts w:ascii="Times New Roman" w:cs="Times New Roman" w:eastAsia="Times New Roman" w:hAnsi="Times New Roman"/>
          <w:sz w:val="13"/>
          <w:szCs w:val="13"/>
          <w:b w:val="1"/>
          <w:bCs w:val="1"/>
          <w:color w:val="auto"/>
        </w:rPr>
        <w:t>New Registration Statement</w:t>
      </w:r>
      <w:r>
        <w:rPr>
          <w:rFonts w:ascii="Times New Roman" w:cs="Times New Roman" w:eastAsia="Times New Roman" w:hAnsi="Times New Roman"/>
          <w:sz w:val="13"/>
          <w:szCs w:val="13"/>
          <w:color w:val="auto"/>
        </w:rPr>
        <w:t>”), so as to cover all of such Registrable Securities as soon as reasonably practicable, but in any event not later than ten (10) Business Days after the necessity therefore arises (the “</w:t>
      </w:r>
      <w:r>
        <w:rPr>
          <w:rFonts w:ascii="Times New Roman" w:cs="Times New Roman" w:eastAsia="Times New Roman" w:hAnsi="Times New Roman"/>
          <w:sz w:val="13"/>
          <w:szCs w:val="13"/>
          <w:b w:val="1"/>
          <w:bCs w:val="1"/>
          <w:color w:val="auto"/>
        </w:rPr>
        <w:t>New Registration Filing Deadline</w:t>
      </w:r>
      <w:r>
        <w:rPr>
          <w:rFonts w:ascii="Times New Roman" w:cs="Times New Roman" w:eastAsia="Times New Roman" w:hAnsi="Times New Roman"/>
          <w:sz w:val="13"/>
          <w:szCs w:val="13"/>
          <w:color w:val="auto"/>
        </w:rPr>
        <w:t>”). The Company shall use its commercially reasonable efforts to have such amendment and/or New Registration Statement become effective as soon as reasonably practicable following the filing thereof but no later than the earlier of (a) the sixtieth (60th) calendar day following the earlier of (i) the initial filing date of the New Registration Statement and (ii) the Filing Deadline, if the SEC notifies the Company that it will “review” the New Registration Statement and (b) the</w:t>
      </w:r>
    </w:p>
    <w:p>
      <w:pPr>
        <w:sectPr>
          <w:pgSz w:w="11900" w:h="16838" w:orient="portrait"/>
          <w:cols w:equalWidth="0" w:num="1">
            <w:col w:w="9019"/>
          </w:cols>
          <w:pgMar w:left="1440" w:top="229" w:right="1440" w:bottom="1440" w:gutter="0" w:footer="0" w:header="0"/>
        </w:sectPr>
      </w:pPr>
    </w:p>
    <w:bookmarkStart w:id="211" w:name="page212"/>
    <w:bookmarkEnd w:id="211"/>
    <w:p>
      <w:pPr>
        <w:ind w:left="640" w:right="8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fifth (5th)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3"/>
          <w:szCs w:val="13"/>
          <w:b w:val="1"/>
          <w:bCs w:val="1"/>
          <w:color w:val="auto"/>
        </w:rPr>
        <w:t>New Registration Effectiveness Deadline</w:t>
      </w:r>
      <w:r>
        <w:rPr>
          <w:rFonts w:ascii="Times New Roman" w:cs="Times New Roman" w:eastAsia="Times New Roman" w:hAnsi="Times New Roman"/>
          <w:sz w:val="13"/>
          <w:szCs w:val="13"/>
          <w:color w:val="auto"/>
        </w:rPr>
        <w:t xml:space="preserve">”). The provisions of </w:t>
      </w:r>
      <w:r>
        <w:rPr>
          <w:rFonts w:ascii="Times New Roman" w:cs="Times New Roman" w:eastAsia="Times New Roman" w:hAnsi="Times New Roman"/>
          <w:sz w:val="13"/>
          <w:szCs w:val="13"/>
          <w:u w:val="single" w:color="auto"/>
          <w:color w:val="auto"/>
        </w:rPr>
        <w:t>Sections 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2(b)</w:t>
      </w:r>
      <w:r>
        <w:rPr>
          <w:rFonts w:ascii="Times New Roman" w:cs="Times New Roman" w:eastAsia="Times New Roman" w:hAnsi="Times New Roman"/>
          <w:sz w:val="13"/>
          <w:szCs w:val="13"/>
          <w:color w:val="auto"/>
        </w:rPr>
        <w:t xml:space="preserve"> shall apply to the New Registration Statement, except as modified hereby.</w:t>
      </w:r>
    </w:p>
    <w:p>
      <w:pPr>
        <w:spacing w:after="0" w:line="130" w:lineRule="exact"/>
        <w:rPr>
          <w:sz w:val="20"/>
          <w:szCs w:val="20"/>
          <w:color w:val="auto"/>
        </w:rPr>
      </w:pPr>
    </w:p>
    <w:p>
      <w:pPr>
        <w:ind w:left="640" w:right="879" w:firstLine="693"/>
        <w:spacing w:after="0" w:line="271" w:lineRule="auto"/>
        <w:tabs>
          <w:tab w:leader="none" w:pos="1515" w:val="left"/>
        </w:tabs>
        <w:numPr>
          <w:ilvl w:val="1"/>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Liquidated Damages. If: (i) the Resale Registration Statement is not filed with the SEC on or prior to the Filing Deadline, (ii) the Resale Registration Statement is not declared effective by the SEC (or otherwise does not become effective) for any reason on or prior to the Effectiveness Deadline, (iii) the New Registration Statement is not filed with the SEC on or prior to the New Registration Effectiveness Deadline, or</w:t>
      </w:r>
    </w:p>
    <w:p>
      <w:pPr>
        <w:ind w:left="640" w:right="679" w:hanging="3"/>
        <w:spacing w:after="0" w:line="264" w:lineRule="auto"/>
        <w:tabs>
          <w:tab w:leader="none" w:pos="854" w:val="left"/>
        </w:tabs>
        <w:numPr>
          <w:ilvl w:val="0"/>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Registration Statement is not declared effective by the SEC (or otherwise does not become effective) for any reason on or prior to the New Registration Effectiveness Deadline (any such failure or breach in clauses (i) through (iv) above, but excluding any Allowed Delay, being referred to as an “Event,” and the date on which such Event occurs being referred to as an “Event Date”), then in addition to any other rights the Investors may have hereunder or under applicable law, on each such Event Date and on each monthly anniversary of each such Event Date (if the applicable Event shall not have been cured by such date) until the applicable Event is cured, the Company shall pay to each Investor an amount in cash, as liquidated damages and not as a penalty (“</w:t>
      </w:r>
      <w:r>
        <w:rPr>
          <w:rFonts w:ascii="Times New Roman" w:cs="Times New Roman" w:eastAsia="Times New Roman" w:hAnsi="Times New Roman"/>
          <w:sz w:val="12"/>
          <w:szCs w:val="12"/>
          <w:b w:val="1"/>
          <w:bCs w:val="1"/>
          <w:color w:val="auto"/>
        </w:rPr>
        <w:t>Liquidated Damages</w:t>
      </w:r>
      <w:r>
        <w:rPr>
          <w:rFonts w:ascii="Times New Roman" w:cs="Times New Roman" w:eastAsia="Times New Roman" w:hAnsi="Times New Roman"/>
          <w:sz w:val="12"/>
          <w:szCs w:val="12"/>
          <w:color w:val="auto"/>
        </w:rPr>
        <w:t>”), equal to 1.0% of the aggregate purchase price paid by such Investor pursuant to the Purchase Agreement for any Registrable Securities held by such Investor on the Event Date; provided that the parties agree that the maximum aggregate Liquidated Damages payable to an Investor of Registrable Securities under this Agreement shall be 5.0% of the aggregate purchase price paid by such Investor pursuant to the Purchase Agreement for the Registrable Securities then held by such Investor. The parties agree that notwithstanding anything to the contrary herein or in the Purchase Agreement, no Liquidated Damages shall be payable (i) if as of the relevant Event Date, the Registrable Securities may be sold by the Investor without volume or manner of sale restrictions under Rule 144, as determined by counsel to the Company pursuant to a written opinion letter to such effect, addressed and reasonably acceptable to the Investor and the Company’s transfer agent, (ii) to an Investor causing an Event that relates to or is caused by any action or inaction taken by such Investor, (iii) to an Investor in the event it is unable to lawfully sell any of its Registrable Securities because of possession of material non-public information or (iv) with respect to any period after the expiration of the Registration Period (it being understood that this clause shall not relieve the Company of any Liquidated Damages accruing prior to the expiration of the Registration Period). If the Company fails to pay any Liquidated Damages pursuant to this Section 2(d) in full within twenty (20) Business Days after the date payable, the Company will pay interest on the amount of Liquidated Damages then owing to the Investor at a rate of 0.5% per month on an annualized basis (or such lesser maximum amount that is permitted to be paid by applicable law) to the Investor, accruing daily from the date such Liquidated Damages are due until such amounts, plus all such interest thereon, are paid in full. The Company shall not be liable for Liquidated Damages under this Agreement as to any Registrable Securities which are not permitted by the SEC to be included in a Registration Statement due solely to SEC Guidance from the time that it is determined that such Registrable Securities are not permitted to be registered until such time as the provisions of this Agreement as to the other Registration Statements required to be filed hereunder are triggered, in which case the provisions of this Section 2(d) shall once again apply, if applicable. In such case, the Liquidated Damages shall be calculated to only apply to the percentage of Registrable Securities which are permitted in accordance with SEC Guidance to be included in such Registration Statement. The Liquidated Damages pursuant to the terms hereof shall apply on a daily pro rata basis for any portion of a month prior to the cure of an Event, except in the case of the first Event Date. With respect to a Holder, the Effectiveness Deadline or New Registration Effectiveness Deadline, as applicable, shall be extended without default or Liquidated Damages hereunder in the event that the Company’s failure to obtain the effectiveness of the Registration Statement on a timely basis results from the failure of such Investor to timely provide the Company with information requested by the Company and necessary to complete the Registration Statement in accordance with the requirements of the Securities Act (in which case the Effectiveness Deadline or New Registration Effectiveness Deadline, as applicable, would be extended with respect to Registrable Securities held by such Investor).</w:t>
      </w:r>
    </w:p>
    <w:p>
      <w:pPr>
        <w:spacing w:after="0" w:line="285" w:lineRule="exact"/>
        <w:rPr>
          <w:rFonts w:ascii="Times New Roman" w:cs="Times New Roman" w:eastAsia="Times New Roman" w:hAnsi="Times New Roman"/>
          <w:sz w:val="12"/>
          <w:szCs w:val="12"/>
          <w:color w:val="auto"/>
        </w:rPr>
      </w:pPr>
    </w:p>
    <w:p>
      <w:pPr>
        <w:ind w:left="640" w:right="719" w:firstLine="693"/>
        <w:spacing w:after="0" w:line="248" w:lineRule="auto"/>
        <w:tabs>
          <w:tab w:leader="none" w:pos="1508"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Allowable Delays</w:t>
      </w:r>
      <w:r>
        <w:rPr>
          <w:rFonts w:ascii="Times New Roman" w:cs="Times New Roman" w:eastAsia="Times New Roman" w:hAnsi="Times New Roman"/>
          <w:sz w:val="13"/>
          <w:szCs w:val="13"/>
          <w:color w:val="auto"/>
        </w:rPr>
        <w:t>. On no more than two (2) occasions in any twelve (12)-month period for not more than thirty (30) consecutive days or for a total of not more than sixty (60) days, the Company may delay the effectiveness of the Resale Registration Statement or any other Registration Statement, or suspend the use of any prospectus included in any Registration Statement, in the event that the Company’s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such as a proposed merger, reorganization or similar</w:t>
      </w:r>
    </w:p>
    <w:p>
      <w:pPr>
        <w:sectPr>
          <w:pgSz w:w="11900" w:h="16838" w:orient="portrait"/>
          <w:cols w:equalWidth="0" w:num="1">
            <w:col w:w="9019"/>
          </w:cols>
          <w:pgMar w:left="1440" w:top="231" w:right="1440" w:bottom="1440" w:gutter="0" w:footer="0" w:header="0"/>
        </w:sectPr>
      </w:pPr>
    </w:p>
    <w:bookmarkStart w:id="212" w:name="page213"/>
    <w:bookmarkEnd w:id="212"/>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Company’s Board of Directors, upon advice of legal counsel, to cause a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3"/>
          <w:szCs w:val="13"/>
          <w:b w:val="1"/>
          <w:bCs w:val="1"/>
          <w:color w:val="auto"/>
        </w:rPr>
        <w:t>Allowed Delay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Company shall promptly (a) notify each Investor in writing of the commencement of an Allowed Delay, but shall not (without the prior written consent of an Investor) disclose to such Investor any material non-public information giving rise to an Allowed Delay and such notice shall specify that an Allowed Delay has commenced and that sales pursuant to a Registration Statement must cease, and the Company shall provide a written notice within twenty-four (24) hours after the termination of the Allowed Delay confirming the sales may be resumed;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cs="Times New Roman" w:eastAsia="Times New Roman" w:hAnsi="Times New Roman"/>
          <w:sz w:val="13"/>
          <w:szCs w:val="13"/>
          <w:b w:val="1"/>
          <w:bCs w:val="1"/>
          <w:color w:val="auto"/>
        </w:rPr>
        <w:t>Opt-Out Notice</w:t>
      </w:r>
      <w:r>
        <w:rPr>
          <w:rFonts w:ascii="Times New Roman" w:cs="Times New Roman" w:eastAsia="Times New Roman" w:hAnsi="Times New Roman"/>
          <w:sz w:val="13"/>
          <w:szCs w:val="13"/>
          <w:color w:val="auto"/>
        </w:rPr>
        <w:t xml:space="preserve">”) to the Company requesting that such Investor not receive notices from the Company otherwise required by this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xml:space="preserve"> to such Investor and such Investor shall no longer be entitled to the rights associated with any such notice (for the avoidance of doubt, without limitation to the Company’s obligation to deliver any notice described in Section 3(e)(iii) hereof).</w:t>
      </w:r>
    </w:p>
    <w:p>
      <w:pPr>
        <w:spacing w:after="0" w:line="146" w:lineRule="exact"/>
        <w:rPr>
          <w:sz w:val="20"/>
          <w:szCs w:val="20"/>
          <w:color w:val="auto"/>
        </w:rPr>
      </w:pPr>
    </w:p>
    <w:p>
      <w:pPr>
        <w:ind w:left="640" w:right="659" w:firstLine="307"/>
        <w:spacing w:after="0" w:line="266" w:lineRule="auto"/>
        <w:tabs>
          <w:tab w:leader="none" w:pos="1107"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Rule 415; Cutback</w:t>
      </w:r>
      <w:r>
        <w:rPr>
          <w:rFonts w:ascii="Times New Roman" w:cs="Times New Roman" w:eastAsia="Times New Roman" w:hAnsi="Times New Roman"/>
          <w:sz w:val="12"/>
          <w:szCs w:val="12"/>
          <w:color w:val="auto"/>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cs="Times New Roman" w:eastAsia="Times New Roman" w:hAnsi="Times New Roman"/>
          <w:sz w:val="12"/>
          <w:szCs w:val="12"/>
          <w:u w:val="single" w:color="auto"/>
          <w:color w:val="auto"/>
        </w:rPr>
        <w:t>Section 2(e)</w:t>
      </w:r>
      <w:r>
        <w:rPr>
          <w:rFonts w:ascii="Times New Roman" w:cs="Times New Roman" w:eastAsia="Times New Roman" w:hAnsi="Times New Roman"/>
          <w:sz w:val="12"/>
          <w:szCs w:val="12"/>
          <w:color w:val="auto"/>
        </w:rPr>
        <w:t xml:space="preserve">, including to comment on any written submission made to the SEC with respect thereto. In the event that, despite the Company’s reasonable best efforts and compliance with the terms of this </w:t>
      </w:r>
      <w:r>
        <w:rPr>
          <w:rFonts w:ascii="Times New Roman" w:cs="Times New Roman" w:eastAsia="Times New Roman" w:hAnsi="Times New Roman"/>
          <w:sz w:val="12"/>
          <w:szCs w:val="12"/>
          <w:u w:val="single" w:color="auto"/>
          <w:color w:val="auto"/>
        </w:rPr>
        <w:t>Section 2(e)</w:t>
      </w:r>
      <w:r>
        <w:rPr>
          <w:rFonts w:ascii="Times New Roman" w:cs="Times New Roman" w:eastAsia="Times New Roman" w:hAnsi="Times New Roman"/>
          <w:sz w:val="12"/>
          <w:szCs w:val="12"/>
          <w:color w:val="auto"/>
        </w:rPr>
        <w:t>, the SEC refuses to alter its position, the Company shall (A) remove from such Registration Statement such portion of the Registrable Securities and/or (B)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2"/>
          <w:szCs w:val="12"/>
          <w:b w:val="1"/>
          <w:bCs w:val="1"/>
          <w:color w:val="auto"/>
        </w:rPr>
        <w:t>SEC Restrictions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shall not name any Investor as an “underwriter” in such Registration Statement without the prior written consent of such Investor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2"/>
          <w:szCs w:val="12"/>
          <w:u w:val="single" w:color="auto"/>
          <w:color w:val="auto"/>
        </w:rPr>
        <w:t>Section 2(e)</w:t>
      </w:r>
      <w:r>
        <w:rPr>
          <w:rFonts w:ascii="Times New Roman" w:cs="Times New Roman" w:eastAsia="Times New Roman" w:hAnsi="Times New Roman"/>
          <w:sz w:val="12"/>
          <w:szCs w:val="12"/>
          <w:color w:val="auto"/>
        </w:rPr>
        <w:t xml:space="preserve">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 otherwise, or an Investor otherwise agrees.</w:t>
      </w:r>
    </w:p>
    <w:p>
      <w:pPr>
        <w:spacing w:after="0" w:line="280" w:lineRule="exact"/>
        <w:rPr>
          <w:rFonts w:ascii="Times New Roman" w:cs="Times New Roman" w:eastAsia="Times New Roman" w:hAnsi="Times New Roman"/>
          <w:sz w:val="12"/>
          <w:szCs w:val="12"/>
          <w:color w:val="auto"/>
        </w:rPr>
      </w:pPr>
    </w:p>
    <w:p>
      <w:pPr>
        <w:ind w:left="640" w:right="659" w:firstLine="693"/>
        <w:spacing w:after="0" w:line="248" w:lineRule="auto"/>
        <w:tabs>
          <w:tab w:leader="none" w:pos="1515" w:val="left"/>
        </w:tabs>
        <w:numPr>
          <w:ilvl w:val="1"/>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cs="Times New Roman" w:eastAsia="Times New Roman" w:hAnsi="Times New Roman"/>
          <w:sz w:val="13"/>
          <w:szCs w:val="13"/>
          <w:u w:val="single" w:color="auto"/>
          <w:color w:val="auto"/>
        </w:rPr>
        <w:t>Section 2(f</w:t>
      </w:r>
      <w:r>
        <w:rPr>
          <w:rFonts w:ascii="Times New Roman" w:cs="Times New Roman" w:eastAsia="Times New Roman" w:hAnsi="Times New Roman"/>
          <w:sz w:val="13"/>
          <w:szCs w:val="13"/>
          <w:color w:val="auto"/>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maintain the effectiveness of the Registration Statement then in effect until such time as a Registration Statement on Form S-3 covering the Registrable Securities has been declared effective by the SEC.</w:t>
      </w:r>
    </w:p>
    <w:p>
      <w:pPr>
        <w:sectPr>
          <w:pgSz w:w="11900" w:h="16838" w:orient="portrait"/>
          <w:cols w:equalWidth="0" w:num="1">
            <w:col w:w="9019"/>
          </w:cols>
          <w:pgMar w:left="1440" w:top="231" w:right="1440" w:bottom="1440" w:gutter="0" w:footer="0" w:header="0"/>
        </w:sectPr>
      </w:pPr>
    </w:p>
    <w:bookmarkStart w:id="213" w:name="page214"/>
    <w:bookmarkEnd w:id="213"/>
    <w:p>
      <w:pPr>
        <w:ind w:left="640" w:right="659" w:firstLine="693"/>
        <w:spacing w:after="0" w:line="268" w:lineRule="auto"/>
        <w:tabs>
          <w:tab w:leader="none" w:pos="1515"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shall not file any registration statement with the SEC (other than the Resale Registration Statement, any New Registration Statement, a registration statement on Form S-8 relating to employee benefit plans in existence on the date hereof, or amendments to registration statements filed prior to the date hereof so long as no new securities are registered on such existing registration statements) until the earlier of (A) the date on which the Resale Registration Statement covering all Registrable Securities has been declared effective by the SEC and (B) the date on which all Registrable Securities may be resold without restriction pursuant to Rule 144 without volume or manner-of-sale limitations and without the current public information requirement. Without the prior written consent of the Required Investors, the Company shall not include any securities other than Registrable Securities in the Resale Registration Statement or any New Registration Statement. The Company shall not grant registration rights to any other Person that would require the inclusion of such Person’s securities in the Resale Registration Statement or any New Registration Statement without the prior written consent of the Required Investors. Notwithstanding anything to the contrary herein, the restrictions in this Section 2(g) shall not apply to (A) any registration statement required to be filed by the Company in connection with the Mergers, (B) any registration statement filed on Form S-8 in connection with employee compensation plans, or (C) any post-effective amendment to a registration statement filed prior to the date hereof.</w:t>
      </w:r>
    </w:p>
    <w:p>
      <w:pPr>
        <w:spacing w:after="0" w:line="122" w:lineRule="exact"/>
        <w:rPr>
          <w:rFonts w:ascii="Times New Roman" w:cs="Times New Roman" w:eastAsia="Times New Roman" w:hAnsi="Times New Roman"/>
          <w:sz w:val="12"/>
          <w:szCs w:val="12"/>
          <w:color w:val="auto"/>
        </w:rPr>
      </w:pPr>
    </w:p>
    <w:p>
      <w:pPr>
        <w:ind w:left="1080" w:hanging="133"/>
        <w:spacing w:after="0"/>
        <w:tabs>
          <w:tab w:leader="none" w:pos="1080" w:val="left"/>
        </w:tabs>
        <w:numPr>
          <w:ilvl w:val="0"/>
          <w:numId w:val="2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 COMPANY OBLIGATIONS.</w:t>
      </w:r>
    </w:p>
    <w:p>
      <w:pPr>
        <w:spacing w:after="0" w:line="156"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With respect to any Registration Statement and whenever any Registrable Securities are to be Registered pursuant to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including on the Resale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57" w:lineRule="exact"/>
        <w:rPr>
          <w:sz w:val="20"/>
          <w:szCs w:val="20"/>
          <w:color w:val="auto"/>
        </w:rPr>
      </w:pPr>
    </w:p>
    <w:p>
      <w:pPr>
        <w:ind w:left="640" w:right="679" w:firstLine="693"/>
        <w:spacing w:after="0" w:line="249" w:lineRule="auto"/>
        <w:tabs>
          <w:tab w:leader="none" w:pos="1508"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Notifications</w:t>
      </w:r>
      <w:r>
        <w:rPr>
          <w:rFonts w:ascii="Times New Roman" w:cs="Times New Roman" w:eastAsia="Times New Roman" w:hAnsi="Times New Roman"/>
          <w:sz w:val="13"/>
          <w:szCs w:val="13"/>
          <w:color w:val="auto"/>
        </w:rPr>
        <w:t>. The Company will promptly notify the Investors of the time when any subsequent amendment to the Resale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Investors.</w:t>
      </w:r>
    </w:p>
    <w:p>
      <w:pPr>
        <w:spacing w:after="0" w:line="134" w:lineRule="exact"/>
        <w:rPr>
          <w:rFonts w:ascii="Times New Roman" w:cs="Times New Roman" w:eastAsia="Times New Roman" w:hAnsi="Times New Roman"/>
          <w:sz w:val="13"/>
          <w:szCs w:val="13"/>
          <w:color w:val="auto"/>
        </w:rPr>
      </w:pPr>
    </w:p>
    <w:p>
      <w:pPr>
        <w:ind w:left="640" w:right="759" w:firstLine="693"/>
        <w:spacing w:after="0" w:line="248" w:lineRule="auto"/>
        <w:tabs>
          <w:tab w:leader="none" w:pos="1515"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Amendments</w:t>
      </w:r>
      <w:r>
        <w:rPr>
          <w:rFonts w:ascii="Times New Roman" w:cs="Times New Roman" w:eastAsia="Times New Roman" w:hAnsi="Times New Roman"/>
          <w:sz w:val="13"/>
          <w:szCs w:val="13"/>
          <w:color w:val="auto"/>
        </w:rPr>
        <w:t>. The Company will prepare and file with the SEC any amendments, post-effective amendments or supplements to the Resale Registration Statement, any New Registration Statement or any related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508"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Review</w:t>
      </w:r>
      <w:r>
        <w:rPr>
          <w:rFonts w:ascii="Times New Roman" w:cs="Times New Roman" w:eastAsia="Times New Roman" w:hAnsi="Times New Roman"/>
          <w:sz w:val="13"/>
          <w:szCs w:val="13"/>
          <w:color w:val="auto"/>
        </w:rPr>
        <w:t>.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70" w:lineRule="auto"/>
        <w:tabs>
          <w:tab w:leader="none" w:pos="1515"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Copies Available</w:t>
      </w:r>
      <w:r>
        <w:rPr>
          <w:rFonts w:ascii="Times New Roman" w:cs="Times New Roman" w:eastAsia="Times New Roman" w:hAnsi="Times New Roman"/>
          <w:sz w:val="12"/>
          <w:szCs w:val="12"/>
          <w:color w:val="auto"/>
        </w:rPr>
        <w:t>. The Company will furnish to any Investor whose Registrable Securities are included in any Registration Statement and its counsel copies of the Resale Registration Statement, any prospectus thereunder (including all documents incorporated by reference therein), any prospectus supplement thereunder, any New Registration Statement and all amendments to the Resale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w:t>
      </w:r>
    </w:p>
    <w:p>
      <w:pPr>
        <w:sectPr>
          <w:pgSz w:w="11900" w:h="16838" w:orient="portrait"/>
          <w:cols w:equalWidth="0" w:num="1">
            <w:col w:w="9019"/>
          </w:cols>
          <w:pgMar w:left="1440" w:top="231" w:right="1440" w:bottom="1440" w:gutter="0" w:footer="0" w:header="0"/>
        </w:sectPr>
      </w:pPr>
    </w:p>
    <w:bookmarkStart w:id="214" w:name="page215"/>
    <w:bookmarkEnd w:id="214"/>
    <w:p>
      <w:pPr>
        <w:ind w:left="6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are covered by such Registration Statement, in each case as soon as reasonably practicable upon such Investor’s request and in such quantities as such Investor may from time to time reasonably request;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Company shall not be required to furnish any document to such Investor to the extent such document is available on the SEC’s Electronic Data Gathering, Analysis, and Retrieval system.</w:t>
      </w:r>
    </w:p>
    <w:p>
      <w:pPr>
        <w:spacing w:after="0" w:line="130" w:lineRule="exact"/>
        <w:rPr>
          <w:sz w:val="20"/>
          <w:szCs w:val="20"/>
          <w:color w:val="auto"/>
        </w:rPr>
      </w:pPr>
    </w:p>
    <w:p>
      <w:pPr>
        <w:jc w:val="both"/>
        <w:ind w:left="640" w:right="759" w:firstLine="693"/>
        <w:spacing w:after="0" w:line="271" w:lineRule="auto"/>
        <w:tabs>
          <w:tab w:leader="none" w:pos="1508"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Notification of Stop Orders; Material Changes</w:t>
      </w:r>
      <w:r>
        <w:rPr>
          <w:rFonts w:ascii="Times New Roman" w:cs="Times New Roman" w:eastAsia="Times New Roman" w:hAnsi="Times New Roman"/>
          <w:sz w:val="12"/>
          <w:szCs w:val="12"/>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twenty-four (24) hours) and shall confirm such advice in writing, in each case:</w:t>
      </w:r>
    </w:p>
    <w:p>
      <w:pPr>
        <w:ind w:left="640" w:right="679" w:hanging="3"/>
        <w:spacing w:after="0" w:line="264" w:lineRule="auto"/>
        <w:tabs>
          <w:tab w:leader="none" w:pos="791"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Resale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(i) through (iii) of the immediately preceding sentence (each, a “</w:t>
      </w:r>
      <w:r>
        <w:rPr>
          <w:rFonts w:ascii="Times New Roman" w:cs="Times New Roman" w:eastAsia="Times New Roman" w:hAnsi="Times New Roman"/>
          <w:sz w:val="12"/>
          <w:szCs w:val="12"/>
          <w:b w:val="1"/>
          <w:bCs w:val="1"/>
          <w:color w:val="auto"/>
        </w:rPr>
        <w:t>Suspension Event</w:t>
      </w:r>
      <w:r>
        <w:rPr>
          <w:rFonts w:ascii="Times New Roman" w:cs="Times New Roman" w:eastAsia="Times New Roman" w:hAnsi="Times New Roman"/>
          <w:sz w:val="12"/>
          <w:szCs w:val="12"/>
          <w:color w:val="auto"/>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Resale Registration Statement, any New Registration Statement or any prospectus, or prospectus supplement as the case may be. In the event of a Suspension Event set forth in clause (iii) of the second sentence of this </w:t>
      </w:r>
      <w:r>
        <w:rPr>
          <w:rFonts w:ascii="Times New Roman" w:cs="Times New Roman" w:eastAsia="Times New Roman" w:hAnsi="Times New Roman"/>
          <w:sz w:val="12"/>
          <w:szCs w:val="12"/>
          <w:u w:val="single" w:color="auto"/>
          <w:color w:val="auto"/>
        </w:rPr>
        <w:t>Section 3(e)</w:t>
      </w:r>
      <w:r>
        <w:rPr>
          <w:rFonts w:ascii="Times New Roman" w:cs="Times New Roman" w:eastAsia="Times New Roman" w:hAnsi="Times New Roman"/>
          <w:sz w:val="12"/>
          <w:szCs w:val="12"/>
          <w:color w:val="auto"/>
        </w:rPr>
        <w:t xml:space="preserv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sixty (60) consecutive days;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Company may not suspend the use of all Registration Statements more than twice, or for more than ninety (90) total days, in each case during any twelve (12) -month period. The Company shall not provide any specific information regarding the Suspension Event unless requested by the Investor, which in any event shall not include any material non-public information unless such specific information constitutes material non-public information.</w:t>
      </w:r>
    </w:p>
    <w:p>
      <w:pPr>
        <w:spacing w:after="0" w:line="286" w:lineRule="exact"/>
        <w:rPr>
          <w:rFonts w:ascii="Times New Roman" w:cs="Times New Roman" w:eastAsia="Times New Roman" w:hAnsi="Times New Roman"/>
          <w:sz w:val="12"/>
          <w:szCs w:val="12"/>
          <w:color w:val="auto"/>
        </w:rPr>
      </w:pPr>
    </w:p>
    <w:p>
      <w:pPr>
        <w:ind w:left="640" w:right="679" w:firstLine="693"/>
        <w:spacing w:after="0" w:line="251" w:lineRule="auto"/>
        <w:tabs>
          <w:tab w:leader="none" w:pos="1494" w:val="left"/>
        </w:tabs>
        <w:numPr>
          <w:ilvl w:val="1"/>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Confirmation of Effectiveness</w:t>
      </w:r>
      <w:r>
        <w:rPr>
          <w:rFonts w:ascii="Times New Roman" w:cs="Times New Roman" w:eastAsia="Times New Roman" w:hAnsi="Times New Roman"/>
          <w:sz w:val="13"/>
          <w:szCs w:val="13"/>
          <w:color w:val="auto"/>
        </w:rPr>
        <w:t>. If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32" w:lineRule="exact"/>
        <w:rPr>
          <w:rFonts w:ascii="Times New Roman" w:cs="Times New Roman" w:eastAsia="Times New Roman" w:hAnsi="Times New Roman"/>
          <w:sz w:val="13"/>
          <w:szCs w:val="13"/>
          <w:color w:val="auto"/>
        </w:rPr>
      </w:pPr>
    </w:p>
    <w:p>
      <w:pPr>
        <w:ind w:left="640" w:right="859" w:firstLine="693"/>
        <w:spacing w:after="0" w:line="309" w:lineRule="auto"/>
        <w:tabs>
          <w:tab w:leader="none" w:pos="1515" w:val="left"/>
        </w:tabs>
        <w:numPr>
          <w:ilvl w:val="1"/>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Listing</w:t>
      </w:r>
      <w:r>
        <w:rPr>
          <w:rFonts w:ascii="Times New Roman" w:cs="Times New Roman" w:eastAsia="Times New Roman" w:hAnsi="Times New Roman"/>
          <w:sz w:val="12"/>
          <w:szCs w:val="12"/>
          <w:color w:val="auto"/>
        </w:rPr>
        <w:t>. The Company shall use reasonable best efforts to cause all Registrable Securities covered by a Registration Statement to be listed and to maintain such listing on the Nasdaq Capital Market or any other National Exchange upon which the Registrable Securities are listed.</w:t>
      </w:r>
    </w:p>
    <w:p>
      <w:pPr>
        <w:sectPr>
          <w:pgSz w:w="11900" w:h="16838" w:orient="portrait"/>
          <w:cols w:equalWidth="0" w:num="1">
            <w:col w:w="9019"/>
          </w:cols>
          <w:pgMar w:left="1440" w:top="231" w:right="1440" w:bottom="1440" w:gutter="0" w:footer="0" w:header="0"/>
        </w:sectPr>
      </w:pPr>
    </w:p>
    <w:bookmarkStart w:id="215" w:name="page216"/>
    <w:bookmarkEnd w:id="215"/>
    <w:p>
      <w:pPr>
        <w:ind w:left="640" w:right="699" w:firstLine="693"/>
        <w:spacing w:after="0" w:line="234" w:lineRule="auto"/>
        <w:tabs>
          <w:tab w:leader="none" w:pos="1515" w:val="left"/>
        </w:tabs>
        <w:numPr>
          <w:ilvl w:val="1"/>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Compliance</w:t>
      </w:r>
      <w:r>
        <w:rPr>
          <w:rFonts w:ascii="Times New Roman" w:cs="Times New Roman" w:eastAsia="Times New Roman" w:hAnsi="Times New Roman"/>
          <w:sz w:val="13"/>
          <w:szCs w:val="13"/>
          <w:color w:val="auto"/>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Investors in writing if, at any time during the Registration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3"/>
          <w:szCs w:val="13"/>
          <w:u w:val="single" w:color="auto"/>
          <w:color w:val="auto"/>
        </w:rPr>
        <w:t>Section 3(h)</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Availability Date</w:t>
      </w:r>
      <w:r>
        <w:rPr>
          <w:rFonts w:ascii="Times New Roman" w:cs="Times New Roman" w:eastAsia="Times New Roman" w:hAnsi="Times New Roman"/>
          <w:sz w:val="13"/>
          <w:szCs w:val="13"/>
          <w:color w:val="auto"/>
        </w:rPr>
        <w:t>” means the forty-fifth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following the end of the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 that includes the effective date of such Registration Statement, except that, if such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 is the last quarter of the Company’s fiscal year, “Availability Date” means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after the end of such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w:t>
      </w:r>
    </w:p>
    <w:p>
      <w:pPr>
        <w:spacing w:after="0" w:line="5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487" w:val="left"/>
        </w:tabs>
        <w:numPr>
          <w:ilvl w:val="1"/>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Blue-Sky</w:t>
      </w:r>
      <w:r>
        <w:rPr>
          <w:rFonts w:ascii="Times New Roman" w:cs="Times New Roman" w:eastAsia="Times New Roman" w:hAnsi="Times New Roman"/>
          <w:sz w:val="13"/>
          <w:szCs w:val="13"/>
          <w:color w:val="auto"/>
        </w:rPr>
        <w:t xml:space="preserve">. The Company shall use commercially reasonable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3"/>
          <w:szCs w:val="13"/>
          <w:u w:val="single" w:color="auto"/>
          <w:color w:val="auto"/>
        </w:rPr>
        <w:t>Section 3(i)</w:t>
      </w:r>
      <w:r>
        <w:rPr>
          <w:rFonts w:ascii="Times New Roman" w:cs="Times New Roman" w:eastAsia="Times New Roman" w:hAnsi="Times New Roman"/>
          <w:sz w:val="13"/>
          <w:szCs w:val="13"/>
          <w:color w:val="auto"/>
        </w:rPr>
        <w:t xml:space="preserve">, (ii) subject itself to general taxation in any jurisdiction where it would not otherwise be so subject but for this </w:t>
      </w:r>
      <w:r>
        <w:rPr>
          <w:rFonts w:ascii="Times New Roman" w:cs="Times New Roman" w:eastAsia="Times New Roman" w:hAnsi="Times New Roman"/>
          <w:sz w:val="13"/>
          <w:szCs w:val="13"/>
          <w:u w:val="single" w:color="auto"/>
          <w:color w:val="auto"/>
        </w:rPr>
        <w:t>Section 3(i)</w:t>
      </w:r>
      <w:r>
        <w:rPr>
          <w:rFonts w:ascii="Times New Roman" w:cs="Times New Roman" w:eastAsia="Times New Roman" w:hAnsi="Times New Roman"/>
          <w:sz w:val="13"/>
          <w:szCs w:val="13"/>
          <w:color w:val="auto"/>
        </w:rPr>
        <w:t>, or (iii) file a general consent to service of process in any such jurisdiction.</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66" w:lineRule="auto"/>
        <w:tabs>
          <w:tab w:leader="none" w:pos="1487"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Rule 144</w:t>
      </w:r>
      <w:r>
        <w:rPr>
          <w:rFonts w:ascii="Times New Roman" w:cs="Times New Roman" w:eastAsia="Times New Roman" w:hAnsi="Times New Roman"/>
          <w:sz w:val="12"/>
          <w:szCs w:val="12"/>
          <w:color w:val="auto"/>
        </w:rPr>
        <w:t>. With a view to making available to the Investors the benefits of Rule 144 (or its successor rule) and any other rule or regulation of the SEC that may at any time permit the Investors to sell Registrable Securities to the public without registration, the Company covenants and agrees to use commercially reasonable efforts to, for so long as any Registrable Securities are outstanding, (i) make and keep adequate current public information available, as those terms are understood and defined in Rule 144, until the date as all of the Registrable Securities may be sold without restriction by the holders thereof pursuant to Rule 144 or any other rule of similar effect (without the requirement for the Company to be in compliance with any current public information requirements), (ii) maintain the registration of the Exchange Shares under Section 12(b) or 12(g) of the Exchange Act and file with the SEC in a timely manner all reports and other documents required of the Company under the Exchange Act; and</w:t>
      </w:r>
    </w:p>
    <w:p>
      <w:pPr>
        <w:spacing w:after="0" w:line="3" w:lineRule="exact"/>
        <w:rPr>
          <w:rFonts w:ascii="Times New Roman" w:cs="Times New Roman" w:eastAsia="Times New Roman" w:hAnsi="Times New Roman"/>
          <w:sz w:val="12"/>
          <w:szCs w:val="12"/>
          <w:color w:val="auto"/>
        </w:rPr>
      </w:pPr>
    </w:p>
    <w:p>
      <w:pPr>
        <w:ind w:left="640" w:right="739" w:hanging="3"/>
        <w:spacing w:after="0" w:line="268" w:lineRule="auto"/>
        <w:tabs>
          <w:tab w:leader="none" w:pos="861"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The Company shall use its reasonable best efforts to facilitate and expedite transfers of Registrable Securities pursuant to Rule 144, which efforts shall include timely notice to its transfer agent to expedite such transfers of Registrable Securities and delivery of any opinions requested by the transfer agent.</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9" w:lineRule="auto"/>
        <w:tabs>
          <w:tab w:leader="none" w:pos="1515" w:val="left"/>
        </w:tabs>
        <w:numPr>
          <w:ilvl w:val="1"/>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w:t>
      </w:r>
    </w:p>
    <w:p>
      <w:pPr>
        <w:spacing w:after="0" w:line="134" w:lineRule="exact"/>
        <w:rPr>
          <w:rFonts w:ascii="Times New Roman" w:cs="Times New Roman" w:eastAsia="Times New Roman" w:hAnsi="Times New Roman"/>
          <w:sz w:val="13"/>
          <w:szCs w:val="13"/>
          <w:color w:val="auto"/>
        </w:rPr>
      </w:pPr>
    </w:p>
    <w:p>
      <w:pPr>
        <w:ind w:left="640" w:right="899" w:firstLine="693"/>
        <w:spacing w:after="0" w:line="286" w:lineRule="auto"/>
        <w:tabs>
          <w:tab w:leader="none" w:pos="1487" w:val="left"/>
        </w:tabs>
        <w:numPr>
          <w:ilvl w:val="1"/>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Removal of Restrictive Legends</w:t>
      </w:r>
      <w:r>
        <w:rPr>
          <w:rFonts w:ascii="Times New Roman" w:cs="Times New Roman" w:eastAsia="Times New Roman" w:hAnsi="Times New Roman"/>
          <w:sz w:val="12"/>
          <w:szCs w:val="12"/>
          <w:color w:val="auto"/>
        </w:rPr>
        <w:t>. Without limiting Section 5.5 of the Purchase Agreement, the Company shall use reasonable best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sectPr>
          <w:pgSz w:w="11900" w:h="16838" w:orient="portrait"/>
          <w:cols w:equalWidth="0" w:num="1">
            <w:col w:w="9019"/>
          </w:cols>
          <w:pgMar w:left="1440" w:top="231" w:right="1440" w:bottom="1440" w:gutter="0" w:footer="0" w:header="0"/>
        </w:sectPr>
      </w:pPr>
    </w:p>
    <w:bookmarkStart w:id="216" w:name="page217"/>
    <w:bookmarkEnd w:id="216"/>
    <w:p>
      <w:pPr>
        <w:ind w:left="1080" w:hanging="133"/>
        <w:spacing w:after="0"/>
        <w:tabs>
          <w:tab w:leader="none" w:pos="1080" w:val="left"/>
        </w:tabs>
        <w:numPr>
          <w:ilvl w:val="0"/>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OBLIGATIONS OF THE INVESTORS.</w:t>
      </w:r>
    </w:p>
    <w:p>
      <w:pPr>
        <w:spacing w:after="0" w:line="155" w:lineRule="exact"/>
        <w:rPr>
          <w:rFonts w:ascii="Times New Roman" w:cs="Times New Roman" w:eastAsia="Times New Roman" w:hAnsi="Times New Roman"/>
          <w:sz w:val="13"/>
          <w:szCs w:val="13"/>
          <w:b w:val="1"/>
          <w:bCs w:val="1"/>
          <w:color w:val="auto"/>
        </w:rPr>
      </w:pPr>
    </w:p>
    <w:p>
      <w:pPr>
        <w:ind w:left="640" w:right="659" w:firstLine="693"/>
        <w:spacing w:after="0" w:line="229" w:lineRule="auto"/>
        <w:tabs>
          <w:tab w:leader="none" w:pos="1508"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Information</w:t>
      </w:r>
      <w:r>
        <w:rPr>
          <w:rFonts w:ascii="Times New Roman" w:cs="Times New Roman" w:eastAsia="Times New Roman" w:hAnsi="Times New Roman"/>
          <w:sz w:val="13"/>
          <w:szCs w:val="13"/>
          <w:color w:val="auto"/>
        </w:rPr>
        <w:t xml:space="preserve">. Each Investor shall provide a completed Investor Questionnaire in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and such other information reasonably requested by the Company in connection with the registration of the Registrable Securities within three (3) Business Days of request by the Company and no later than the end of the third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3"/>
          <w:szCs w:val="13"/>
          <w:color w:val="auto"/>
        </w:rPr>
        <w:t xml:space="preserve">) Business Day following the date on which such Investor receives draft materials in accordance with </w:t>
      </w:r>
      <w:r>
        <w:rPr>
          <w:rFonts w:ascii="Times New Roman" w:cs="Times New Roman" w:eastAsia="Times New Roman" w:hAnsi="Times New Roman"/>
          <w:sz w:val="13"/>
          <w:szCs w:val="13"/>
          <w:u w:val="single" w:color="auto"/>
          <w:color w:val="auto"/>
        </w:rPr>
        <w:t>Section 2(a)</w:t>
      </w:r>
      <w:r>
        <w:rPr>
          <w:rFonts w:ascii="Times New Roman" w:cs="Times New Roman" w:eastAsia="Times New Roman" w:hAnsi="Times New Roman"/>
          <w:sz w:val="13"/>
          <w:szCs w:val="13"/>
          <w:color w:val="auto"/>
        </w:rPr>
        <w:t>. If the Company has not received such completed questionnaire from an Investor within five (5) days of the Company’s request, the Company may file the Registration Statement without including such Investor’s Registrable Securities.</w:t>
      </w:r>
    </w:p>
    <w:p>
      <w:pPr>
        <w:spacing w:after="0" w:line="141" w:lineRule="exact"/>
        <w:rPr>
          <w:rFonts w:ascii="Times New Roman" w:cs="Times New Roman" w:eastAsia="Times New Roman" w:hAnsi="Times New Roman"/>
          <w:sz w:val="13"/>
          <w:szCs w:val="13"/>
          <w:color w:val="auto"/>
        </w:rPr>
      </w:pPr>
    </w:p>
    <w:p>
      <w:pPr>
        <w:ind w:left="640" w:right="679" w:firstLine="693"/>
        <w:spacing w:after="0" w:line="245" w:lineRule="auto"/>
        <w:tabs>
          <w:tab w:leader="none" w:pos="1515"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Suspension of Sales</w:t>
      </w:r>
      <w:r>
        <w:rPr>
          <w:rFonts w:ascii="Times New Roman" w:cs="Times New Roman" w:eastAsia="Times New Roman" w:hAnsi="Times New Roman"/>
          <w:sz w:val="13"/>
          <w:szCs w:val="13"/>
          <w:color w:val="auto"/>
        </w:rPr>
        <w:t xml:space="preserve">.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use its reasonable best efforts to cause its transfer agent to deliver unlegended shares of Exchange Shares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(c) </w:t>
      </w:r>
      <w:r>
        <w:rPr>
          <w:rFonts w:ascii="Times New Roman" w:cs="Times New Roman" w:eastAsia="Times New Roman" w:hAnsi="Times New Roman"/>
          <w:sz w:val="13"/>
          <w:szCs w:val="13"/>
          <w:u w:val="single" w:color="auto"/>
          <w:color w:val="auto"/>
        </w:rPr>
        <w:t>Investor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136"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EXPENSES OF REGISTRATION.</w:t>
      </w:r>
    </w:p>
    <w:p>
      <w:pPr>
        <w:spacing w:after="0" w:line="156"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All Registration Expenses incurred in connection with registrations pursuant to this Agreement and pursuant to any Registration Statement shall be borne by the Company. All Selling Expenses relating to securities registered on behalf of an Investor shall be borne by the Investor incurring the relevant Selling Expenses.</w:t>
      </w:r>
    </w:p>
    <w:p>
      <w:pPr>
        <w:spacing w:after="0" w:line="128" w:lineRule="exact"/>
        <w:rPr>
          <w:sz w:val="20"/>
          <w:szCs w:val="20"/>
          <w:color w:val="auto"/>
        </w:rPr>
      </w:pPr>
    </w:p>
    <w:p>
      <w:pPr>
        <w:ind w:left="1080" w:hanging="133"/>
        <w:spacing w:after="0"/>
        <w:tabs>
          <w:tab w:leader="none" w:pos="1080" w:val="left"/>
        </w:tabs>
        <w:numPr>
          <w:ilvl w:val="0"/>
          <w:numId w:val="2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INDEMNIFICATION.</w:t>
      </w:r>
    </w:p>
    <w:p>
      <w:pPr>
        <w:spacing w:after="0" w:line="155" w:lineRule="exact"/>
        <w:rPr>
          <w:rFonts w:ascii="Times New Roman" w:cs="Times New Roman" w:eastAsia="Times New Roman" w:hAnsi="Times New Roman"/>
          <w:sz w:val="13"/>
          <w:szCs w:val="13"/>
          <w:b w:val="1"/>
          <w:bCs w:val="1"/>
          <w:color w:val="auto"/>
        </w:rPr>
      </w:pPr>
    </w:p>
    <w:p>
      <w:pPr>
        <w:ind w:left="640" w:right="659" w:firstLine="693"/>
        <w:spacing w:after="0" w:line="266" w:lineRule="auto"/>
        <w:tabs>
          <w:tab w:leader="none" w:pos="1505" w:val="left"/>
        </w:tabs>
        <w:numPr>
          <w:ilvl w:val="1"/>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fullest extent permitted by law, the Company will, and hereby does, indemnify, hold harmless and defend each Investor, each Person, if any, who controls each Investor, the members,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against any losses, obligation, claims, damages, liabilities, contingencies, judgments, fines, penalties, charges and costs (including, without limitation, court costs and costs of preparation), reasonable and documented attorneys’ fees, amounts paid in settlement (with the prior written consent of the Company, such consent not to be unreasonably withheld, conditioned or delayed) and reasonable and documented expenses (collectively, “</w:t>
      </w:r>
      <w:r>
        <w:rPr>
          <w:rFonts w:ascii="Times New Roman" w:cs="Times New Roman" w:eastAsia="Times New Roman" w:hAnsi="Times New Roman"/>
          <w:sz w:val="12"/>
          <w:szCs w:val="12"/>
          <w:b w:val="1"/>
          <w:bCs w:val="1"/>
          <w:color w:val="auto"/>
        </w:rPr>
        <w:t>Claims</w:t>
      </w:r>
      <w:r>
        <w:rPr>
          <w:rFonts w:ascii="Times New Roman" w:cs="Times New Roman" w:eastAsia="Times New Roman" w:hAnsi="Times New Roman"/>
          <w:sz w:val="12"/>
          <w:szCs w:val="12"/>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(the “</w:t>
      </w:r>
      <w:r>
        <w:rPr>
          <w:rFonts w:ascii="Times New Roman" w:cs="Times New Roman" w:eastAsia="Times New Roman" w:hAnsi="Times New Roman"/>
          <w:sz w:val="12"/>
          <w:szCs w:val="12"/>
          <w:b w:val="1"/>
          <w:bCs w:val="1"/>
          <w:color w:val="auto"/>
        </w:rPr>
        <w:t>Indemnified Damages</w:t>
      </w:r>
      <w:r>
        <w:rPr>
          <w:rFonts w:ascii="Times New Roman" w:cs="Times New Roman" w:eastAsia="Times New Roman" w:hAnsi="Times New Roman"/>
          <w:sz w:val="12"/>
          <w:szCs w:val="12"/>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thereto,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the registration of the Registrable Securities pursuant to any Registration Statement (the matters in the foregoing clauses (i) and (ii) being, collectively, “</w:t>
      </w:r>
      <w:r>
        <w:rPr>
          <w:rFonts w:ascii="Times New Roman" w:cs="Times New Roman" w:eastAsia="Times New Roman" w:hAnsi="Times New Roman"/>
          <w:sz w:val="12"/>
          <w:szCs w:val="12"/>
          <w:b w:val="1"/>
          <w:bCs w:val="1"/>
          <w:color w:val="auto"/>
        </w:rPr>
        <w:t>Violations</w:t>
      </w:r>
      <w:r>
        <w:rPr>
          <w:rFonts w:ascii="Times New Roman" w:cs="Times New Roman" w:eastAsia="Times New Roman" w:hAnsi="Times New Roman"/>
          <w:sz w:val="12"/>
          <w:szCs w:val="12"/>
          <w:color w:val="auto"/>
        </w:rPr>
        <w:t>”). The Company shall reimburse each Indemnified Person promptly as</w:t>
      </w:r>
    </w:p>
    <w:p>
      <w:pPr>
        <w:sectPr>
          <w:pgSz w:w="11900" w:h="16838" w:orient="portrait"/>
          <w:cols w:equalWidth="0" w:num="1">
            <w:col w:w="9019"/>
          </w:cols>
          <w:pgMar w:left="1440" w:top="229" w:right="1440" w:bottom="1440" w:gutter="0" w:footer="0" w:header="0"/>
        </w:sectPr>
      </w:pPr>
    </w:p>
    <w:bookmarkStart w:id="217" w:name="page218"/>
    <w:bookmarkEnd w:id="217"/>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such expenses are incurred and are due and payable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2"/>
          <w:szCs w:val="12"/>
          <w:u w:val="single" w:color="auto"/>
          <w:color w:val="auto"/>
        </w:rPr>
        <w:t>Section 6(a)</w:t>
      </w:r>
      <w:r>
        <w:rPr>
          <w:rFonts w:ascii="Times New Roman" w:cs="Times New Roman" w:eastAsia="Times New Roman" w:hAnsi="Times New Roman"/>
          <w:sz w:val="12"/>
          <w:szCs w:val="12"/>
          <w:color w:val="auto"/>
        </w:rPr>
        <w:t>: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relevant Indemnified Person to deliver, or cause to be delivered, if required the prospectus to the Persons asserting an untrue statement or omission or alleged untrue statement or omission at or prior to the written confirmation of the sale of Registrable Securities; and</w:t>
      </w:r>
    </w:p>
    <w:p>
      <w:pPr>
        <w:spacing w:after="0" w:line="4" w:lineRule="exact"/>
        <w:rPr>
          <w:sz w:val="20"/>
          <w:szCs w:val="20"/>
          <w:color w:val="auto"/>
        </w:rPr>
      </w:pPr>
    </w:p>
    <w:p>
      <w:pPr>
        <w:ind w:left="640" w:right="739" w:hanging="3"/>
        <w:spacing w:after="0" w:line="275" w:lineRule="auto"/>
        <w:tabs>
          <w:tab w:leader="none" w:pos="847"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an Investor pursuant to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640" w:right="659" w:firstLine="693"/>
        <w:spacing w:after="0" w:line="266" w:lineRule="auto"/>
        <w:tabs>
          <w:tab w:leader="none" w:pos="1515" w:val="left"/>
        </w:tabs>
        <w:numPr>
          <w:ilvl w:val="1"/>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Resale Registration Statement, any New Registration Statement or any prospectus thereto, each Investor, severally and not jointly, agrees to indemnify, hold harmless and defend, the Company, each of its directors, and officers who signed the Resale Registration Statement or signs any New Registration Statement, and each Person, if any, who controls the Company within the meaning of the Securities Act or the Exchange Act (each, an “</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xml:space="preserve">”), against any losses, claims, damages, liabilities and expense (including reasonable attorney fees) resulting from (i) any untrue statement or alleged untrue statement or omission or alleged omission of any material fact contained in any Registration Statement to the extent, and only to the extent, that such untrue statement or alleged untrue statement or omission or alleged omission occurred in reliance upon and in conformity with information about the relevant Investor furnished and approved in writing by such Investor to the Company expressly for use in connection with the preparation of the Registration Statement, any New Registration Statement, any prospectus thereto or any such amendment thereof or supplement thereto or (ii) any violation or alleged violation by such Investor of its obligations under this Agreement. In no event shall the liability of an Investor under this </w:t>
      </w:r>
      <w:r>
        <w:rPr>
          <w:rFonts w:ascii="Times New Roman" w:cs="Times New Roman" w:eastAsia="Times New Roman" w:hAnsi="Times New Roman"/>
          <w:sz w:val="12"/>
          <w:szCs w:val="12"/>
          <w:u w:val="single" w:color="auto"/>
          <w:color w:val="auto"/>
        </w:rPr>
        <w:t>Section 6(b)</w:t>
      </w:r>
      <w:r>
        <w:rPr>
          <w:rFonts w:ascii="Times New Roman" w:cs="Times New Roman" w:eastAsia="Times New Roman" w:hAnsi="Times New Roman"/>
          <w:sz w:val="12"/>
          <w:szCs w:val="12"/>
          <w:color w:val="auto"/>
        </w:rPr>
        <w:t xml:space="preserve"> be greater in amount than the dollar amount of the proceeds (net of all expense paid by such Investor in connection with any claim relating to this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and the amount of any damages such Investor has otherwise been required to pay by reason of such untrue statement or omission, such alleged untrue statement or omission, such violation or such alleged violation)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cs="Times New Roman" w:eastAsia="Times New Roman" w:hAnsi="Times New Roman"/>
          <w:sz w:val="12"/>
          <w:szCs w:val="12"/>
          <w:u w:val="single" w:color="auto"/>
          <w:color w:val="auto"/>
        </w:rPr>
        <w:t>Section 6(b)</w:t>
      </w:r>
      <w:r>
        <w:rPr>
          <w:rFonts w:ascii="Times New Roman" w:cs="Times New Roman" w:eastAsia="Times New Roman" w:hAnsi="Times New Roman"/>
          <w:sz w:val="12"/>
          <w:szCs w:val="12"/>
          <w:color w:val="auto"/>
        </w:rPr>
        <w:t xml:space="preserve">,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w:t>
      </w:r>
    </w:p>
    <w:p>
      <w:pPr>
        <w:spacing w:after="0" w:line="282"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508"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receipt by an Indemnified Person or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an Indemnified Person or Indemnified Party (together with all other Indemnified Persons and Indemnified Parties that may be represented without conflict by one counsel) shall have the right to retain its own counsel with the reasonable fees and expenses</w:t>
      </w:r>
    </w:p>
    <w:p>
      <w:pPr>
        <w:sectPr>
          <w:pgSz w:w="11900" w:h="16838" w:orient="portrait"/>
          <w:cols w:equalWidth="0" w:num="1">
            <w:col w:w="9019"/>
          </w:cols>
          <w:pgMar w:left="1440" w:top="231" w:right="1440" w:bottom="1440" w:gutter="0" w:footer="0" w:header="0"/>
        </w:sectPr>
      </w:pPr>
    </w:p>
    <w:bookmarkStart w:id="218" w:name="page219"/>
    <w:bookmarkEnd w:id="218"/>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except to the extent that the indemnifying party is prejudiced in its ability to defend such action.</w:t>
      </w:r>
    </w:p>
    <w:p>
      <w:pPr>
        <w:spacing w:after="0" w:line="145" w:lineRule="exact"/>
        <w:rPr>
          <w:sz w:val="20"/>
          <w:szCs w:val="20"/>
          <w:color w:val="auto"/>
        </w:rPr>
      </w:pPr>
    </w:p>
    <w:p>
      <w:pPr>
        <w:ind w:left="640" w:right="659" w:firstLine="693"/>
        <w:spacing w:after="0" w:line="251" w:lineRule="auto"/>
        <w:tabs>
          <w:tab w:leader="none" w:pos="1515" w:val="left"/>
        </w:tabs>
        <w:numPr>
          <w:ilvl w:val="1"/>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indemnification required by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which person is later determined to not be entitled to such payment shall promptly return such payment (including reimbursement of expenses) to the person making it.</w:t>
      </w:r>
    </w:p>
    <w:p>
      <w:pPr>
        <w:spacing w:after="0" w:line="132" w:lineRule="exact"/>
        <w:rPr>
          <w:rFonts w:ascii="Times New Roman" w:cs="Times New Roman" w:eastAsia="Times New Roman" w:hAnsi="Times New Roman"/>
          <w:sz w:val="13"/>
          <w:szCs w:val="13"/>
          <w:color w:val="auto"/>
        </w:rPr>
      </w:pPr>
    </w:p>
    <w:p>
      <w:pPr>
        <w:ind w:left="640" w:right="819" w:firstLine="693"/>
        <w:spacing w:after="0" w:line="309" w:lineRule="auto"/>
        <w:tabs>
          <w:tab w:leader="none" w:pos="1508"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97" w:lineRule="exact"/>
        <w:rPr>
          <w:rFonts w:ascii="Times New Roman" w:cs="Times New Roman" w:eastAsia="Times New Roman" w:hAnsi="Times New Roman"/>
          <w:sz w:val="12"/>
          <w:szCs w:val="12"/>
          <w:color w:val="auto"/>
        </w:rPr>
      </w:pPr>
    </w:p>
    <w:p>
      <w:pPr>
        <w:ind w:left="1080" w:hanging="133"/>
        <w:spacing w:after="0"/>
        <w:tabs>
          <w:tab w:leader="none" w:pos="1080" w:val="left"/>
        </w:tabs>
        <w:numPr>
          <w:ilvl w:val="0"/>
          <w:numId w:val="2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CONTRIBUTION.</w:t>
      </w:r>
    </w:p>
    <w:p>
      <w:pPr>
        <w:spacing w:after="0" w:line="15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to the fullest extent permitted by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8. ASSIGNMENT OF REGISTRATION RIGHTS.</w:t>
      </w:r>
    </w:p>
    <w:p>
      <w:pPr>
        <w:spacing w:after="0" w:line="156"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The Company shall not assign this Agreement or any rights or obligations hereunder (whether by operation of law or otherwise) without the prior written consent of the Required Investors;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such</w:t>
      </w:r>
    </w:p>
    <w:p>
      <w:pPr>
        <w:sectPr>
          <w:pgSz w:w="11900" w:h="16838" w:orient="portrait"/>
          <w:cols w:equalWidth="0" w:num="1">
            <w:col w:w="9019"/>
          </w:cols>
          <w:pgMar w:left="1440" w:top="231" w:right="1440" w:bottom="1440" w:gutter="0" w:footer="0" w:header="0"/>
        </w:sectPr>
      </w:pPr>
    </w:p>
    <w:bookmarkStart w:id="219" w:name="page220"/>
    <w:bookmarkEnd w:id="219"/>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Investor in connection with such transaction unless such securities are otherwise freely tradable by such Investor after giving effect to such transaction, and the prior written consent of the Required Investors shall not be required for such transaction. An Investor may transfer or assign its rights hereunder, in whole or in part from time to time to one or more Persons, provided that such Investor complies with all laws applicable thereto, and the provisions of the Purchase Agreement, and provides written notice of assignment to the Company promptly after such assignment is effected, and such Person agrees in writing to be bound by all the provisions contained herein.</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9. AMENDMENTS AND WAIVERS.</w:t>
      </w:r>
    </w:p>
    <w:p>
      <w:pPr>
        <w:spacing w:after="0" w:line="156"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The provisions of this Agreement, including the provisions of this sentence, may be amended, modified or supplemented, or waived only by a written instrument executed by (a) the Company and (b) the Required Investors,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shares of Series C Preferred Stock then outstanding have been converted in full without regard to any limitations on the conversion of such shares of Series C Preferred Stock) to which such waiver or consent relates; provided such consenting Investors shall not in any event be paid any separate consideration in connection with any such amendment or waiver.</w:t>
      </w:r>
    </w:p>
    <w:p>
      <w:pPr>
        <w:spacing w:after="0" w:line="139" w:lineRule="exact"/>
        <w:rPr>
          <w:sz w:val="20"/>
          <w:szCs w:val="20"/>
          <w:color w:val="auto"/>
        </w:rPr>
      </w:pPr>
    </w:p>
    <w:p>
      <w:pPr>
        <w:ind w:left="1140" w:hanging="193"/>
        <w:spacing w:after="0"/>
        <w:tabs>
          <w:tab w:leader="none" w:pos="1140" w:val="left"/>
        </w:tabs>
        <w:numPr>
          <w:ilvl w:val="1"/>
          <w:numId w:val="2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MISCELLANEOUS.</w:t>
      </w:r>
    </w:p>
    <w:p>
      <w:pPr>
        <w:spacing w:after="0" w:line="155" w:lineRule="exact"/>
        <w:rPr>
          <w:rFonts w:ascii="Times New Roman" w:cs="Times New Roman" w:eastAsia="Times New Roman" w:hAnsi="Times New Roman"/>
          <w:sz w:val="13"/>
          <w:szCs w:val="13"/>
          <w:b w:val="1"/>
          <w:bCs w:val="1"/>
          <w:color w:val="auto"/>
        </w:rPr>
      </w:pPr>
    </w:p>
    <w:p>
      <w:pPr>
        <w:ind w:left="640" w:right="699" w:firstLine="693"/>
        <w:spacing w:after="0" w:line="269" w:lineRule="auto"/>
        <w:tabs>
          <w:tab w:leader="none" w:pos="1508" w:val="left"/>
        </w:tabs>
        <w:numPr>
          <w:ilvl w:val="2"/>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w:t>
      </w:r>
    </w:p>
    <w:p>
      <w:pPr>
        <w:ind w:left="640" w:right="659" w:hanging="3"/>
        <w:spacing w:after="0" w:line="246" w:lineRule="auto"/>
        <w:tabs>
          <w:tab w:leader="none" w:pos="819"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(1) Business Day after deposit with a nationally recognized overnight courier, freight prepaid, specifying next business day delivery, with written verification of receipt:</w:t>
      </w:r>
    </w:p>
    <w:p>
      <w:pPr>
        <w:spacing w:after="0" w:line="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 If to the Company, addressed as follows: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101 Lindenwood Drive, Suite 225</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Malvern, Pennsylvania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President and Principal Executive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Address: [***]</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a copy (which shall not constitute notice):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2850 Quarry Lake Drive, Suite 301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Baltimore, Maryland 21209</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Asher Rubin; Istvan Hajdu; Kayla West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Address: arubin@sidley.com; ihajdu@sidley.com; kwest@sidley.com</w:t>
      </w:r>
    </w:p>
    <w:p>
      <w:pPr>
        <w:spacing w:after="0" w:line="141" w:lineRule="exact"/>
        <w:rPr>
          <w:sz w:val="20"/>
          <w:szCs w:val="20"/>
          <w:color w:val="auto"/>
        </w:rPr>
      </w:pPr>
    </w:p>
    <w:p>
      <w:pPr>
        <w:ind w:left="640" w:right="1059" w:firstLine="693"/>
        <w:spacing w:after="0" w:line="267" w:lineRule="auto"/>
        <w:tabs>
          <w:tab w:leader="none" w:pos="1469"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to any Investor, at each of its e-mail addresses or addresses set forth on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to the Purchase Agreement or to such e-mail addresses, or addresses as subsequently modified by written notice given in accordance with this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220" w:name="page221"/>
    <w:bookmarkEnd w:id="220"/>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Person may change the addresses to which notices and communications to it are to be addressed by notification as provided for herein.</w:t>
      </w:r>
    </w:p>
    <w:p>
      <w:pPr>
        <w:spacing w:after="0" w:line="154" w:lineRule="exact"/>
        <w:rPr>
          <w:sz w:val="20"/>
          <w:szCs w:val="20"/>
          <w:color w:val="auto"/>
        </w:rPr>
      </w:pPr>
    </w:p>
    <w:p>
      <w:pPr>
        <w:ind w:left="1520" w:hanging="187"/>
        <w:spacing w:after="0"/>
        <w:tabs>
          <w:tab w:leader="none" w:pos="1520"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899" w:firstLine="693"/>
        <w:spacing w:after="0" w:line="255" w:lineRule="auto"/>
        <w:tabs>
          <w:tab w:leader="none" w:pos="1508"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Waiver</w:t>
      </w:r>
      <w:r>
        <w:rPr>
          <w:rFonts w:ascii="Times New Roman" w:cs="Times New Roman" w:eastAsia="Times New Roman" w:hAnsi="Times New Roman"/>
          <w:sz w:val="13"/>
          <w:szCs w:val="13"/>
          <w:color w:val="auto"/>
        </w:rPr>
        <w:t>. No failure or delay on the part of any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67" w:lineRule="auto"/>
        <w:tabs>
          <w:tab w:leader="none" w:pos="1515"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Submission to Jurisdiction; Venue; Waiver of Trial by Jury</w:t>
      </w:r>
      <w:r>
        <w:rPr>
          <w:rFonts w:ascii="Times New Roman" w:cs="Times New Roman" w:eastAsia="Times New Roman" w:hAnsi="Times New Roman"/>
          <w:sz w:val="13"/>
          <w:szCs w:val="13"/>
          <w:color w:val="auto"/>
        </w:rPr>
        <w:t xml:space="preserve">. The provisions of Section 8.6 of the Purchase Agreement are incorporated by reference herein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08"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Integration</w:t>
      </w:r>
      <w:r>
        <w:rPr>
          <w:rFonts w:ascii="Times New Roman" w:cs="Times New Roman" w:eastAsia="Times New Roman" w:hAnsi="Times New Roman"/>
          <w:sz w:val="13"/>
          <w:szCs w:val="13"/>
          <w:color w:val="auto"/>
        </w:rPr>
        <w:t>.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494"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t>
      </w:r>
      <w:r>
        <w:rPr>
          <w:rFonts w:ascii="Times New Roman" w:cs="Times New Roman" w:eastAsia="Times New Roman" w:hAnsi="Times New Roman"/>
          <w:sz w:val="13"/>
          <w:szCs w:val="13"/>
          <w:i w:val="1"/>
          <w:iCs w:val="1"/>
          <w:color w:val="auto"/>
        </w:rPr>
        <w:t>www.docusign.com</w:t>
      </w:r>
      <w:r>
        <w:rPr>
          <w:rFonts w:ascii="Times New Roman" w:cs="Times New Roman" w:eastAsia="Times New Roman" w:hAnsi="Times New Roman"/>
          <w:sz w:val="13"/>
          <w:szCs w:val="13"/>
          <w:color w:val="auto"/>
        </w:rPr>
        <w:t xml:space="preserve"> shall be considered due execution and shall be binding upon the signatory thereto with the same force and effect as if the signature were an original, not a facsimile or pdf (or other electronic reproduction of a) signature.</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15"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30" w:lineRule="exact"/>
        <w:rPr>
          <w:rFonts w:ascii="Times New Roman" w:cs="Times New Roman" w:eastAsia="Times New Roman" w:hAnsi="Times New Roman"/>
          <w:sz w:val="13"/>
          <w:szCs w:val="13"/>
          <w:color w:val="auto"/>
        </w:rPr>
      </w:pPr>
    </w:p>
    <w:p>
      <w:pPr>
        <w:ind w:left="640" w:right="939" w:firstLine="693"/>
        <w:spacing w:after="0" w:line="267" w:lineRule="auto"/>
        <w:tabs>
          <w:tab w:leader="none" w:pos="1487"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Contract Interpretation</w:t>
      </w:r>
      <w:r>
        <w:rPr>
          <w:rFonts w:ascii="Times New Roman" w:cs="Times New Roman" w:eastAsia="Times New Roman" w:hAnsi="Times New Roman"/>
          <w:sz w:val="13"/>
          <w:szCs w:val="13"/>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22"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487"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Sections 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w:t>
      </w:r>
      <w:r>
        <w:rPr>
          <w:rFonts w:ascii="Times New Roman" w:cs="Times New Roman" w:eastAsia="Times New Roman" w:hAnsi="Times New Roman"/>
          <w:sz w:val="13"/>
          <w:szCs w:val="13"/>
          <w:color w:val="auto"/>
        </w:rPr>
        <w:t>, nothing in this Agreement is intended for the benefit of any party other than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34" w:lineRule="exact"/>
        <w:rPr>
          <w:rFonts w:ascii="Times New Roman" w:cs="Times New Roman" w:eastAsia="Times New Roman" w:hAnsi="Times New Roman"/>
          <w:sz w:val="13"/>
          <w:szCs w:val="13"/>
          <w:color w:val="auto"/>
        </w:rPr>
      </w:pPr>
    </w:p>
    <w:p>
      <w:pPr>
        <w:ind w:left="640" w:right="799" w:firstLine="693"/>
        <w:spacing w:after="0" w:line="251" w:lineRule="auto"/>
        <w:tabs>
          <w:tab w:leader="none" w:pos="1515"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487"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Non-Recourse</w:t>
      </w:r>
      <w:r>
        <w:rPr>
          <w:rFonts w:ascii="Times New Roman" w:cs="Times New Roman" w:eastAsia="Times New Roman" w:hAnsi="Times New Roman"/>
          <w:sz w:val="13"/>
          <w:szCs w:val="13"/>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w:t>
      </w:r>
    </w:p>
    <w:p>
      <w:pPr>
        <w:sectPr>
          <w:pgSz w:w="11900" w:h="16838" w:orient="portrait"/>
          <w:cols w:equalWidth="0" w:num="1">
            <w:col w:w="9019"/>
          </w:cols>
          <w:pgMar w:left="1440" w:top="231" w:right="1440" w:bottom="1440" w:gutter="0" w:footer="0" w:header="0"/>
        </w:sectPr>
      </w:pPr>
    </w:p>
    <w:bookmarkStart w:id="221" w:name="page222"/>
    <w:bookmarkEnd w:id="221"/>
    <w:p>
      <w:pPr>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30" w:lineRule="exact"/>
        <w:rPr>
          <w:sz w:val="20"/>
          <w:szCs w:val="20"/>
          <w:color w:val="auto"/>
        </w:rPr>
      </w:pPr>
    </w:p>
    <w:p>
      <w:pPr>
        <w:ind w:left="640" w:right="1019" w:firstLine="693"/>
        <w:spacing w:after="0" w:line="255" w:lineRule="auto"/>
        <w:tabs>
          <w:tab w:leader="none" w:pos="1550"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w:t>
      </w:r>
    </w:p>
    <w:p>
      <w:pPr>
        <w:spacing w:after="0" w:line="130"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Cumulative Remedies</w:t>
      </w:r>
      <w:r>
        <w:rPr>
          <w:rFonts w:ascii="Times New Roman" w:cs="Times New Roman" w:eastAsia="Times New Roman" w:hAnsi="Times New Roman"/>
          <w:sz w:val="13"/>
          <w:szCs w:val="13"/>
          <w:color w:val="auto"/>
        </w:rPr>
        <w:t>. The remedies provided herein are cumulative and not exclusive of any remedies provided by law.</w:t>
      </w:r>
    </w:p>
    <w:p>
      <w:pPr>
        <w:spacing w:after="0" w:line="151" w:lineRule="exact"/>
        <w:rPr>
          <w:rFonts w:ascii="Times New Roman" w:cs="Times New Roman" w:eastAsia="Times New Roman" w:hAnsi="Times New Roman"/>
          <w:sz w:val="13"/>
          <w:szCs w:val="13"/>
          <w:color w:val="auto"/>
        </w:rPr>
      </w:pPr>
    </w:p>
    <w:p>
      <w:pPr>
        <w:ind w:left="38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[Signature Page Follows]</w:t>
      </w:r>
    </w:p>
    <w:p>
      <w:pPr>
        <w:sectPr>
          <w:pgSz w:w="11900" w:h="16838" w:orient="portrait"/>
          <w:cols w:equalWidth="0" w:num="1">
            <w:col w:w="9019"/>
          </w:cols>
          <w:pgMar w:left="1440" w:top="231" w:right="1440" w:bottom="1440" w:gutter="0" w:footer="0" w:header="0"/>
        </w:sectPr>
      </w:pPr>
    </w:p>
    <w:bookmarkStart w:id="222" w:name="page223"/>
    <w:bookmarkEnd w:id="222"/>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IN WITNESS WHEREOF, </w:t>
      </w:r>
      <w:r>
        <w:rPr>
          <w:rFonts w:ascii="Times New Roman" w:cs="Times New Roman" w:eastAsia="Times New Roman" w:hAnsi="Times New Roman"/>
          <w:sz w:val="12"/>
          <w:szCs w:val="12"/>
          <w:color w:val="auto"/>
        </w:rPr>
        <w:t>the parties have caused this Registration Rights Agreement to be duly executed as of date first written above.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GALERA THERAPEUTICS, INC.</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GAZELLE PARENT, INC.</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23" w:name="page224"/>
    <w:bookmarkEnd w:id="223"/>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WHEREOF, </w:t>
      </w:r>
      <w:r>
        <w:rPr>
          <w:rFonts w:ascii="Times New Roman" w:cs="Times New Roman" w:eastAsia="Times New Roman" w:hAnsi="Times New Roman"/>
          <w:sz w:val="12"/>
          <w:szCs w:val="12"/>
          <w:color w:val="auto"/>
        </w:rPr>
        <w:t>the parties have caused this Registration Rights Agreement to be duly executed as of date first written above.</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r>
        <w:rPr>
          <w:rFonts w:ascii="Times New Roman" w:cs="Times New Roman" w:eastAsia="Times New Roman" w:hAnsi="Times New Roman"/>
          <w:sz w:val="18"/>
          <w:szCs w:val="18"/>
          <w:b w:val="1"/>
          <w:bCs w:val="1"/>
          <w:u w:val="single" w:color="auto"/>
          <w:color w:val="auto"/>
          <w:vertAlign w:val="superscript"/>
        </w:rPr>
        <w:t>1</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40"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selling stockholders may use any one or more of the following methods when disposing of shares or interests therein:</w:t>
      </w:r>
    </w:p>
    <w:p>
      <w:pPr>
        <w:spacing w:after="0" w:line="87" w:lineRule="exact"/>
        <w:rPr>
          <w:sz w:val="20"/>
          <w:szCs w:val="20"/>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brokerage transactions and transactions in which the broker-dealer solicits purchasers;</w:t>
      </w:r>
    </w:p>
    <w:p>
      <w:pPr>
        <w:spacing w:after="0" w:line="87" w:lineRule="exact"/>
        <w:rPr>
          <w:rFonts w:ascii="Times New Roman" w:cs="Times New Roman" w:eastAsia="Times New Roman" w:hAnsi="Times New Roman"/>
          <w:sz w:val="13"/>
          <w:szCs w:val="13"/>
          <w:color w:val="auto"/>
        </w:rPr>
      </w:pPr>
    </w:p>
    <w:p>
      <w:pPr>
        <w:ind w:left="1320" w:right="1079" w:hanging="303"/>
        <w:spacing w:after="0" w:line="267" w:lineRule="auto"/>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block trades in which the broker-dealer will attempt to sell the shares as agent, but may position and resell a portion of the block as principal to facilitate the transaction;</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by a broker-dealer as principal and resale by the broker-dealer for its account;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exchange distribution in accordance with the rules of the applicable exchange;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privately negotiated transactions;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 sales and settlement of short sales;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writing or settlement of options or other hedging transactions, whether through an options exchange or otherwise;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broker-dealers may agree with the selling stockholders to sell a specified number of such shares at a stipulated price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combination of any such methods of sale;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method permitted pursuant to applicable law.</w:t>
      </w:r>
    </w:p>
    <w:p>
      <w:pPr>
        <w:spacing w:after="0" w:line="154"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35"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36"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62230</wp:posOffset>
            </wp:positionV>
            <wp:extent cx="54165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40" w:lineRule="exact"/>
        <w:rPr>
          <w:sz w:val="20"/>
          <w:szCs w:val="20"/>
          <w:color w:val="auto"/>
        </w:rPr>
      </w:pPr>
    </w:p>
    <w:p>
      <w:pPr>
        <w:ind w:left="940" w:hanging="303"/>
        <w:spacing w:after="0"/>
        <w:tabs>
          <w:tab w:leader="none" w:pos="940" w:val="left"/>
        </w:tabs>
        <w:numPr>
          <w:ilvl w:val="0"/>
          <w:numId w:val="2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Definitions to be conformed to resale S-3.</w:t>
      </w:r>
    </w:p>
    <w:p>
      <w:pPr>
        <w:sectPr>
          <w:pgSz w:w="11900" w:h="16838" w:orient="portrait"/>
          <w:cols w:equalWidth="0" w:num="1">
            <w:col w:w="9019"/>
          </w:cols>
          <w:pgMar w:left="1440" w:top="229" w:right="1440" w:bottom="1440" w:gutter="0" w:footer="0" w:header="0"/>
        </w:sectPr>
      </w:pPr>
    </w:p>
    <w:bookmarkStart w:id="225" w:name="page226"/>
    <w:bookmarkEnd w:id="225"/>
    <w:p>
      <w:pPr>
        <w:ind w:left="640" w:right="8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30"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34"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33"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34"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We have agreed to indemnify the selling stockholders against liabilities, including liabilities under the Securities Act and state securities laws, relating to the registration of the shares offered by this prospectus.</w:t>
      </w:r>
    </w:p>
    <w:p>
      <w:pPr>
        <w:spacing w:after="0" w:line="122" w:lineRule="exact"/>
        <w:rPr>
          <w:sz w:val="20"/>
          <w:szCs w:val="20"/>
          <w:color w:val="auto"/>
        </w:rPr>
      </w:pPr>
    </w:p>
    <w:p>
      <w:pPr>
        <w:ind w:left="640" w:right="799"/>
        <w:spacing w:after="0" w:line="248" w:lineRule="auto"/>
        <w:rPr>
          <w:sz w:val="20"/>
          <w:szCs w:val="20"/>
          <w:color w:val="auto"/>
        </w:rPr>
      </w:pPr>
      <w:r>
        <w:rPr>
          <w:rFonts w:ascii="Times New Roman" w:cs="Times New Roman" w:eastAsia="Times New Roman" w:hAnsi="Times New Roman"/>
          <w:sz w:val="13"/>
          <w:szCs w:val="13"/>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ectPr>
          <w:pgSz w:w="11900" w:h="16838" w:orient="portrait"/>
          <w:cols w:equalWidth="0" w:num="1">
            <w:col w:w="9019"/>
          </w:cols>
          <w:pgMar w:left="1440" w:top="231" w:right="1440" w:bottom="1440" w:gutter="0" w:footer="0" w:header="0"/>
        </w:sectPr>
      </w:pPr>
    </w:p>
    <w:bookmarkStart w:id="226" w:name="page227"/>
    <w:bookmarkEnd w:id="226"/>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Investor Questionnaire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undersigned hereby provides the following information to the Company and represents and warrants that such information is accurate:</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QUESTIONNAIRE</w:t>
      </w:r>
    </w:p>
    <w:p>
      <w:pPr>
        <w:spacing w:after="0" w:line="173" w:lineRule="exact"/>
        <w:rPr>
          <w:sz w:val="20"/>
          <w:szCs w:val="20"/>
          <w:color w:val="auto"/>
        </w:rPr>
      </w:pPr>
    </w:p>
    <w:p>
      <w:pPr>
        <w:ind w:left="940" w:hanging="303"/>
        <w:spacing w:after="0"/>
        <w:tabs>
          <w:tab w:leader="none" w:pos="940" w:val="left"/>
        </w:tabs>
        <w:numPr>
          <w:ilvl w:val="0"/>
          <w:numId w:val="2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Name.</w:t>
      </w:r>
    </w:p>
    <w:p>
      <w:pPr>
        <w:spacing w:after="0" w:line="80" w:lineRule="exact"/>
        <w:rPr>
          <w:sz w:val="20"/>
          <w:szCs w:val="20"/>
          <w:color w:val="auto"/>
        </w:rPr>
      </w:pPr>
    </w:p>
    <w:p>
      <w:pPr>
        <w:ind w:left="800" w:hanging="163"/>
        <w:spacing w:after="0"/>
        <w:tabs>
          <w:tab w:leader="none" w:pos="80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Investor</w:t>
      </w:r>
    </w:p>
    <w:p>
      <w:pPr>
        <w:spacing w:after="0" w:line="267"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Registered Holder (if not the same as (a) above) through which Registrable Securities are held:</w:t>
      </w:r>
    </w:p>
    <w:p>
      <w:pPr>
        <w:spacing w:after="0" w:line="276" w:lineRule="exact"/>
        <w:rPr>
          <w:rFonts w:ascii="Times New Roman" w:cs="Times New Roman" w:eastAsia="Times New Roman" w:hAnsi="Times New Roman"/>
          <w:sz w:val="13"/>
          <w:szCs w:val="13"/>
          <w:color w:val="auto"/>
        </w:rPr>
      </w:pPr>
    </w:p>
    <w:p>
      <w:pPr>
        <w:ind w:left="640" w:right="1019" w:hanging="3"/>
        <w:spacing w:after="0" w:line="267" w:lineRule="auto"/>
        <w:tabs>
          <w:tab w:leader="none" w:pos="812"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-527685</wp:posOffset>
            </wp:positionV>
            <wp:extent cx="491045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-256540</wp:posOffset>
            </wp:positionV>
            <wp:extent cx="491045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104140</wp:posOffset>
            </wp:positionV>
            <wp:extent cx="491045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37" w:lineRule="exact"/>
        <w:rPr>
          <w:sz w:val="20"/>
          <w:szCs w:val="20"/>
          <w:color w:val="auto"/>
        </w:rPr>
      </w:pPr>
    </w:p>
    <w:p>
      <w:pPr>
        <w:ind w:left="940" w:hanging="303"/>
        <w:spacing w:after="0"/>
        <w:tabs>
          <w:tab w:leader="none" w:pos="940" w:val="left"/>
        </w:tabs>
        <w:numPr>
          <w:ilvl w:val="0"/>
          <w:numId w:val="26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125095</wp:posOffset>
            </wp:positionV>
            <wp:extent cx="491045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263525</wp:posOffset>
            </wp:positionV>
            <wp:extent cx="491045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401955</wp:posOffset>
            </wp:positionV>
            <wp:extent cx="491045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69" w:lineRule="exact"/>
        <w:rPr>
          <w:sz w:val="20"/>
          <w:szCs w:val="20"/>
          <w:color w:val="auto"/>
        </w:rPr>
      </w:pPr>
    </w:p>
    <w:p>
      <w:pPr>
        <w:ind w:left="940" w:hanging="303"/>
        <w:spacing w:after="0"/>
        <w:tabs>
          <w:tab w:leader="none" w:pos="940" w:val="left"/>
        </w:tabs>
        <w:numPr>
          <w:ilvl w:val="0"/>
          <w:numId w:val="27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Broker-Dealer Status:</w:t>
      </w:r>
    </w:p>
    <w:p>
      <w:pPr>
        <w:spacing w:after="0" w:line="89" w:lineRule="exact"/>
        <w:rPr>
          <w:sz w:val="20"/>
          <w:szCs w:val="20"/>
          <w:color w:val="auto"/>
        </w:rPr>
      </w:pPr>
    </w:p>
    <w:p>
      <w:pPr>
        <w:ind w:left="940" w:hanging="303"/>
        <w:spacing w:after="0"/>
        <w:tabs>
          <w:tab w:leader="none" w:pos="940" w:val="left"/>
        </w:tabs>
        <w:numPr>
          <w:ilvl w:val="0"/>
          <w:numId w:val="2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 broker-dealer?</w:t>
      </w:r>
    </w:p>
    <w:p>
      <w:pPr>
        <w:spacing w:after="0" w:line="125" w:lineRule="exact"/>
        <w:rPr>
          <w:sz w:val="20"/>
          <w:szCs w:val="20"/>
          <w:color w:val="auto"/>
        </w:rPr>
      </w:pPr>
    </w:p>
    <w:p>
      <w:pPr>
        <w:jc w:val="center"/>
        <w:spacing w:after="0" w:line="150"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ectPr>
          <w:pgSz w:w="11900" w:h="16838" w:orient="portrait"/>
          <w:cols w:equalWidth="0" w:num="1">
            <w:col w:w="9019"/>
          </w:cols>
          <w:pgMar w:left="1440" w:top="229" w:right="1440" w:bottom="1440" w:gutter="0" w:footer="0" w:header="0"/>
        </w:sectPr>
      </w:pPr>
    </w:p>
    <w:bookmarkStart w:id="227" w:name="page228"/>
    <w:bookmarkEnd w:id="227"/>
    <w:p>
      <w:pPr>
        <w:ind w:left="3960" w:right="1379" w:hanging="3323"/>
        <w:spacing w:after="0" w:line="244" w:lineRule="exact"/>
        <w:tabs>
          <w:tab w:leader="none" w:pos="824"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“yes” to Section 3(a), did you receive your Registrable Securities as compensation for investment banking services to the Company?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Note: If “no” to Section 3(b), the SEC’s staff has indicated that you should be identified as an underwriter in the Registration Statement.</w:t>
      </w:r>
    </w:p>
    <w:p>
      <w:pPr>
        <w:spacing w:after="0" w:line="173" w:lineRule="exact"/>
        <w:rPr>
          <w:sz w:val="20"/>
          <w:szCs w:val="20"/>
          <w:color w:val="auto"/>
        </w:rPr>
      </w:pPr>
    </w:p>
    <w:p>
      <w:pPr>
        <w:ind w:left="940" w:hanging="303"/>
        <w:spacing w:after="0"/>
        <w:tabs>
          <w:tab w:leader="none" w:pos="94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an affiliate of a broker-dealer?</w:t>
      </w:r>
    </w:p>
    <w:p>
      <w:pPr>
        <w:spacing w:after="0" w:line="125" w:lineRule="exact"/>
        <w:rPr>
          <w:sz w:val="20"/>
          <w:szCs w:val="20"/>
          <w:color w:val="auto"/>
        </w:rPr>
      </w:pPr>
    </w:p>
    <w:p>
      <w:pPr>
        <w:jc w:val="center"/>
        <w:spacing w:after="0" w:line="150"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82" w:lineRule="exact"/>
        <w:rPr>
          <w:sz w:val="20"/>
          <w:szCs w:val="20"/>
          <w:color w:val="auto"/>
        </w:rPr>
      </w:pPr>
    </w:p>
    <w:p>
      <w:pPr>
        <w:ind w:left="640" w:right="879"/>
        <w:spacing w:after="0" w:line="255" w:lineRule="auto"/>
        <w:rPr>
          <w:sz w:val="20"/>
          <w:szCs w:val="20"/>
          <w:color w:val="auto"/>
        </w:rPr>
      </w:pPr>
      <w:r>
        <w:rPr>
          <w:rFonts w:ascii="Times New Roman" w:cs="Times New Roman" w:eastAsia="Times New Roman" w:hAnsi="Times New Roman"/>
          <w:sz w:val="13"/>
          <w:szCs w:val="13"/>
          <w:color w:val="auto"/>
        </w:rPr>
        <w:t>(d)If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01" w:lineRule="exact"/>
        <w:rPr>
          <w:sz w:val="20"/>
          <w:szCs w:val="20"/>
          <w:color w:val="auto"/>
        </w:rPr>
      </w:pPr>
    </w:p>
    <w:p>
      <w:pPr>
        <w:jc w:val="center"/>
        <w:ind w:right="19"/>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Note: If “no” to Section 3(d), the SEC’s staff has indicated that you should be identified as an underwriter in the Registration Statement.</w:t>
      </w:r>
    </w:p>
    <w:p>
      <w:pPr>
        <w:spacing w:after="0" w:line="171" w:lineRule="exact"/>
        <w:rPr>
          <w:sz w:val="20"/>
          <w:szCs w:val="20"/>
          <w:color w:val="auto"/>
        </w:rPr>
      </w:pPr>
    </w:p>
    <w:p>
      <w:pPr>
        <w:ind w:left="940" w:hanging="303"/>
        <w:spacing w:after="0"/>
        <w:tabs>
          <w:tab w:leader="none" w:pos="940" w:val="left"/>
        </w:tabs>
        <w:numPr>
          <w:ilvl w:val="0"/>
          <w:numId w:val="2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Beneficial Ownership of Securities of the Company Owned by the Investor.</w:t>
      </w:r>
    </w:p>
    <w:p>
      <w:pPr>
        <w:spacing w:after="0" w:line="154" w:lineRule="exact"/>
        <w:rPr>
          <w:sz w:val="20"/>
          <w:szCs w:val="20"/>
          <w:color w:val="auto"/>
        </w:rPr>
      </w:pPr>
    </w:p>
    <w:p>
      <w:pPr>
        <w:ind w:left="640" w:right="1059"/>
        <w:spacing w:after="0" w:line="270" w:lineRule="auto"/>
        <w:rPr>
          <w:sz w:val="20"/>
          <w:szCs w:val="20"/>
          <w:color w:val="auto"/>
        </w:rPr>
      </w:pPr>
      <w:r>
        <w:rPr>
          <w:rFonts w:ascii="Times New Roman" w:cs="Times New Roman" w:eastAsia="Times New Roman" w:hAnsi="Times New Roman"/>
          <w:sz w:val="13"/>
          <w:szCs w:val="13"/>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39" w:lineRule="exact"/>
        <w:rPr>
          <w:sz w:val="20"/>
          <w:szCs w:val="20"/>
          <w:color w:val="auto"/>
        </w:rPr>
      </w:pPr>
    </w:p>
    <w:p>
      <w:pPr>
        <w:ind w:left="940" w:hanging="303"/>
        <w:spacing w:after="0"/>
        <w:tabs>
          <w:tab w:leader="none" w:pos="940" w:val="left"/>
        </w:tabs>
        <w:numPr>
          <w:ilvl w:val="0"/>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Type and Amount of other securities beneficially owned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262255</wp:posOffset>
            </wp:positionV>
            <wp:extent cx="491045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940" w:hanging="303"/>
        <w:spacing w:after="0"/>
        <w:tabs>
          <w:tab w:leader="none" w:pos="940" w:val="left"/>
        </w:tabs>
        <w:numPr>
          <w:ilvl w:val="0"/>
          <w:numId w:val="2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Relationships with the Company:</w:t>
      </w:r>
    </w:p>
    <w:p>
      <w:pPr>
        <w:spacing w:after="0" w:line="154" w:lineRule="exact"/>
        <w:rPr>
          <w:sz w:val="20"/>
          <w:szCs w:val="20"/>
          <w:color w:val="auto"/>
        </w:rPr>
      </w:pPr>
    </w:p>
    <w:p>
      <w:pPr>
        <w:ind w:left="640" w:right="679"/>
        <w:spacing w:after="0" w:line="257" w:lineRule="auto"/>
        <w:rPr>
          <w:sz w:val="20"/>
          <w:szCs w:val="20"/>
          <w:color w:val="auto"/>
        </w:rPr>
      </w:pPr>
      <w:r>
        <w:rPr>
          <w:rFonts w:ascii="Times New Roman" w:cs="Times New Roman" w:eastAsia="Times New Roman" w:hAnsi="Times New Roman"/>
          <w:sz w:val="13"/>
          <w:szCs w:val="13"/>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262255</wp:posOffset>
            </wp:positionV>
            <wp:extent cx="491045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228" w:name="page229"/>
    <w:bookmarkEnd w:id="228"/>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The undersigned acknowledges that the Securities Act and the rules and regulations promulgated thereunder may require the undersigned to promptly notify the Company of any material inaccuracies or changes in the information provided herein that may occur subsequent to the date hereof at any time as long as the undersigned holds Registrable Securities (as defined in the Registration Rights Agreement). In the absence of any such notification, the Company shall be entitled to continue to rely on the accuracy of the information in this Notice and Questionnaire.</w:t>
      </w:r>
    </w:p>
    <w:p>
      <w:pPr>
        <w:spacing w:after="0" w:line="133"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33"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IN WITNESS WHEREOF the undersigned, by authority duly given, has caused this Notice and Questionnaire to be executed and delivered either in person or by its duly authorized agent.</w:t>
      </w:r>
    </w:p>
    <w:p>
      <w:pPr>
        <w:spacing w:after="0" w:line="141" w:lineRule="exact"/>
        <w:rPr>
          <w:sz w:val="20"/>
          <w:szCs w:val="20"/>
          <w:color w:val="auto"/>
        </w:rPr>
      </w:pPr>
    </w:p>
    <w:p>
      <w:pPr>
        <w:ind w:left="640"/>
        <w:spacing w:after="0"/>
        <w:tabs>
          <w:tab w:leader="none" w:pos="4420" w:val="left"/>
        </w:tabs>
        <w:rPr>
          <w:sz w:val="20"/>
          <w:szCs w:val="20"/>
          <w:color w:val="auto"/>
        </w:rPr>
      </w:pPr>
      <w:r>
        <w:rPr>
          <w:rFonts w:ascii="Times New Roman" w:cs="Times New Roman" w:eastAsia="Times New Roman" w:hAnsi="Times New Roman"/>
          <w:sz w:val="13"/>
          <w:szCs w:val="13"/>
          <w:color w:val="auto"/>
        </w:rPr>
        <w:t xml:space="preserve">Date:                          </w:t>
      </w:r>
      <w:r>
        <w:rPr>
          <w:sz w:val="20"/>
          <w:szCs w:val="20"/>
          <w:color w:val="auto"/>
        </w:rPr>
        <w:tab/>
      </w:r>
      <w:r>
        <w:rPr>
          <w:rFonts w:ascii="Times New Roman" w:cs="Times New Roman" w:eastAsia="Times New Roman" w:hAnsi="Times New Roman"/>
          <w:sz w:val="12"/>
          <w:szCs w:val="12"/>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9525</wp:posOffset>
            </wp:positionV>
            <wp:extent cx="215455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4555" cy="571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-7620</wp:posOffset>
            </wp:positionV>
            <wp:extent cx="72199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9525</wp:posOffset>
            </wp:positionV>
            <wp:extent cx="215455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4555" cy="571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PLEASE EMAIL A .PDF COPY OF THE COMPLETED AND EXECUTED QUESTIONNAIRE TO:</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Fax:</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ectPr>
          <w:pgSz w:w="11900" w:h="16838" w:orient="portrait"/>
          <w:cols w:equalWidth="0" w:num="1">
            <w:col w:w="9019"/>
          </w:cols>
          <w:pgMar w:left="1440" w:top="231" w:right="1440" w:bottom="1440" w:gutter="0" w:footer="0" w:header="0"/>
        </w:sectPr>
      </w:pPr>
    </w:p>
    <w:bookmarkStart w:id="229" w:name="page230"/>
    <w:bookmarkEnd w:id="229"/>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CONTINGENT VALUE RIGHTS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THIS CONTINGENT VALUE RIGHTS AGREEMENT, dated as of [•], 2026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entered into by and between G</w:t>
      </w:r>
      <w:r>
        <w:rPr>
          <w:rFonts w:ascii="Times New Roman" w:cs="Times New Roman" w:eastAsia="Times New Roman" w:hAnsi="Times New Roman"/>
          <w:sz w:val="10"/>
          <w:szCs w:val="10"/>
          <w:color w:val="auto"/>
        </w:rPr>
        <w:t>AZELLE</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P</w:t>
      </w:r>
      <w:r>
        <w:rPr>
          <w:rFonts w:ascii="Times New Roman" w:cs="Times New Roman" w:eastAsia="Times New Roman" w:hAnsi="Times New Roman"/>
          <w:sz w:val="9"/>
          <w:szCs w:val="9"/>
          <w:color w:val="auto"/>
        </w:rPr>
        <w:t>ARENT</w:t>
      </w:r>
      <w:r>
        <w:rPr>
          <w:rFonts w:ascii="Times New Roman" w:cs="Times New Roman" w:eastAsia="Times New Roman" w:hAnsi="Times New Roman"/>
          <w:sz w:val="12"/>
          <w:szCs w:val="12"/>
          <w:color w:val="auto"/>
        </w:rPr>
        <w:t>, I</w:t>
      </w:r>
      <w:r>
        <w:rPr>
          <w:rFonts w:ascii="Times New Roman" w:cs="Times New Roman" w:eastAsia="Times New Roman" w:hAnsi="Times New Roman"/>
          <w:sz w:val="9"/>
          <w:szCs w:val="9"/>
          <w:color w:val="auto"/>
        </w:rPr>
        <w:t>NC</w:t>
      </w:r>
      <w:r>
        <w:rPr>
          <w:rFonts w:ascii="Times New Roman" w:cs="Times New Roman" w:eastAsia="Times New Roman" w:hAnsi="Times New Roman"/>
          <w:sz w:val="12"/>
          <w:szCs w:val="12"/>
          <w:color w:val="auto"/>
        </w:rPr>
        <w:t>., a Delaware corporation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O</w:t>
      </w:r>
      <w:r>
        <w:rPr>
          <w:rFonts w:ascii="Times New Roman" w:cs="Times New Roman" w:eastAsia="Times New Roman" w:hAnsi="Times New Roman"/>
          <w:sz w:val="9"/>
          <w:szCs w:val="9"/>
          <w:color w:val="auto"/>
        </w:rPr>
        <w:t>BSIDIAN</w:t>
      </w:r>
      <w:r>
        <w:rPr>
          <w:rFonts w:ascii="Times New Roman" w:cs="Times New Roman" w:eastAsia="Times New Roman" w:hAnsi="Times New Roman"/>
          <w:sz w:val="12"/>
          <w:szCs w:val="12"/>
          <w:color w:val="auto"/>
        </w:rPr>
        <w:t xml:space="preserve"> T</w:t>
      </w:r>
      <w:r>
        <w:rPr>
          <w:rFonts w:ascii="Times New Roman" w:cs="Times New Roman" w:eastAsia="Times New Roman" w:hAnsi="Times New Roman"/>
          <w:sz w:val="9"/>
          <w:szCs w:val="9"/>
          <w:color w:val="auto"/>
        </w:rPr>
        <w:t>HERAPEUTICS</w:t>
      </w:r>
      <w:r>
        <w:rPr>
          <w:rFonts w:ascii="Times New Roman" w:cs="Times New Roman" w:eastAsia="Times New Roman" w:hAnsi="Times New Roman"/>
          <w:sz w:val="12"/>
          <w:szCs w:val="12"/>
          <w:color w:val="auto"/>
        </w:rPr>
        <w:t>, I</w:t>
      </w:r>
      <w:r>
        <w:rPr>
          <w:rFonts w:ascii="Times New Roman" w:cs="Times New Roman" w:eastAsia="Times New Roman" w:hAnsi="Times New Roman"/>
          <w:sz w:val="9"/>
          <w:szCs w:val="9"/>
          <w:color w:val="auto"/>
        </w:rPr>
        <w:t>NC</w:t>
      </w:r>
      <w:r>
        <w:rPr>
          <w:rFonts w:ascii="Times New Roman" w:cs="Times New Roman" w:eastAsia="Times New Roman" w:hAnsi="Times New Roman"/>
          <w:sz w:val="12"/>
          <w:szCs w:val="12"/>
          <w:color w:val="auto"/>
        </w:rPr>
        <w:t xml:space="preserve">., a Delaware corporation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w:t>
      </w:r>
      <w:r>
        <w:rPr>
          <w:rFonts w:ascii="Times New Roman" w:cs="Times New Roman" w:eastAsia="Times New Roman" w:hAnsi="Times New Roman"/>
          <w:sz w:val="12"/>
          <w:szCs w:val="12"/>
          <w:color w:val="auto"/>
        </w:rPr>
        <w:t>”) and Equiniti Trust Company,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LLC, a Delaware limited liability company (the “</w:t>
      </w:r>
      <w:r>
        <w:rPr>
          <w:rFonts w:ascii="Times New Roman" w:cs="Times New Roman" w:eastAsia="Times New Roman" w:hAnsi="Times New Roman"/>
          <w:sz w:val="13"/>
          <w:szCs w:val="13"/>
          <w:b w:val="1"/>
          <w:bCs w:val="1"/>
          <w:color w:val="auto"/>
        </w:rPr>
        <w:t>Rights Agent</w:t>
      </w:r>
      <w:r>
        <w:rPr>
          <w:rFonts w:ascii="Times New Roman" w:cs="Times New Roman" w:eastAsia="Times New Roman" w:hAnsi="Times New Roman"/>
          <w:sz w:val="13"/>
          <w:szCs w:val="13"/>
          <w:color w:val="auto"/>
        </w:rPr>
        <w:t>” and, collectively with Parent and Obsidian,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2"/>
          <w:szCs w:val="12"/>
          <w:color w:val="auto"/>
        </w:rPr>
        <w:t>WHEREAS, Obsidian, Galera Therapeutics, Inc., a Delaware corporation (“</w:t>
      </w:r>
      <w:r>
        <w:rPr>
          <w:rFonts w:ascii="Times New Roman" w:cs="Times New Roman" w:eastAsia="Times New Roman" w:hAnsi="Times New Roman"/>
          <w:sz w:val="12"/>
          <w:szCs w:val="12"/>
          <w:b w:val="1"/>
          <w:bCs w:val="1"/>
          <w:color w:val="auto"/>
        </w:rPr>
        <w:t>Galera</w:t>
      </w:r>
      <w:r>
        <w:rPr>
          <w:rFonts w:ascii="Times New Roman" w:cs="Times New Roman" w:eastAsia="Times New Roman" w:hAnsi="Times New Roman"/>
          <w:sz w:val="12"/>
          <w:szCs w:val="12"/>
          <w:color w:val="auto"/>
        </w:rPr>
        <w:t xml:space="preserve">”), Parent, Onyx MergerSub, Inc., a Delaware corporation and a direct, wholly owned subsidiary of Parent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Merger Sub</w:t>
      </w:r>
      <w:r>
        <w:rPr>
          <w:rFonts w:ascii="Times New Roman" w:cs="Times New Roman" w:eastAsia="Times New Roman" w:hAnsi="Times New Roman"/>
          <w:sz w:val="12"/>
          <w:szCs w:val="12"/>
          <w:color w:val="auto"/>
        </w:rPr>
        <w:t xml:space="preserve">”), and Gazelle Merger Subsidiary, Inc., a Delaware corporation and a direct, wholly owned subsidiary of Parent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Galera Merger Sub</w:t>
      </w:r>
      <w:r>
        <w:rPr>
          <w:rFonts w:ascii="Times New Roman" w:cs="Times New Roman" w:eastAsia="Times New Roman" w:hAnsi="Times New Roman"/>
          <w:sz w:val="12"/>
          <w:szCs w:val="12"/>
          <w:color w:val="auto"/>
        </w:rPr>
        <w:t>” and together with Obsidian Merger Sub, “</w:t>
      </w:r>
      <w:r>
        <w:rPr>
          <w:rFonts w:ascii="Times New Roman" w:cs="Times New Roman" w:eastAsia="Times New Roman" w:hAnsi="Times New Roman"/>
          <w:sz w:val="12"/>
          <w:szCs w:val="12"/>
          <w:b w:val="1"/>
          <w:bCs w:val="1"/>
          <w:color w:val="auto"/>
        </w:rPr>
        <w:t>Merger Subs</w:t>
      </w:r>
      <w:r>
        <w:rPr>
          <w:rFonts w:ascii="Times New Roman" w:cs="Times New Roman" w:eastAsia="Times New Roman" w:hAnsi="Times New Roman"/>
          <w:sz w:val="12"/>
          <w:szCs w:val="12"/>
          <w:color w:val="auto"/>
        </w:rPr>
        <w:t>”) have entered into an Agreement and Plan of Merger dated as of April 14, 2026 (as it may be amended or supplemented from time to time pursuant to the terms thereof, the “</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pursuant to which (i) Obsidian Merger Sub will merge with and into Obsidian (the “</w:t>
      </w:r>
      <w:r>
        <w:rPr>
          <w:rFonts w:ascii="Times New Roman" w:cs="Times New Roman" w:eastAsia="Times New Roman" w:hAnsi="Times New Roman"/>
          <w:sz w:val="12"/>
          <w:szCs w:val="12"/>
          <w:b w:val="1"/>
          <w:bCs w:val="1"/>
          <w:color w:val="auto"/>
        </w:rPr>
        <w:t>Obsidian Merger</w:t>
      </w:r>
      <w:r>
        <w:rPr>
          <w:rFonts w:ascii="Times New Roman" w:cs="Times New Roman" w:eastAsia="Times New Roman" w:hAnsi="Times New Roman"/>
          <w:sz w:val="12"/>
          <w:szCs w:val="12"/>
          <w:color w:val="auto"/>
        </w:rPr>
        <w:t>”), with Obsidian surviving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Obsidian Merger as a wholly owned subsidiary of Parent (the “</w:t>
      </w:r>
      <w:r>
        <w:rPr>
          <w:rFonts w:ascii="Times New Roman" w:cs="Times New Roman" w:eastAsia="Times New Roman" w:hAnsi="Times New Roman"/>
          <w:sz w:val="12"/>
          <w:szCs w:val="12"/>
          <w:b w:val="1"/>
          <w:bCs w:val="1"/>
          <w:color w:val="auto"/>
        </w:rPr>
        <w:t>Obsidian Surviving Company</w:t>
      </w:r>
      <w:r>
        <w:rPr>
          <w:rFonts w:ascii="Times New Roman" w:cs="Times New Roman" w:eastAsia="Times New Roman" w:hAnsi="Times New Roman"/>
          <w:sz w:val="12"/>
          <w:szCs w:val="12"/>
          <w:color w:val="auto"/>
        </w:rPr>
        <w:t>”), and (ii) promptly following the Obsidian Merger, Galera Merger Sub will merge with and into Galera (the “</w:t>
      </w:r>
      <w:r>
        <w:rPr>
          <w:rFonts w:ascii="Times New Roman" w:cs="Times New Roman" w:eastAsia="Times New Roman" w:hAnsi="Times New Roman"/>
          <w:sz w:val="12"/>
          <w:szCs w:val="12"/>
          <w:b w:val="1"/>
          <w:bCs w:val="1"/>
          <w:color w:val="auto"/>
        </w:rPr>
        <w:t>Galera Merger</w:t>
      </w:r>
      <w:r>
        <w:rPr>
          <w:rFonts w:ascii="Times New Roman" w:cs="Times New Roman" w:eastAsia="Times New Roman" w:hAnsi="Times New Roman"/>
          <w:sz w:val="12"/>
          <w:szCs w:val="12"/>
          <w:color w:val="auto"/>
        </w:rPr>
        <w:t>” and, together with the Obsidian Merger, the “</w:t>
      </w:r>
      <w:r>
        <w:rPr>
          <w:rFonts w:ascii="Times New Roman" w:cs="Times New Roman" w:eastAsia="Times New Roman" w:hAnsi="Times New Roman"/>
          <w:sz w:val="12"/>
          <w:szCs w:val="12"/>
          <w:b w:val="1"/>
          <w:bCs w:val="1"/>
          <w:color w:val="auto"/>
        </w:rPr>
        <w:t>Mergers</w:t>
      </w:r>
      <w:r>
        <w:rPr>
          <w:rFonts w:ascii="Times New Roman" w:cs="Times New Roman" w:eastAsia="Times New Roman" w:hAnsi="Times New Roman"/>
          <w:sz w:val="12"/>
          <w:szCs w:val="12"/>
          <w:color w:val="auto"/>
        </w:rPr>
        <w:t>”), with Galera surviving the Galera Merger as a wholly owned subsidiary of Parent (the “</w:t>
      </w:r>
      <w:r>
        <w:rPr>
          <w:rFonts w:ascii="Times New Roman" w:cs="Times New Roman" w:eastAsia="Times New Roman" w:hAnsi="Times New Roman"/>
          <w:sz w:val="12"/>
          <w:szCs w:val="12"/>
          <w:b w:val="1"/>
          <w:bCs w:val="1"/>
          <w:color w:val="auto"/>
        </w:rPr>
        <w:t>Galera Surviving Company</w:t>
      </w:r>
      <w:r>
        <w:rPr>
          <w:rFonts w:ascii="Times New Roman" w:cs="Times New Roman" w:eastAsia="Times New Roman" w:hAnsi="Times New Roman"/>
          <w:sz w:val="12"/>
          <w:szCs w:val="12"/>
          <w:color w:val="auto"/>
        </w:rPr>
        <w:t>”); and</w:t>
      </w:r>
    </w:p>
    <w:p>
      <w:pPr>
        <w:spacing w:after="0" w:line="125" w:lineRule="exact"/>
        <w:rPr>
          <w:sz w:val="20"/>
          <w:szCs w:val="20"/>
          <w:color w:val="auto"/>
        </w:rPr>
      </w:pPr>
    </w:p>
    <w:p>
      <w:pPr>
        <w:jc w:val="both"/>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WHEREAS, in accordance with the Merger Agreement, Galera has declared a distribution to each of the holders of Galera Common Stock of record as of the last Business Day prior to the Galera Effective Time (but, for clarity, after the conversion of all Galera Series B Preferred Stock into Galera Common Stock as described in further detail in the Merger Agreement) representing the right to receive contingent cash payments pursuant to CVRs (as defined below) in respect of each CVR Product Agreement (as defined below) as hereinafter described.</w:t>
      </w:r>
    </w:p>
    <w:p>
      <w:pPr>
        <w:spacing w:after="0" w:line="133"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consummation of the transactions referred to above, the Parties agree, for the proportionate benefit of all Holders (as hereinafter defined), as follows: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 DEFINITIONS; CERTAIN RULES OF CONSTRUCTION</w:t>
      </w:r>
    </w:p>
    <w:p>
      <w:pPr>
        <w:spacing w:after="0" w:line="80"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Capitalized terms used but not otherwise defined herein will have the meanings ascribed to them in the Merger Agreement, unless expressly set forth otherwise herein. As used in this Agreement, the following terms will have the following meanings: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 of Directors</w:t>
      </w:r>
      <w:r>
        <w:rPr>
          <w:rFonts w:ascii="Times New Roman" w:cs="Times New Roman" w:eastAsia="Times New Roman" w:hAnsi="Times New Roman"/>
          <w:sz w:val="12"/>
          <w:szCs w:val="12"/>
          <w:color w:val="auto"/>
        </w:rPr>
        <w:t>” means the board of directors of Parent following consummation of the transactions contemplated by the Merger Agreement.</w:t>
      </w:r>
    </w:p>
    <w:p>
      <w:pPr>
        <w:spacing w:after="0" w:line="165"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Board Resolution</w:t>
      </w:r>
      <w:r>
        <w:rPr>
          <w:rFonts w:ascii="Times New Roman" w:cs="Times New Roman" w:eastAsia="Times New Roman" w:hAnsi="Times New Roman"/>
          <w:sz w:val="13"/>
          <w:szCs w:val="13"/>
          <w:color w:val="auto"/>
        </w:rPr>
        <w:t>” means a copy of a resolution certified by the secretary or an assistant secretary of Parent to have been duly adopted by the Board of Directors and to be in full force and effect on the date of such certification, and delivered to the Rights Agent.</w:t>
      </w:r>
    </w:p>
    <w:p>
      <w:pPr>
        <w:sectPr>
          <w:pgSz w:w="11900" w:h="16838" w:orient="portrait"/>
          <w:cols w:equalWidth="0" w:num="1">
            <w:col w:w="9019"/>
          </w:cols>
          <w:pgMar w:left="1440" w:top="229" w:right="1440" w:bottom="1440" w:gutter="0" w:footer="0" w:header="0"/>
        </w:sectPr>
      </w:pPr>
    </w:p>
    <w:bookmarkStart w:id="230" w:name="page231"/>
    <w:bookmarkEnd w:id="23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Calendar Quarter</w:t>
      </w:r>
      <w:r>
        <w:rPr>
          <w:rFonts w:ascii="Times New Roman" w:cs="Times New Roman" w:eastAsia="Times New Roman" w:hAnsi="Times New Roman"/>
          <w:sz w:val="13"/>
          <w:szCs w:val="13"/>
          <w:color w:val="auto"/>
        </w:rPr>
        <w:t>” means each successive period of three (3) calendar months commencing on January 1, April 1, July 1 and October 1.</w:t>
      </w:r>
    </w:p>
    <w:p>
      <w:pPr>
        <w:spacing w:after="0" w:line="154" w:lineRule="exact"/>
        <w:rPr>
          <w:sz w:val="20"/>
          <w:szCs w:val="20"/>
          <w:color w:val="auto"/>
        </w:rPr>
      </w:pPr>
    </w:p>
    <w:p>
      <w:pPr>
        <w:ind w:left="640" w:right="7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Change of Control</w:t>
      </w:r>
      <w:r>
        <w:rPr>
          <w:rFonts w:ascii="Times New Roman" w:cs="Times New Roman" w:eastAsia="Times New Roman" w:hAnsi="Times New Roman"/>
          <w:sz w:val="13"/>
          <w:szCs w:val="13"/>
          <w:color w:val="auto"/>
        </w:rPr>
        <w:t>” means (a) a sale or other disposition of all or substantially all of the assets of Parent on a consolidated basis (other than to any direct or indirect wholly owned subsidiary of Parent for so long as it remains a wholly owned subsidiary of Parent), (b) a merger or consolidation involving Parent in which Parent is not the surviving entity, and (c) any other transaction involving Parent in which Parent is the surviving entity but in which the stockholders of Parent immediately prior to such transaction own less than fifty percent (50%) of the surviving entity’s voting power immediately after the transaction, in the case of each of the foregoing clauses (a), (b) and (c), whether effected directly or indirectly, and whether effected in a single transaction or a series of related transactions.</w:t>
      </w:r>
    </w:p>
    <w:p>
      <w:pPr>
        <w:spacing w:after="0" w:line="135"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Commercially Reasonable Efforts</w:t>
      </w:r>
      <w:r>
        <w:rPr>
          <w:rFonts w:ascii="Times New Roman" w:cs="Times New Roman" w:eastAsia="Times New Roman" w:hAnsi="Times New Roman"/>
          <w:sz w:val="13"/>
          <w:szCs w:val="13"/>
          <w:color w:val="auto"/>
        </w:rPr>
        <w:t>” means, with respect to any particular task or obligation, efforts consistent with commercially reasonable practices of a biopharmaceutical company of comparable size and resources as Parent (on a consolidated basis following consummation of the transactions contemplated by the Merger Agreement) relating to commercializing a similar product or product candidate, as applicable, at a similar stage in its development or product life as the applicable CVR Product (“</w:t>
      </w:r>
      <w:r>
        <w:rPr>
          <w:rFonts w:ascii="Times New Roman" w:cs="Times New Roman" w:eastAsia="Times New Roman" w:hAnsi="Times New Roman"/>
          <w:sz w:val="13"/>
          <w:szCs w:val="13"/>
          <w:b w:val="1"/>
          <w:bCs w:val="1"/>
          <w:color w:val="auto"/>
        </w:rPr>
        <w:t>Relevant Products</w:t>
      </w:r>
      <w:r>
        <w:rPr>
          <w:rFonts w:ascii="Times New Roman" w:cs="Times New Roman" w:eastAsia="Times New Roman" w:hAnsi="Times New Roman"/>
          <w:sz w:val="13"/>
          <w:szCs w:val="13"/>
          <w:color w:val="auto"/>
        </w:rPr>
        <w:t>”), taking into account all relevant commercial, financial, technical, legal, scientific or medical factors, including safety, tolerability and efficacy, product profile, the competitiveness of other products in development in the marketplace, manufacturing and supply chain management considerations, the proprietary position of the Relevant Products (including with respect to patent or regulatory exclusivity), and the regulatory structure involved. For clarity, “Commercially Reasonable Efforts” shall be determined on an indication-by-indication, product-by-product and country-by-country basis, and it is anticipated that the level of efforts for different indications, products and countries may differ or change over time, reflecting changes in the status of the products, indications and country(ies) involved.</w:t>
      </w:r>
    </w:p>
    <w:p>
      <w:pPr>
        <w:spacing w:after="0" w:line="136"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Amount</w:t>
      </w:r>
      <w:r>
        <w:rPr>
          <w:rFonts w:ascii="Times New Roman" w:cs="Times New Roman" w:eastAsia="Times New Roman" w:hAnsi="Times New Roman"/>
          <w:sz w:val="13"/>
          <w:szCs w:val="13"/>
          <w:color w:val="auto"/>
        </w:rPr>
        <w:t>” means, for a given Holder, an amount equal to the product of (a) (i) with respect to the Supportive-Care Product CVRs, an amount equal to eighty percent (80%) of the Net Proceeds actually received, without duplication, pursuant to the Supportive-Care Product Agreement by a Payment Obligor from or on behalf of any Supportive-Care Product Counterparty, or (ii) with respect to the Legacy Product CVRs, an amount equal to ninety-five percent (95%) of the Net Proceeds actually received, without duplication, pursuant to any Legacy Product Agreement by any Payment Obligor from or on behalf of any Legacy Product Counterparty, and (b) (i) the total number of CVRs entitled to receive such Net Proceeds held by such Holder divided by (ii) the total number of CVRs entitled to receive such Net Proceeds held by all Holders as each is reflected on the CVR Register as of the close of business on the date prior to the date of payment.</w:t>
      </w:r>
    </w:p>
    <w:p>
      <w:pPr>
        <w:spacing w:after="0" w:line="132"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Date</w:t>
      </w:r>
      <w:r>
        <w:rPr>
          <w:rFonts w:ascii="Times New Roman" w:cs="Times New Roman" w:eastAsia="Times New Roman" w:hAnsi="Times New Roman"/>
          <w:sz w:val="13"/>
          <w:szCs w:val="13"/>
          <w:color w:val="auto"/>
        </w:rPr>
        <w:t>” means no later than thirty (30) days following the receipt of Gross Proceeds by any Payment Obligor, pursuant to which Net Proceeds are payable to the Holders.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Period</w:t>
      </w:r>
      <w:r>
        <w:rPr>
          <w:rFonts w:ascii="Times New Roman" w:cs="Times New Roman" w:eastAsia="Times New Roman" w:hAnsi="Times New Roman"/>
          <w:sz w:val="13"/>
          <w:szCs w:val="13"/>
          <w:color w:val="auto"/>
        </w:rPr>
        <w:t>” means the Legacy Product CVR Period or Supportive-Care CVR Period, as applicable.</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31" w:name="page232"/>
    <w:bookmarkEnd w:id="23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CVR Product</w:t>
      </w:r>
      <w:r>
        <w:rPr>
          <w:rFonts w:ascii="Times New Roman" w:cs="Times New Roman" w:eastAsia="Times New Roman" w:hAnsi="Times New Roman"/>
          <w:sz w:val="13"/>
          <w:szCs w:val="13"/>
          <w:color w:val="auto"/>
        </w:rPr>
        <w:t>” means each Legacy Product and each Supportive-Care Product.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Product Agreement</w:t>
      </w:r>
      <w:r>
        <w:rPr>
          <w:rFonts w:ascii="Times New Roman" w:cs="Times New Roman" w:eastAsia="Times New Roman" w:hAnsi="Times New Roman"/>
          <w:sz w:val="13"/>
          <w:szCs w:val="13"/>
          <w:color w:val="auto"/>
        </w:rPr>
        <w:t>” means each of a Legacy Product Agreement and the Supportive-Care Product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CVRs</w:t>
      </w:r>
      <w:r>
        <w:rPr>
          <w:rFonts w:ascii="Times New Roman" w:cs="Times New Roman" w:eastAsia="Times New Roman" w:hAnsi="Times New Roman"/>
          <w:sz w:val="13"/>
          <w:szCs w:val="13"/>
          <w:color w:val="auto"/>
        </w:rPr>
        <w:t>” means the Supportive-Care Product CVRs and the Legacy Product CVRs, as applicable.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Depositary</w:t>
      </w:r>
      <w:r>
        <w:rPr>
          <w:rFonts w:ascii="Times New Roman" w:cs="Times New Roman" w:eastAsia="Times New Roman" w:hAnsi="Times New Roman"/>
          <w:sz w:val="13"/>
          <w:szCs w:val="13"/>
          <w:color w:val="auto"/>
        </w:rPr>
        <w:t>” means [•] or any successor thereto.</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DTC</w:t>
      </w:r>
      <w:r>
        <w:rPr>
          <w:rFonts w:ascii="Times New Roman" w:cs="Times New Roman" w:eastAsia="Times New Roman" w:hAnsi="Times New Roman"/>
          <w:sz w:val="13"/>
          <w:szCs w:val="13"/>
          <w:color w:val="auto"/>
        </w:rPr>
        <w:t>” means The Depository Trust Company or any successor thereto.</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Expiration Date</w:t>
      </w:r>
      <w:r>
        <w:rPr>
          <w:rFonts w:ascii="Times New Roman" w:cs="Times New Roman" w:eastAsia="Times New Roman" w:hAnsi="Times New Roman"/>
          <w:sz w:val="13"/>
          <w:szCs w:val="13"/>
          <w:color w:val="auto"/>
        </w:rPr>
        <w:t>” means the Legacy Product Expiration Date or Supportive-Care Product Expiration Date, as applicable.</w:t>
      </w:r>
    </w:p>
    <w:p>
      <w:pPr>
        <w:spacing w:after="0" w:line="154"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Gross Proceeds</w:t>
      </w:r>
      <w:r>
        <w:rPr>
          <w:rFonts w:ascii="Times New Roman" w:cs="Times New Roman" w:eastAsia="Times New Roman" w:hAnsi="Times New Roman"/>
          <w:sz w:val="12"/>
          <w:szCs w:val="12"/>
          <w:color w:val="auto"/>
        </w:rPr>
        <w:t xml:space="preserve">” means, without duplication, with respect to a CVR Product(s) for any Calendar Quarter, the sum of all Cash and Cash Equivalents actually paid to the relevant Payment Obligor or received by any Payment Obligor under the applicable CVR Product Agreement during the applicable CVR Period and attributable to the CVR Product(s);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following shall be excluded from Gross Proceeds: (a) any amount paid by a Supportive-Care Product Counterparty or Legacy Product Counterparty, as applicable, for the conduct of research, development or manufacturing activities pursuant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research or development plan or supply agreement or amounts to reimburse or pay third parties for the cost of research, development or manufacturing activities being conducted by a third party on behalf of Parent, Galera or any other Affiliate of Parent; (b) loan proceeds paid to any Payment Obligor by a Supportive-Care Product Counterparty or Legacy Product Counterparty; (c) any amounts paid by a Supportive-Care Product Counterparty or a Legacy Product Counterparty for payment or reimbursement of patent prosecution, defense, enforcement and maintenance and other related expenses and (d) any consideration received by a Payment Obligor under a CVR Product Agreement after the applicable Expiration Date. For the avoidance of doubt, the value of any securities (whether debt or equity) or other non-cash property received by any Payment Obligor shall not constitute Gross Proceeds unless and until converted into Cash and Cash Equivalents.</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means a Person in whose name a CVR is registered in the CVR Register at the applicable time.</w:t>
      </w:r>
    </w:p>
    <w:p>
      <w:pPr>
        <w:spacing w:after="0" w:line="154" w:lineRule="exact"/>
        <w:rPr>
          <w:sz w:val="20"/>
          <w:szCs w:val="20"/>
          <w:color w:val="auto"/>
        </w:rPr>
      </w:pPr>
    </w:p>
    <w:p>
      <w:pPr>
        <w:ind w:left="640" w:right="8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IP Rights</w:t>
      </w:r>
      <w:r>
        <w:rPr>
          <w:rFonts w:ascii="Times New Roman" w:cs="Times New Roman" w:eastAsia="Times New Roman" w:hAnsi="Times New Roman"/>
          <w:sz w:val="13"/>
          <w:szCs w:val="13"/>
          <w:color w:val="auto"/>
        </w:rPr>
        <w:t>” means all Galera IP Rights that (i) are necessary or reasonably useful to develop, commercialize or otherwise exploit any Legacy Product and (ii) were not divested pursuant to the Supportive-Care Product Agreement.</w:t>
      </w:r>
    </w:p>
    <w:p>
      <w:pPr>
        <w:spacing w:after="0" w:line="119"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Product</w:t>
      </w:r>
      <w:r>
        <w:rPr>
          <w:rFonts w:ascii="Times New Roman" w:cs="Times New Roman" w:eastAsia="Times New Roman" w:hAnsi="Times New Roman"/>
          <w:sz w:val="13"/>
          <w:szCs w:val="13"/>
          <w:color w:val="auto"/>
        </w:rPr>
        <w:t>” means any pharmaceutical product containing the small molecule known as tilarganine (“</w:t>
      </w:r>
      <w:r>
        <w:rPr>
          <w:rFonts w:ascii="Times New Roman" w:cs="Times New Roman" w:eastAsia="Times New Roman" w:hAnsi="Times New Roman"/>
          <w:sz w:val="13"/>
          <w:szCs w:val="13"/>
          <w:b w:val="1"/>
          <w:bCs w:val="1"/>
          <w:color w:val="auto"/>
        </w:rPr>
        <w:t>tilarganine</w:t>
      </w:r>
      <w:r>
        <w:rPr>
          <w:rFonts w:ascii="Times New Roman" w:cs="Times New Roman" w:eastAsia="Times New Roman" w:hAnsi="Times New Roman"/>
          <w:sz w:val="13"/>
          <w:szCs w:val="13"/>
          <w:color w:val="auto"/>
        </w:rPr>
        <w:t>”) and any pharmaceutically acceptable salt, polymorph, crystal form, prodrug or solvate thereof that the manufacture, use or sale of which would, absent a license thereto, infringe the claim of any patent right within the Legacy IP Rights that covers the composition of matter for tilarganine.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32" w:name="page233"/>
    <w:bookmarkEnd w:id="232"/>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Legacy Product Agreement</w:t>
      </w:r>
      <w:r>
        <w:rPr>
          <w:rFonts w:ascii="Times New Roman" w:cs="Times New Roman" w:eastAsia="Times New Roman" w:hAnsi="Times New Roman"/>
          <w:sz w:val="13"/>
          <w:szCs w:val="13"/>
          <w:color w:val="auto"/>
        </w:rPr>
        <w:t>” means any agreement or series of agreements entered into during the Legacy Product CVR Period between, on the one hand, Parent, Galera, Obsidian or any other Affiliate of Parent, and, on the other hand, any other Person, under which Parent, Galera, Obsidian or any other Affiliate of Parent exclusively licenses, sells, assigns, transfers or otherwise divests any Legacy IP Rights to develop and commercialize any Legacy Product(s). For clarity, a Legacy Product Agreement does not include an agreement or series of agreements entered into following the Closing between Parent, Galera, Obsidian or any other Affiliate of Parent, on the one hand, and a counterparty to an Legacy Product Agreement, on the other hand, to acquire Parent or a successor-in-interest to Parent.</w:t>
      </w:r>
    </w:p>
    <w:p>
      <w:pPr>
        <w:spacing w:after="0" w:line="135"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Product Counterparty</w:t>
      </w:r>
      <w:r>
        <w:rPr>
          <w:rFonts w:ascii="Times New Roman" w:cs="Times New Roman" w:eastAsia="Times New Roman" w:hAnsi="Times New Roman"/>
          <w:sz w:val="13"/>
          <w:szCs w:val="13"/>
          <w:color w:val="auto"/>
        </w:rPr>
        <w:t>” means any Person that is party to any Legacy Product Agreement, other than Parent, Galera, Obsidian or any other Affiliate of Parent.</w:t>
      </w:r>
    </w:p>
    <w:p>
      <w:pPr>
        <w:spacing w:after="0" w:line="119"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Product CVRs</w:t>
      </w:r>
      <w:r>
        <w:rPr>
          <w:rFonts w:ascii="Times New Roman" w:cs="Times New Roman" w:eastAsia="Times New Roman" w:hAnsi="Times New Roman"/>
          <w:sz w:val="13"/>
          <w:szCs w:val="13"/>
          <w:color w:val="auto"/>
        </w:rPr>
        <w:t>” means the right to receive contingent cash payments with respect to a Legacy Product Agreement pursuant to this Agreement and the Merger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Product CVR Period</w:t>
      </w:r>
      <w:r>
        <w:rPr>
          <w:rFonts w:ascii="Times New Roman" w:cs="Times New Roman" w:eastAsia="Times New Roman" w:hAnsi="Times New Roman"/>
          <w:sz w:val="13"/>
          <w:szCs w:val="13"/>
          <w:color w:val="auto"/>
        </w:rPr>
        <w:t>” means the period beginning on the Closing Date and ending on the Legacy Product Expiration Date.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Product Expiration Date</w:t>
      </w:r>
      <w:r>
        <w:rPr>
          <w:rFonts w:ascii="Times New Roman" w:cs="Times New Roman" w:eastAsia="Times New Roman" w:hAnsi="Times New Roman"/>
          <w:sz w:val="13"/>
          <w:szCs w:val="13"/>
          <w:color w:val="auto"/>
        </w:rPr>
        <w:t>” means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Closing Date.</w:t>
      </w:r>
    </w:p>
    <w:p>
      <w:pPr>
        <w:spacing w:after="0" w:line="96"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Net Proceeds</w:t>
      </w:r>
      <w:r>
        <w:rPr>
          <w:rFonts w:ascii="Times New Roman" w:cs="Times New Roman" w:eastAsia="Times New Roman" w:hAnsi="Times New Roman"/>
          <w:sz w:val="13"/>
          <w:szCs w:val="13"/>
          <w:color w:val="auto"/>
        </w:rPr>
        <w:t>” means, for each CVR Product Agreement for each Calendar Quarter during the applicable CVR Period, the Gross Proceeds minus Permitted Deductions, as calculated in a manner consistent with GAAP. For clarity, if any of the applicable Gross Proceeds or Permitted Deduction are not in U.S. dollars, currency conversion to U.S. dollars shall be made by using the exchange rate prevailing at the Depositary or its successor entity on the date of receipt of such Gross Proceeds or date of payment of relevant Permitted Deductions, as applicable.</w:t>
      </w:r>
    </w:p>
    <w:p>
      <w:pPr>
        <w:spacing w:after="0" w:line="130" w:lineRule="exact"/>
        <w:rPr>
          <w:sz w:val="20"/>
          <w:szCs w:val="20"/>
          <w:color w:val="auto"/>
        </w:rPr>
      </w:pPr>
    </w:p>
    <w:p>
      <w:pPr>
        <w:ind w:left="640" w:right="115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Officer’s Certificate</w:t>
      </w:r>
      <w:r>
        <w:rPr>
          <w:rFonts w:ascii="Times New Roman" w:cs="Times New Roman" w:eastAsia="Times New Roman" w:hAnsi="Times New Roman"/>
          <w:sz w:val="12"/>
          <w:szCs w:val="12"/>
          <w:color w:val="auto"/>
        </w:rPr>
        <w:t>” means a certificate signed by the chief executive officer, president, chief financial officer, any vice president, the controller, the treasurer or the secretary, in each case of Parent, in his or her capacity as such an officer, and delivered to the Rights Agent.</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Payment Obligor</w:t>
      </w:r>
      <w:r>
        <w:rPr>
          <w:rFonts w:ascii="Times New Roman" w:cs="Times New Roman" w:eastAsia="Times New Roman" w:hAnsi="Times New Roman"/>
          <w:sz w:val="12"/>
          <w:szCs w:val="12"/>
          <w:color w:val="auto"/>
        </w:rPr>
        <w:t>” means Parent or any other Affiliate of Parent, or any of their respective successors (including any Assignee) or Affiliates.</w:t>
      </w:r>
    </w:p>
    <w:p>
      <w:pPr>
        <w:spacing w:after="0" w:line="165"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Deductions</w:t>
      </w:r>
      <w:r>
        <w:rPr>
          <w:rFonts w:ascii="Times New Roman" w:cs="Times New Roman" w:eastAsia="Times New Roman" w:hAnsi="Times New Roman"/>
          <w:sz w:val="13"/>
          <w:szCs w:val="13"/>
          <w:color w:val="auto"/>
        </w:rPr>
        <w:t>” means the sum of, without duplication of any deductions listed below or exclusions from Gross Proceeds, the following costs or expenses with respect to a particular Calendar Quarter, for each CVR Product Agreement, to the extent actually paid or remitted by, and not otherwise reimbursed to, a Payment Obligor:</w:t>
      </w:r>
    </w:p>
    <w:p>
      <w:pPr>
        <w:spacing w:after="0" w:line="52" w:lineRule="exact"/>
        <w:rPr>
          <w:sz w:val="20"/>
          <w:szCs w:val="20"/>
          <w:color w:val="auto"/>
        </w:rPr>
      </w:pPr>
    </w:p>
    <w:p>
      <w:pPr>
        <w:ind w:left="640" w:right="719" w:firstLine="307"/>
        <w:spacing w:after="0" w:line="249" w:lineRule="auto"/>
        <w:tabs>
          <w:tab w:leader="none" w:pos="1121"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Taxes (including any applicable value added or sales taxes) imposed on Gross Proceeds and payable by Parent or any of its Affiliates and any income or other Taxes payable by Parent or any of its Affiliates that would not have been incurred by Parent or its Affiliates but for the Gross Proceeds having been received or accrued by Parent or its Affiliates (in each case, regardless of the due date of such Taxes); provided that for purposes of calculating income Taxes payable by Parent or its Affiliates in respect of the Gross Proceeds, any such income Taxes shall be computed after taking into account any net operating loss carryforwards or other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233" w:name="page234"/>
    <w:bookmarkEnd w:id="233"/>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Tax attributes (including Tax credits) of Galera or its Affiliates as of the Closing Date prior to the Galera Effective Time that are available to offset such gain after taking into account any limits of the usability of such attributes, including under Section 382 of the Code as reasonably determined by a nationally recognized tax advisor (and for the sake of clarity such income Taxes shall be calculated without taking into account any net operating losses or other Tax attributes generated by Parent or its Affiliates after the Galera Effective Time);</w:t>
      </w:r>
    </w:p>
    <w:p>
      <w:pPr>
        <w:spacing w:after="0" w:line="133" w:lineRule="exact"/>
        <w:rPr>
          <w:sz w:val="20"/>
          <w:szCs w:val="20"/>
          <w:color w:val="auto"/>
        </w:rPr>
      </w:pPr>
    </w:p>
    <w:p>
      <w:pPr>
        <w:ind w:left="640" w:right="679" w:firstLine="307"/>
        <w:spacing w:after="0" w:line="269" w:lineRule="auto"/>
        <w:tabs>
          <w:tab w:leader="none" w:pos="1128"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reasonable and documented internal and out-of-pocket costs and expenses incurred by Parent or any of its Affiliates reasonably allocable to the applicable CVR Product(s) in respect of a CVR Product Agreement, including technology transfer costs, litigation costs, contractual expenses or any costs in respect of head licenses for sublicensed technology and the development or prosecution, maintenance or enforcement by Parent or any of its Subsidiaries of intellectual property rights but excluding any costs related to a breach of this Agreement, including costs incurred in litigation in respect of the same; provided that internal costs for a particular activity shall only include the direct personnel and other incremental costs actually incurred by Parent or its Affiliates in performing such activity under such CVR Product Agreement, determined in accordance with GAAP, and shall exclude (i) all general and administrative expenses, corporate overhead, shared services costs and any indirect or allocated costs (including finance, executive management, legal, human resources, IT, facilities, insurance and similar corporate functions), (ii) depreciation, amortization and other non-cash expenses and (iii) any recovery or allocation of capital expenditures or capitalized costs;</w:t>
      </w:r>
    </w:p>
    <w:p>
      <w:pPr>
        <w:spacing w:after="0" w:line="124" w:lineRule="exact"/>
        <w:rPr>
          <w:rFonts w:ascii="Times New Roman" w:cs="Times New Roman" w:eastAsia="Times New Roman" w:hAnsi="Times New Roman"/>
          <w:sz w:val="12"/>
          <w:szCs w:val="12"/>
          <w:color w:val="auto"/>
        </w:rPr>
      </w:pPr>
    </w:p>
    <w:p>
      <w:pPr>
        <w:ind w:left="640" w:right="679" w:firstLine="307"/>
        <w:spacing w:after="0" w:line="249" w:lineRule="auto"/>
        <w:tabs>
          <w:tab w:leader="none" w:pos="1121"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solely with respect to the Legacy Products, any reasonable and documented out-of-pocket costs and expenses incurred by Parent or any of its Affiliates in connection with business development related efforts with respect to the Legacy Product(s), including any Right’s Agent fee, any brokerage fee, finder’s fee, opinion fee, success fee, transaction fee, service fee or other fee, commission or expense owed to any broker, finder, investment bank, auditor, accountant, counsel, advisor or other third party in relation thereto (but excluding any costs or expenses previously deducted from Gross Proceeds); and</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67" w:lineRule="auto"/>
        <w:tabs>
          <w:tab w:leader="none" w:pos="1128"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out-of-pocket maintenance costs related to the relevant CVRs or the relevant CVR Product(s) (including fees and expenses related to the Rights Agent).</w:t>
      </w:r>
    </w:p>
    <w:p>
      <w:pPr>
        <w:spacing w:after="0" w:line="120"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Transfer</w:t>
      </w:r>
      <w:r>
        <w:rPr>
          <w:rFonts w:ascii="Times New Roman" w:cs="Times New Roman" w:eastAsia="Times New Roman" w:hAnsi="Times New Roman"/>
          <w:sz w:val="13"/>
          <w:szCs w:val="13"/>
          <w:color w:val="auto"/>
        </w:rPr>
        <w:t>” means a transfer of CVRs (a) on death of a Holder by will or intestacy; (b) by instrument to an inter vivos or testamentary trust in which the CVRs are to be passed to beneficiaries upon the death of the trustee; (c) pursuant to a court order; (d) made by operation of law (including a consolidation or merger) or without consideration in connection with the dissolution, liquidation or termination of any corporation, limited liability company, partnership or other entity; (e) in the case of CVRs held in nominee form, from a nominee to the applicable beneficial owner (through an intermediary if applicable) or from a nominee to another nominee for the same beneficial owner, to the extent allowable by the Rights Agent; (f) or a transfer from a participant’s account in a tax-qualified employee benefit plan to the participant or to such participant’s account in a different tax-qualified employee benefit plan or to a tax-qualified individual retirement account for the benefit of such participant; or (g) to Parent for any or no consideration.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34" w:name="page235"/>
    <w:bookmarkEnd w:id="23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Requisite Holders</w:t>
      </w:r>
      <w:r>
        <w:rPr>
          <w:rFonts w:ascii="Times New Roman" w:cs="Times New Roman" w:eastAsia="Times New Roman" w:hAnsi="Times New Roman"/>
          <w:sz w:val="13"/>
          <w:szCs w:val="13"/>
          <w:color w:val="auto"/>
        </w:rPr>
        <w:t>” means the Holders holding not less than fifty percent (50%) of the then-outstanding CVRs.</w:t>
      </w:r>
    </w:p>
    <w:p>
      <w:pPr>
        <w:spacing w:after="0" w:line="154"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Rights Agent</w:t>
      </w:r>
      <w:r>
        <w:rPr>
          <w:rFonts w:ascii="Times New Roman" w:cs="Times New Roman" w:eastAsia="Times New Roman" w:hAnsi="Times New Roman"/>
          <w:sz w:val="13"/>
          <w:szCs w:val="13"/>
          <w:color w:val="auto"/>
        </w:rPr>
        <w:t>” means the Rights Agent named in the first paragraph of this Agreement, until a successor Rights Agent will have become such pursuant to the applicable provisions of this Agreement, and thereafter “Rights Agent” will mean such successor Rights Agent.</w:t>
      </w:r>
    </w:p>
    <w:p>
      <w:pPr>
        <w:spacing w:after="0" w:line="119" w:lineRule="exact"/>
        <w:rPr>
          <w:sz w:val="20"/>
          <w:szCs w:val="20"/>
          <w:color w:val="auto"/>
        </w:rPr>
      </w:pPr>
    </w:p>
    <w:p>
      <w:pPr>
        <w:ind w:left="640" w:right="91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Supportive-Care Compounds</w:t>
      </w:r>
      <w:r>
        <w:rPr>
          <w:rFonts w:ascii="Times New Roman" w:cs="Times New Roman" w:eastAsia="Times New Roman" w:hAnsi="Times New Roman"/>
          <w:sz w:val="12"/>
          <w:szCs w:val="12"/>
          <w:color w:val="auto"/>
        </w:rPr>
        <w:t>” means (a) the small molecule known as GC4419 (“</w:t>
      </w:r>
      <w:r>
        <w:rPr>
          <w:rFonts w:ascii="Times New Roman" w:cs="Times New Roman" w:eastAsia="Times New Roman" w:hAnsi="Times New Roman"/>
          <w:sz w:val="12"/>
          <w:szCs w:val="12"/>
          <w:b w:val="1"/>
          <w:bCs w:val="1"/>
          <w:color w:val="auto"/>
        </w:rPr>
        <w:t>GC4419</w:t>
      </w:r>
      <w:r>
        <w:rPr>
          <w:rFonts w:ascii="Times New Roman" w:cs="Times New Roman" w:eastAsia="Times New Roman" w:hAnsi="Times New Roman"/>
          <w:sz w:val="12"/>
          <w:szCs w:val="12"/>
          <w:color w:val="auto"/>
        </w:rPr>
        <w:t>”), (b) the small molecule known as GC4711 (“</w:t>
      </w:r>
      <w:r>
        <w:rPr>
          <w:rFonts w:ascii="Times New Roman" w:cs="Times New Roman" w:eastAsia="Times New Roman" w:hAnsi="Times New Roman"/>
          <w:sz w:val="12"/>
          <w:szCs w:val="12"/>
          <w:b w:val="1"/>
          <w:bCs w:val="1"/>
          <w:color w:val="auto"/>
        </w:rPr>
        <w:t>GC4711</w:t>
      </w:r>
      <w:r>
        <w:rPr>
          <w:rFonts w:ascii="Times New Roman" w:cs="Times New Roman" w:eastAsia="Times New Roman" w:hAnsi="Times New Roman"/>
          <w:sz w:val="12"/>
          <w:szCs w:val="12"/>
          <w:color w:val="auto"/>
        </w:rPr>
        <w:t>”), and (c) any other small molecule owned or controlled by Galera prior to the execution of the Supportive-Care Product Agreement, the manufacture, use or sale of which would, absent a license thereto, infringe the claim of any patent right that covers the composition of matter for GC4419 or GC4711, and with respect to (a), (b) and (c), any pharmaceutically acceptable salt, polymorph, crystal form, prodrug or solvate thereof.</w:t>
      </w:r>
    </w:p>
    <w:p>
      <w:pPr>
        <w:spacing w:after="0" w:line="11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w:t>
      </w:r>
      <w:r>
        <w:rPr>
          <w:rFonts w:ascii="Times New Roman" w:cs="Times New Roman" w:eastAsia="Times New Roman" w:hAnsi="Times New Roman"/>
          <w:sz w:val="13"/>
          <w:szCs w:val="13"/>
          <w:color w:val="auto"/>
        </w:rPr>
        <w:t>” means any pharmaceutical product owned and controlled by the Supportive-Care Product Counterparty containing any Supportive-Care Compound.</w:t>
      </w:r>
    </w:p>
    <w:p>
      <w:pPr>
        <w:spacing w:after="0" w:line="119" w:lineRule="exact"/>
        <w:rPr>
          <w:sz w:val="20"/>
          <w:szCs w:val="20"/>
          <w:color w:val="auto"/>
        </w:rPr>
      </w:pPr>
    </w:p>
    <w:p>
      <w:pPr>
        <w:ind w:left="640" w:right="77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 Agreement</w:t>
      </w:r>
      <w:r>
        <w:rPr>
          <w:rFonts w:ascii="Times New Roman" w:cs="Times New Roman" w:eastAsia="Times New Roman" w:hAnsi="Times New Roman"/>
          <w:sz w:val="13"/>
          <w:szCs w:val="13"/>
          <w:color w:val="auto"/>
        </w:rPr>
        <w:t>” means that certain Asset Purchase and Sale Agreement, dated as of October 15, 2025, by and among Galera and its Affiliate named therein and the Supportive-Care Product Counterparty, as may be amended from time to time, pursuant to which Galera sold, transferred and assigned to Supportive-Care Product Counterparty all right, title and interest in and to the assets exclusively related to the Supportive-Care Compounds.</w:t>
      </w:r>
    </w:p>
    <w:p>
      <w:pPr>
        <w:spacing w:after="0" w:line="130"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 Counterparty</w:t>
      </w:r>
      <w:r>
        <w:rPr>
          <w:rFonts w:ascii="Times New Roman" w:cs="Times New Roman" w:eastAsia="Times New Roman" w:hAnsi="Times New Roman"/>
          <w:sz w:val="13"/>
          <w:szCs w:val="13"/>
          <w:color w:val="auto"/>
        </w:rPr>
        <w:t>” means Biossil Inc., its Affiliate and its or their successors, or any assignee, transferee or acquirer of the Supportive-Care Products following the date hereof.</w:t>
      </w:r>
    </w:p>
    <w:p>
      <w:pPr>
        <w:spacing w:after="0" w:line="119"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 CVRs</w:t>
      </w:r>
      <w:r>
        <w:rPr>
          <w:rFonts w:ascii="Times New Roman" w:cs="Times New Roman" w:eastAsia="Times New Roman" w:hAnsi="Times New Roman"/>
          <w:sz w:val="13"/>
          <w:szCs w:val="13"/>
          <w:color w:val="auto"/>
        </w:rPr>
        <w:t>” means the right to receive contingent cash payments with respect to the Supportive-Care Product Agreement pursuant to this Agreement and the Merger Agreement.</w:t>
      </w:r>
    </w:p>
    <w:p>
      <w:pPr>
        <w:spacing w:after="0" w:line="119" w:lineRule="exact"/>
        <w:rPr>
          <w:sz w:val="20"/>
          <w:szCs w:val="20"/>
          <w:color w:val="auto"/>
        </w:rPr>
      </w:pPr>
    </w:p>
    <w:p>
      <w:pPr>
        <w:ind w:left="640" w:right="11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 CVR Period</w:t>
      </w:r>
      <w:r>
        <w:rPr>
          <w:rFonts w:ascii="Times New Roman" w:cs="Times New Roman" w:eastAsia="Times New Roman" w:hAnsi="Times New Roman"/>
          <w:sz w:val="13"/>
          <w:szCs w:val="13"/>
          <w:color w:val="auto"/>
        </w:rPr>
        <w:t>” means the period beginning on the Closing Date and ending on the Supportive-Care Product Expiration Date.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 Expiration Date</w:t>
      </w:r>
      <w:r>
        <w:rPr>
          <w:rFonts w:ascii="Times New Roman" w:cs="Times New Roman" w:eastAsia="Times New Roman" w:hAnsi="Times New Roman"/>
          <w:sz w:val="13"/>
          <w:szCs w:val="13"/>
          <w:color w:val="auto"/>
        </w:rPr>
        <w:t>” means the 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Closing Date.</w:t>
      </w:r>
    </w:p>
    <w:p>
      <w:pPr>
        <w:spacing w:after="0" w:line="98"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Rules of Construction</w:t>
      </w:r>
      <w:r>
        <w:rPr>
          <w:rFonts w:ascii="Times New Roman" w:cs="Times New Roman" w:eastAsia="Times New Roman" w:hAnsi="Times New Roman"/>
          <w:sz w:val="13"/>
          <w:szCs w:val="13"/>
          <w:color w:val="auto"/>
        </w:rPr>
        <w:t>. Except as otherwise explicitly specified to the contrary, (a) references to a Section means a Section of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(e) references to a particular Person include such Person’s successors and assigns to the extent not prohibited by this Agreement, (f) all references to dollars or “$” refer to United States dollars and (g) the word “or” shall not be exclusive (i.e., “or” shall be deemed to</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235" w:name="page236"/>
    <w:bookmarkEnd w:id="235"/>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mean “and/or”) unless the subjects of the conjunction are mutually exclusive. For clarity, the Parties agree that the phrase “adverse” when used in this Agreement with respect to the Holders includes any amendment or other action, as applicable, that does or would be reasonably expected to reduce, eliminate, or delay (y) any payment to the Holders under this Agreement by more than de minimis amounts, or (z) any payment to Parent, Galera or its or their successor or their Affiliates under any Legacy Product Agreement or Supportive-Care Product Agreement that would constitute a CVR Payment Amount by more than de minimis amounts.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2. CONTINGENT VALUE RIGHTS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CVRs; Appointment of Rights Agent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70" w:lineRule="auto"/>
        <w:tabs>
          <w:tab w:leader="none" w:pos="1508"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provided in the Merger Agreement, each Holder is entitled to (i) one Legacy Product CVR for each share of Galera Common Stock issued and outstanding immediately prior to the Galera Effective Time and (ii) one Supportive-Care Product CVR for each share of Galera Common Stock issued and outstanding immediately prior to the Galera Effective Time (in each case, less applicable withholding Taxes). Each Legacy Product CVR represents the contingent right of a Holder to receive the CVR Payment Amount with respect to the Legacy Product Agreement, divided by the number of then-outstanding Legacy Product CVRs pursuant to this Agreement, to be paid in accordance with this Agreement. Each Supportive-Care Product CVR represents the contingent right of a Holder to receive the CVR Payment Amount with respect to the Supportive-Care Product CVR with respect to the Supportive-Care Product Agreement, divided by the number of then-outstanding Legacy Product CVRs pursuant to this Agreement, to be paid in accordance with this Agreement. The initial Holders will be determined in accordance with the Merger Agreement.</w:t>
      </w:r>
    </w:p>
    <w:p>
      <w:pPr>
        <w:spacing w:after="0" w:line="122" w:lineRule="exact"/>
        <w:rPr>
          <w:rFonts w:ascii="Times New Roman" w:cs="Times New Roman" w:eastAsia="Times New Roman" w:hAnsi="Times New Roman"/>
          <w:sz w:val="12"/>
          <w:szCs w:val="12"/>
          <w:color w:val="auto"/>
        </w:rPr>
      </w:pPr>
    </w:p>
    <w:p>
      <w:pPr>
        <w:ind w:left="640" w:right="739" w:firstLine="693"/>
        <w:spacing w:after="0" w:line="267" w:lineRule="auto"/>
        <w:tabs>
          <w:tab w:leader="none" w:pos="1515"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hereby appoints the Rights Agent to act as rights agent for Parent as contemplated hereby in accordance with the express terms and conditions set forth in this Agreement (and no implied terms or conditions), and the Rights Agent hereby accepts such appointment.</w:t>
      </w:r>
    </w:p>
    <w:p>
      <w:pPr>
        <w:spacing w:after="0" w:line="122"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Nontransferable</w:t>
      </w:r>
      <w:r>
        <w:rPr>
          <w:rFonts w:ascii="Times New Roman" w:cs="Times New Roman" w:eastAsia="Times New Roman" w:hAnsi="Times New Roman"/>
          <w:sz w:val="13"/>
          <w:szCs w:val="13"/>
          <w:color w:val="auto"/>
        </w:rPr>
        <w:t xml:space="preserve">. The CVRs will not be sold, assigned, transferred, pledged, encumbered or in any other manner transferred or disposed of, in whole or in part, other than through a Permitted Transfer. Any attempted transfer that is not a Permitted Transfer, in whole or in part, will be void </w:t>
      </w:r>
      <w:r>
        <w:rPr>
          <w:rFonts w:ascii="Times New Roman" w:cs="Times New Roman" w:eastAsia="Times New Roman" w:hAnsi="Times New Roman"/>
          <w:sz w:val="13"/>
          <w:szCs w:val="13"/>
          <w:i w:val="1"/>
          <w:iCs w:val="1"/>
          <w:color w:val="auto"/>
        </w:rPr>
        <w:t>ab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initio </w:t>
      </w:r>
      <w:r>
        <w:rPr>
          <w:rFonts w:ascii="Times New Roman" w:cs="Times New Roman" w:eastAsia="Times New Roman" w:hAnsi="Times New Roman"/>
          <w:sz w:val="13"/>
          <w:szCs w:val="13"/>
          <w:color w:val="auto"/>
        </w:rPr>
        <w:t>and of no effect. The CVRs will not be listed on any quotation system or traded on any securities exchange.</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u w:val="single" w:color="auto"/>
          <w:color w:val="auto"/>
        </w:rPr>
        <w:t>No Certificate; Registration; Registration of Transfer; Change of Address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will be issued in book entry format and will not be evidenced by a certificate or other instrument.</w:t>
      </w:r>
    </w:p>
    <w:p>
      <w:pPr>
        <w:spacing w:after="0" w:line="151" w:lineRule="exact"/>
        <w:rPr>
          <w:rFonts w:ascii="Times New Roman" w:cs="Times New Roman" w:eastAsia="Times New Roman" w:hAnsi="Times New Roman"/>
          <w:sz w:val="13"/>
          <w:szCs w:val="13"/>
          <w:color w:val="auto"/>
        </w:rPr>
      </w:pPr>
    </w:p>
    <w:p>
      <w:pPr>
        <w:ind w:left="640" w:right="719" w:firstLine="693"/>
        <w:spacing w:after="0" w:line="248" w:lineRule="auto"/>
        <w:tabs>
          <w:tab w:leader="none" w:pos="1515"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keep a register (the “</w:t>
      </w:r>
      <w:r>
        <w:rPr>
          <w:rFonts w:ascii="Times New Roman" w:cs="Times New Roman" w:eastAsia="Times New Roman" w:hAnsi="Times New Roman"/>
          <w:sz w:val="13"/>
          <w:szCs w:val="13"/>
          <w:b w:val="1"/>
          <w:bCs w:val="1"/>
          <w:color w:val="auto"/>
        </w:rPr>
        <w:t>CVR Register</w:t>
      </w:r>
      <w:r>
        <w:rPr>
          <w:rFonts w:ascii="Times New Roman" w:cs="Times New Roman" w:eastAsia="Times New Roman" w:hAnsi="Times New Roman"/>
          <w:sz w:val="13"/>
          <w:szCs w:val="13"/>
          <w:color w:val="auto"/>
        </w:rPr>
        <w:t xml:space="preserve">”) for the purpose of registering CVRs and transfers of CVRs as permitted herein. The CVR Register will initially show one position for Cede &amp; Co. representing all the shares of Galera Common Stock held by DTC on behalf of the street name holders or beneficial owners of the shares of Galera Common Stock held by or beneficially owned by such holders as of immediately prior to the Effective Time. The Rights Agent will have no responsibility whatsoever directly to the street name holders or beneficial owners with respect to transfers of CVRs unless and until such CVRs are transferred into the name of such street name holders or beneficial owners in accordance with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36" w:name="page237"/>
    <w:bookmarkEnd w:id="236"/>
    <w:p>
      <w:pPr>
        <w:ind w:left="640" w:right="659" w:firstLine="693"/>
        <w:spacing w:after="0" w:line="245" w:lineRule="auto"/>
        <w:tabs>
          <w:tab w:leader="none" w:pos="1508"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Subject to the restrictions on transferability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every request made to transfer a CVR must be in writing and accompanied by a written instrument of transfer in form reasonably satisfactory to the Rights Agent, duly executed by the Holder thereof or the Holder’s attorney duly authorized in writing, personal representative or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register the transfer of the CVRs in the CVR Register. No service charge shall be made for any registration of transfer of a CVR, but Parent or the Rights Agent, as applicable, may require payment of a sum sufficient to cover any stamp or other tax or governmental charge that is imposed in connection with any such registration of transfer. The Rights Agent shall have no duty or obligation to take any action under any section of this Agreement that requires the payment by a Holder of applicable taxes or charges unless and until the Rights Agent is satisfied that all such taxes or charges have been paid or will be paid. All duly transferred CVRs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w:t>
      </w:r>
    </w:p>
    <w:p>
      <w:pPr>
        <w:spacing w:after="0" w:line="139"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u w:val="single" w:color="auto"/>
          <w:color w:val="auto"/>
        </w:rPr>
        <w:t>Payment Procedures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55" w:lineRule="auto"/>
        <w:tabs>
          <w:tab w:leader="none" w:pos="1508"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Legacy Product Agreement is entered into during the Legacy Product CVR Period, then Parent shall promptly deliver to the Rights Agent written notice indicating that a Legacy Product Agreement has been entered into and a copy of the Legacy Product Agreement and any ancillary agreements thereto.</w:t>
      </w:r>
    </w:p>
    <w:p>
      <w:pPr>
        <w:spacing w:after="0" w:line="130" w:lineRule="exact"/>
        <w:rPr>
          <w:rFonts w:ascii="Times New Roman" w:cs="Times New Roman" w:eastAsia="Times New Roman" w:hAnsi="Times New Roman"/>
          <w:sz w:val="13"/>
          <w:szCs w:val="13"/>
          <w:color w:val="auto"/>
        </w:rPr>
      </w:pPr>
    </w:p>
    <w:p>
      <w:pPr>
        <w:ind w:left="640" w:right="799" w:firstLine="693"/>
        <w:spacing w:after="0" w:line="246" w:lineRule="auto"/>
        <w:tabs>
          <w:tab w:leader="none" w:pos="1515"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before each CVR Payment Date, with respect to any CVR Product Agreement, Parent will deliver to the Rights Agent (i) a notice (in each case, a “</w:t>
      </w:r>
      <w:r>
        <w:rPr>
          <w:rFonts w:ascii="Times New Roman" w:cs="Times New Roman" w:eastAsia="Times New Roman" w:hAnsi="Times New Roman"/>
          <w:sz w:val="13"/>
          <w:szCs w:val="13"/>
          <w:b w:val="1"/>
          <w:bCs w:val="1"/>
          <w:color w:val="auto"/>
        </w:rPr>
        <w:t>CVR Payment Notice</w:t>
      </w:r>
      <w:r>
        <w:rPr>
          <w:rFonts w:ascii="Times New Roman" w:cs="Times New Roman" w:eastAsia="Times New Roman" w:hAnsi="Times New Roman"/>
          <w:sz w:val="13"/>
          <w:szCs w:val="13"/>
          <w:color w:val="auto"/>
        </w:rPr>
        <w:t xml:space="preserve">”) indicating (A) that the Holders are entitled to receive one or more payments with respect to Net Proceeds from the applicable CVR Product Agreement, (B) the source and trigger event for such payment of such Net Proceeds under the applicable CVR Product Agreement, and (C) a detailed calculation of such Gross Proceeds, Net Proceeds and any Permitted Deductions, with reasonable supporting detail for such Permitted Deductions, as applicable, (ii) an Officer’s Certificate certifying such calculation and (iii) any letter of instruction reasonably required by the Rights Agent. On or before any CVR Payment Date, Parent shall, in accordance with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transfer to the Rights Agent by wire transfer of immediately available funds to an account designated by the Rights Agent an amount of cash equal to the applicable CVR Payment Amount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37" w:name="page238"/>
    <w:bookmarkEnd w:id="237"/>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for such CVR Payment Date payable to the Holders on account of all CVRs in respect of such Net Proceeds under the applicable CVR Product Agreement. All payments made by Parent hereunder shall be made in U.S. dollars. For the avoidance of doubt, Parent shall have no further liability in respect of the relevant CVR Payment Amount upon delivery of such CVR Payment Amount in accordance with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xml:space="preserve"> and the satisfaction of each of Parent’s obligations set forth in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739" w:firstLine="693"/>
        <w:spacing w:after="0" w:line="246" w:lineRule="auto"/>
        <w:tabs>
          <w:tab w:leader="none" w:pos="1508"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promptly, and in any event within ten (10) Business Days of receipt of any CVR Payment Notice (each such date, a “</w:t>
      </w:r>
      <w:r>
        <w:rPr>
          <w:rFonts w:ascii="Times New Roman" w:cs="Times New Roman" w:eastAsia="Times New Roman" w:hAnsi="Times New Roman"/>
          <w:sz w:val="13"/>
          <w:szCs w:val="13"/>
          <w:b w:val="1"/>
          <w:bCs w:val="1"/>
          <w:color w:val="auto"/>
        </w:rPr>
        <w:t>CVR Notice Date</w:t>
      </w:r>
      <w:r>
        <w:rPr>
          <w:rFonts w:ascii="Times New Roman" w:cs="Times New Roman" w:eastAsia="Times New Roman" w:hAnsi="Times New Roman"/>
          <w:sz w:val="13"/>
          <w:szCs w:val="13"/>
          <w:color w:val="auto"/>
        </w:rPr>
        <w:t xml:space="preserve">”), send each Holder at its registered address a copy of the applicable CVR Payment Notice. At the time the Rights Agent sends a copy of such CVR Payment Notice to the Holders, the Rights Agent will also pay the applicable CVR Payment Amount to the Holders, with each Holder receiving an amount equal to the product of A * B where “A” equals the quotient of (i) the applicable CVR Payment Amount in respect of the applicable Net Proceeds under the applicable CVR Product Agreement,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then-outstanding number of Legacy Product CVRs or Supportive-Care Product CVRs, as applicable, held by all Holders, and “B” equals the number of Legacy Product CVRs or Supportive-Care Product CVRs, as applicable, held by such Holder as reflected on the CVR Register, by check mailed to the address of each Holder as reflected in the CVR Register, in each case, as of the close of business on the last Business Day prior to such CVR Notice Date.</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any Permitted Deductions, Parent and its Affiliates and the Rights Agent shall be entitled to deduct or withhold, from any CVR Payment Amount otherwise payable or otherwise deliverable pursuant to this Agreement, in each case directly or through an authorized payroll agent, such amounts as are reasonably determined to be required to be deducted or withheld therefrom under the Code or any other provision of any applicable federal, state, local or non-U.S. Tax Law. To the extent such amounts are so deducted or withheld and paid over or deposited with the relevant Tax authority, such amounts shall be treated for all purposes under this Agreement as having been paid to the Holder(s) to whom such amounts would otherwise have been paid or delivered. Parent shall instruct the Rights Agent to use commercially reasonable efforts to solicit from such Holder any necessary Tax forms (including an IRS Form W-9 or an applicable IRS Form W-8) a reasonable amount of time prior to making any such Tax withholdings or causing any such Tax withholdings to be made with respect to any Holder in order to provide the opportunity for the Holder to provide such Tax forms in order to avoid or reduce such withholding amounts.</w:t>
      </w:r>
    </w:p>
    <w:p>
      <w:pPr>
        <w:spacing w:after="0" w:line="137"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508"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portion of any CVR Payment Amount that remains undistributed to the Holders six (6) months after an applicable CVR Notice Date will be delivered by the Rights Agent to Parent, upon demand, and any Holder will thereafter look only to Parent for payment of such CVR Payment Amount, without interest.</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494"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the Rights Agent will be liable to any person in respect of any CVR Payment Amount delivered to a public official pursuant to any applicable abandoned property, escheat or similar Law. If, despite Parent’s and the Rights Agent’s reasonable best efforts to deliver a CVR Payment Amount to the applicable Holder, any CVR Payment Amount has not been paid prior to one (1) year after an applicable CVR Notice Date, as applicable (or immediately prior to such earlier date on which the CVR Payment Amount would otherwise escheat to or become the property of any Governmental Authority), any such CVR Payment Amount will, to the extent permitted by applicable Law, become the property of Parent, free and clear of all claims or interest of any person previously entitled thereto.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38" w:name="page239"/>
    <w:bookmarkEnd w:id="238"/>
    <w:p>
      <w:pPr>
        <w:ind w:left="640" w:right="739" w:firstLine="693"/>
        <w:spacing w:after="0" w:line="248" w:lineRule="auto"/>
        <w:tabs>
          <w:tab w:leader="none" w:pos="1515"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extent permitted by applicable Law, the Parties agree to treat the CVRs received with respect to the Galera Common Stock pursuant to the Merger Agreement for all U.S. federal and applicable state and local income Tax purposes as a distribution treated as a dividend (within the meaning of Section 301 of the Code) paid on the last Business Day prior to the Galera Effective Time for such Galera Common Stock pursuant to the Mergers. Each of the Parties shall, and shall cause their respective Affiliates to, report such treatment consistently on all U.S. federal and applicable state and local income Tax Returns and shall not take any position inconsistent therewith for such Tax purposes, except as otherwise required by a final determination within the meaning of Section 1313(a) of the Code or applicable Law.</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No Voting, Dividends or Interest; No Equity or Ownership Interest in Parent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CVRs will not have any voting or dividend rights, and interest will not accrue on any amounts payable on the CVRs to any Holder.</w:t>
      </w:r>
    </w:p>
    <w:p>
      <w:pPr>
        <w:spacing w:after="0" w:line="165" w:lineRule="exact"/>
        <w:rPr>
          <w:rFonts w:ascii="Times New Roman" w:cs="Times New Roman" w:eastAsia="Times New Roman" w:hAnsi="Times New Roman"/>
          <w:sz w:val="12"/>
          <w:szCs w:val="12"/>
          <w:color w:val="auto"/>
        </w:rPr>
      </w:pPr>
    </w:p>
    <w:p>
      <w:pPr>
        <w:ind w:left="640" w:right="739" w:firstLine="693"/>
        <w:spacing w:after="0" w:line="267" w:lineRule="auto"/>
        <w:tabs>
          <w:tab w:leader="none" w:pos="1515"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will not represent any equity or ownership interest in Parent or in any constituent company to the Merger. The sole right of the Holders to receive property hereunder is the right to receive CVR Payment Amount, if any, in accordance with the terms hereof.</w:t>
      </w:r>
    </w:p>
    <w:p>
      <w:pPr>
        <w:spacing w:after="0" w:line="122" w:lineRule="exact"/>
        <w:rPr>
          <w:rFonts w:ascii="Times New Roman" w:cs="Times New Roman" w:eastAsia="Times New Roman" w:hAnsi="Times New Roman"/>
          <w:sz w:val="13"/>
          <w:szCs w:val="13"/>
          <w:color w:val="auto"/>
        </w:rPr>
      </w:pPr>
    </w:p>
    <w:p>
      <w:pPr>
        <w:ind w:left="640" w:right="899" w:firstLine="693"/>
        <w:spacing w:after="0" w:line="267" w:lineRule="auto"/>
        <w:tabs>
          <w:tab w:leader="none" w:pos="1508"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or its directors and officers nor Obsidian or its directors and officers will be deemed to have any fiduciary or similar duties to any Holder by virtue of this Agreement or the CVRs.</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It is further acknowledged and agreed that neither Obsidian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3"/>
          <w:szCs w:val="13"/>
          <w:u w:val="single" w:color="auto"/>
          <w:color w:val="auto"/>
        </w:rPr>
        <w:t>Section 2.5(b)</w:t>
      </w:r>
      <w:r>
        <w:rPr>
          <w:rFonts w:ascii="Times New Roman" w:cs="Times New Roman" w:eastAsia="Times New Roman" w:hAnsi="Times New Roman"/>
          <w:sz w:val="13"/>
          <w:szCs w:val="13"/>
          <w:color w:val="auto"/>
        </w:rPr>
        <w:t xml:space="preserve"> is an essential and material term of this Agreement.</w:t>
      </w:r>
    </w:p>
    <w:p>
      <w:pPr>
        <w:spacing w:after="0" w:line="133"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2.6 </w:t>
      </w:r>
      <w:r>
        <w:rPr>
          <w:rFonts w:ascii="Times New Roman" w:cs="Times New Roman" w:eastAsia="Times New Roman" w:hAnsi="Times New Roman"/>
          <w:sz w:val="13"/>
          <w:szCs w:val="13"/>
          <w:u w:val="single" w:color="auto"/>
          <w:color w:val="auto"/>
        </w:rPr>
        <w:t>Ability to Abandon CVR</w:t>
      </w:r>
      <w:r>
        <w:rPr>
          <w:rFonts w:ascii="Times New Roman" w:cs="Times New Roman" w:eastAsia="Times New Roman" w:hAnsi="Times New Roman"/>
          <w:sz w:val="13"/>
          <w:szCs w:val="13"/>
          <w:color w:val="auto"/>
        </w:rPr>
        <w:t>. A Holder may at any time, at such Holder’s option, abandon all of such Holder’s remaining rights in a CVR by transferring such CVR to Parent without consideration therefor. Nothing in this Agreement is intended to prohibit Parent or any of its Affiliates from offering to acquire or acquiring CVRs for consideration from the Holders, in private transactions or otherwise, in its sole discretion. Any CVRs acquired by Parent or any of its Affiliates (including Obsidian) shall be automatically deemed extinguished and no longer outstanding or entitled to the CVR Payment Amount for purposes of this Agreement, or to count for the purpose of any vote or determination of the Holders for purposes of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39" w:name="page240"/>
    <w:bookmarkEnd w:id="23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3. THE RIGHTS AGENT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Certain Duties and Responsibilities</w:t>
      </w:r>
    </w:p>
    <w:p>
      <w:pPr>
        <w:spacing w:after="0" w:line="154" w:lineRule="exact"/>
        <w:rPr>
          <w:sz w:val="20"/>
          <w:szCs w:val="20"/>
          <w:color w:val="auto"/>
        </w:rPr>
      </w:pPr>
    </w:p>
    <w:p>
      <w:pPr>
        <w:ind w:left="640" w:right="679" w:firstLine="693"/>
        <w:spacing w:after="0" w:line="246" w:lineRule="auto"/>
        <w:tabs>
          <w:tab w:leader="none" w:pos="1508"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occurrence of an Event of Default, and after the curing or waiving of all such Events of Default which may have occurred, the Rights Agent will not have any liability for any actions taken or not taken in connection with this Agreement, except to the extent of its willful or intentional misconduct, bad faith or gross negligence. If an Event of Default has occurred (which has not been cured or waived), the Rights Agent shall exercise such of the rights and powers vested in it by this Agreement, and use the same degree of care and skill in their exercise, as a reasonably prudent person would exercise or use under the circumstances in the conduct of his or her own affairs. No provision of this Agreement will require the Rights Agent to expend or risk its own funds or otherwise incur any financial liability in the performance of any of its duties hereunder or in the exercise of any of its rights or powers if there shall be reasonable grounds for believing that repayment of such funds or adequate indemnification against such risk or liability is not reasonably assured to it.</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47" w:lineRule="auto"/>
        <w:tabs>
          <w:tab w:leader="none" w:pos="1515"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acting by the written consent of the Requisite Holders, may direct the Rights Agent to act on behalf of the Holders in enforcing any of their rights hereunder. The Rights Agent shall be under no obligation to institute any action, suit or proceeding, or to take any other action likely to result in the incurrence of material expenses by the Rights Agent, unless such acting Holders (on behalf of all Holders) shall furnish the Rights Agent with reasonable security and indemnity for all reasonable, necessary and documented out-of-pocket costs and expenses that may be incurred. All rights of action under this Agreement may be enforced by the Rights Agent, any action, suit or proceeding instituted by the Rights Agent shall be brought in its name as the Rights Agent and any recovery in connection therewith shall be for the proportionate benefit of all the Holders, as their respective rights or interests may appear.</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Certain Rights of Rights Agent</w:t>
      </w:r>
      <w:r>
        <w:rPr>
          <w:rFonts w:ascii="Times New Roman" w:cs="Times New Roman" w:eastAsia="Times New Roman" w:hAnsi="Times New Roman"/>
          <w:sz w:val="12"/>
          <w:szCs w:val="12"/>
          <w:color w:val="auto"/>
        </w:rPr>
        <w:t>. The Rights Agent undertakes to perform such duties and only such duties as are specifically set forth in this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and no implied covenants or obligations will be read into this Agreement against the Rights Agent. In addition:</w:t>
      </w:r>
    </w:p>
    <w:p>
      <w:pPr>
        <w:spacing w:after="0" w:line="65" w:lineRule="exact"/>
        <w:rPr>
          <w:sz w:val="20"/>
          <w:szCs w:val="20"/>
          <w:color w:val="auto"/>
        </w:rPr>
      </w:pPr>
    </w:p>
    <w:p>
      <w:pPr>
        <w:ind w:left="640" w:right="799" w:firstLine="693"/>
        <w:spacing w:after="0" w:line="255" w:lineRule="auto"/>
        <w:tabs>
          <w:tab w:leader="none" w:pos="1508"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15"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the Rights Agent will deem it desirable that a matter be proved or established prior to taking, suffering or omitting any action hereunder, the Rights Agent may, in the absence of bad faith, gross negligence or willful or intentional misconduct on its part, request and rely upon an Officer’s Certificate with respect to such matter;</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08"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engage and consult with counsel of its selection and the written advice of such counsel or any opinion of counsel will be full and complete authorization and protection in respect of any action taken, suffered or omitted by it hereunder in good faith and in reliance thereon;</w:t>
      </w:r>
    </w:p>
    <w:p>
      <w:pPr>
        <w:spacing w:after="0" w:line="130"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permissive rights of the Rights Agent to do things enumerated in this Agreement will not be construed as a duty;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240" w:name="page241"/>
    <w:bookmarkEnd w:id="240"/>
    <w:p>
      <w:pPr>
        <w:ind w:left="1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 the Rights Agent will not be required to give any note or surety in respect of the execution of such powers or otherwise in respect of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premises;</w:t>
      </w:r>
    </w:p>
    <w:p>
      <w:pPr>
        <w:spacing w:after="0" w:line="141" w:lineRule="exact"/>
        <w:rPr>
          <w:sz w:val="20"/>
          <w:szCs w:val="20"/>
          <w:color w:val="auto"/>
        </w:rPr>
      </w:pPr>
    </w:p>
    <w:p>
      <w:pPr>
        <w:ind w:left="640" w:right="839" w:firstLine="693"/>
        <w:spacing w:after="0" w:line="251" w:lineRule="auto"/>
        <w:tabs>
          <w:tab w:leader="none" w:pos="1494" w:val="left"/>
        </w:tabs>
        <w:numPr>
          <w:ilvl w:val="0"/>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agrees to indemnify Rights Agent for, and hold Rights Agent harmless against, any loss, liability, claim, demands, suits or expense arising out of or in connection with Rights Agent’s duties under this Agreement, including the reasonable, necessary and out-of-pocket costs and expenses of defending Rights Agent against any claims, charges, demands, suits or loss, unless such loss has been determined by a court of competent jurisdiction to be a result of Rights Agent’s gross negligence, bad faith or willful or intentional misconduct; and</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agrees (i) to pay the fees and expenses of the Rights Agent in connection with this Agreement as agreed upon in writing by Rights Agent and Parent on or prior to the date hereof, and (ii) to reimburse the Rights Agent for all taxes and governmental charges, reasonable expenses and other charges of any kind and nature incurred by the Rights Agent in the execution of this Agreement (other than taxes imposed on or measured by the Rights Agent’s net income and franchise or similar taxes imposed on it (in lieu of net income taxes)). The Rights Agent will also be entitled to reimbursement from Parent for all reasonable, necessary and documented out-of-pocket expenses paid or incurred by it in connection with the administration by the Rights Agent of its duties hereunder.</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Resignation and Removal; Appointment of Successor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8" w:lineRule="auto"/>
        <w:tabs>
          <w:tab w:leader="none" w:pos="1508"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Rights Agent may resign at any time by giving written notice thereof to Parent and the Holders specifying a date when such resignation will take effect, which notice will be sent at least sixty (60) days prior to the date so specified, but in no event shall such resignation become effective until a successor Rights Agent has been appointed and accepted such appointment in accordance with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Parent has the right to remove Rights Agent at any time by a Board Resolution specifying a date when such removal will take effect. Notice of such removal will be given by Parent to Rights Agent, which notice will be sent at least sixty (60) days prior to the date so specified, but no such removal shall become effective until a successor Rights Agent has been appointed and accepted such appointment in accordance with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72" w:lineRule="auto"/>
        <w:tabs>
          <w:tab w:leader="none" w:pos="1515" w:val="left"/>
        </w:tabs>
        <w:numPr>
          <w:ilvl w:val="0"/>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Rights Agent provides notice of its intent to resign, is removed or becomes incapable of acting, Parent, by a Board Resolution, will promptly appoint a qualified successor Rights Agent in accordance with </w:t>
      </w:r>
      <w:r>
        <w:rPr>
          <w:rFonts w:ascii="Times New Roman" w:cs="Times New Roman" w:eastAsia="Times New Roman" w:hAnsi="Times New Roman"/>
          <w:sz w:val="12"/>
          <w:szCs w:val="12"/>
          <w:u w:val="single" w:color="auto"/>
          <w:color w:val="auto"/>
        </w:rPr>
        <w:t>Section 3.3(d)</w:t>
      </w:r>
      <w:r>
        <w:rPr>
          <w:rFonts w:ascii="Times New Roman" w:cs="Times New Roman" w:eastAsia="Times New Roman" w:hAnsi="Times New Roman"/>
          <w:sz w:val="12"/>
          <w:szCs w:val="12"/>
          <w:color w:val="auto"/>
        </w:rPr>
        <w:t xml:space="preserve"> and who may not be an Affiliate (including a director or officer) of Parent.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in accordance with this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will, upon its acceptance of such appointment in accordance with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become the successor Rights Agent.</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41" w:name="page242"/>
    <w:bookmarkEnd w:id="241"/>
    <w:p>
      <w:pPr>
        <w:ind w:left="640" w:right="799" w:firstLine="693"/>
        <w:spacing w:after="0" w:line="248" w:lineRule="auto"/>
        <w:tabs>
          <w:tab w:leader="none" w:pos="1508"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Parent will give notice to each Holder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days after acceptance of appointment by a successor Rights Agent, the successor Rights Agent will cause the notice to be mailed at the expense of Parent. Failure to give any notice provided for in this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 however, shall not affect the legality or validity of the resignation or removal of the Rights Agent or the appointment of the successor Rights Agent, as the case may be.</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this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unless consented to in writing by the Requisite Holders, Parent shall not appoint as a successor Rights Agent any Person that is not a stock transfer agent of national reputation or the corporate trust department of a commercial bank.</w:t>
      </w:r>
    </w:p>
    <w:p>
      <w:pPr>
        <w:spacing w:after="0" w:line="1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Acceptance of Appointment by Successor</w:t>
      </w:r>
      <w:r>
        <w:rPr>
          <w:rFonts w:ascii="Times New Roman" w:cs="Times New Roman" w:eastAsia="Times New Roman" w:hAnsi="Times New Roman"/>
          <w:sz w:val="13"/>
          <w:szCs w:val="13"/>
          <w:color w:val="auto"/>
        </w:rPr>
        <w:t>. Every successor Rights Agent appointed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and duties of the retiring Rights Agent.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4. COVENANTS</w:t>
      </w:r>
    </w:p>
    <w:p>
      <w:pPr>
        <w:spacing w:after="0" w:line="80"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List of Holders</w:t>
      </w:r>
      <w:r>
        <w:rPr>
          <w:rFonts w:ascii="Times New Roman" w:cs="Times New Roman" w:eastAsia="Times New Roman" w:hAnsi="Times New Roman"/>
          <w:sz w:val="13"/>
          <w:szCs w:val="13"/>
          <w:color w:val="auto"/>
        </w:rPr>
        <w:t>. Parent will furnish or cause to be furnished to the Rights Agent in such form as Parent receives from the Parent’s transfer agent (or other agent performing similar services for the Parent) and in a form reasonably satisfactory to the Rights Agent, the names and addresses of the Holders within fifteen (15) Business Days after the Effective Time.</w:t>
      </w:r>
    </w:p>
    <w:p>
      <w:pPr>
        <w:spacing w:after="0" w:line="130"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Payment of CVR Payment Amounts</w:t>
      </w:r>
      <w:r>
        <w:rPr>
          <w:rFonts w:ascii="Times New Roman" w:cs="Times New Roman" w:eastAsia="Times New Roman" w:hAnsi="Times New Roman"/>
          <w:sz w:val="13"/>
          <w:szCs w:val="13"/>
          <w:color w:val="auto"/>
        </w:rPr>
        <w:t>. Parent will promptly deposit with the Rights Agent, for payment to each Holder, the applicable CVR Payment Amount, if any, prior to or on the applicable CVR Notice Date.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Commercially Reasonable Efforts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693"/>
        <w:spacing w:after="0" w:line="286" w:lineRule="auto"/>
        <w:tabs>
          <w:tab w:leader="none" w:pos="1508"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Closing and during the Legacy Product CVR Period, Parent shall, and it shall cause its Affiliates to, use Commercially Reasonable Efforts to enter into a Legacy Product Agreement. Neither Parent nor Obsidian shall, and they shall cause their Affiliates not to, take any action or forego taking any action for the primary purpose of delaying, preventing or minimizing the CVR Payment Amounts contemplated hereunder.</w:t>
      </w:r>
    </w:p>
    <w:p>
      <w:pPr>
        <w:spacing w:after="0" w:line="113" w:lineRule="exact"/>
        <w:rPr>
          <w:rFonts w:ascii="Times New Roman" w:cs="Times New Roman" w:eastAsia="Times New Roman" w:hAnsi="Times New Roman"/>
          <w:sz w:val="12"/>
          <w:szCs w:val="12"/>
          <w:color w:val="auto"/>
        </w:rPr>
      </w:pPr>
    </w:p>
    <w:p>
      <w:pPr>
        <w:ind w:left="640" w:right="799" w:firstLine="693"/>
        <w:spacing w:after="0" w:line="267" w:lineRule="auto"/>
        <w:tabs>
          <w:tab w:leader="none" w:pos="1515"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Closing and for two (2) years thereafter, Parent shall, and it shall cause its Affiliates to, use Commercially Reasonable Efforts to continue to develop and seek regulatory approval for tilarganine.</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08"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foregoing, Parent may appoint an advisor reasonably acceptable to the Requisite Holders to assist in (i) the marketing or sale of the Galera Legacy Assets, (ii) the performance of any obligations or enforcement of any rights under any agreement relating to the sale of the Galera Legacy Assets or (iii) the conversion of non-cash proceeds into Cash or Cash Equivalents.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42" w:name="page243"/>
    <w:bookmarkEnd w:id="242"/>
    <w:p>
      <w:pPr>
        <w:ind w:left="640" w:right="77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4.4 </w:t>
      </w:r>
      <w:r>
        <w:rPr>
          <w:rFonts w:ascii="Times New Roman" w:cs="Times New Roman" w:eastAsia="Times New Roman" w:hAnsi="Times New Roman"/>
          <w:sz w:val="12"/>
          <w:szCs w:val="12"/>
          <w:u w:val="single" w:color="auto"/>
          <w:color w:val="auto"/>
        </w:rPr>
        <w:t>Records</w:t>
      </w:r>
      <w:r>
        <w:rPr>
          <w:rFonts w:ascii="Times New Roman" w:cs="Times New Roman" w:eastAsia="Times New Roman" w:hAnsi="Times New Roman"/>
          <w:sz w:val="12"/>
          <w:szCs w:val="12"/>
          <w:color w:val="auto"/>
        </w:rPr>
        <w:t>. During the applicable CVR Period for each CVRs, Parent shall maintain (and shall cause the other Payment Obligors to maintain) true, complete and accurate books and records in sufficient detail to enable the Holders and their consultants, Independent Accountants (as defined below) or professional advisors to determine the amounts payable hereunder (including books and records relating to any CVR Product Agreement for such CVRs in sufficient detail to permit the Holders to confirm all CVR Payment Amounts in the applicable CVR Period).</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Audit and Information Rights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9" w:lineRule="auto"/>
        <w:tabs>
          <w:tab w:leader="none" w:pos="1508"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thirty (30) days after June 30 and December 31 each Calendar Year during the applicable CVR Period for each CVRs, Parent shall prepare and deliver to the Rights Agent a high-level written report summarizing (i) the performance of, and significant activity related to, the CVR Product Agreements (including status updates on negotiations related to potential Legacy Product Agreements not yet executed and the conduct of any material development and commercialization activities pertaining to the Legacy Products following the Closing Date) and (ii) any CVR Payment Amounts paid or payable (including expectations around upcoming payments and the timing thereof).</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6" w:lineRule="auto"/>
        <w:tabs>
          <w:tab w:leader="none" w:pos="1515" w:val="left"/>
        </w:tabs>
        <w:numPr>
          <w:ilvl w:val="0"/>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time during the term of this Agreement or the three (3)-year period following the date of the termination of this Agreement, upon reasonable advance written notice from the Requisite Holders, Parent shall permit an independent certified public accounting firm of nationally recognized standing selected by such Holders and reasonably acceptable to Parent (the “</w:t>
      </w:r>
      <w:r>
        <w:rPr>
          <w:rFonts w:ascii="Times New Roman" w:cs="Times New Roman" w:eastAsia="Times New Roman" w:hAnsi="Times New Roman"/>
          <w:sz w:val="12"/>
          <w:szCs w:val="12"/>
          <w:b w:val="1"/>
          <w:bCs w:val="1"/>
          <w:color w:val="auto"/>
        </w:rPr>
        <w:t>Independent Accountant</w:t>
      </w:r>
      <w:r>
        <w:rPr>
          <w:rFonts w:ascii="Times New Roman" w:cs="Times New Roman" w:eastAsia="Times New Roman" w:hAnsi="Times New Roman"/>
          <w:sz w:val="12"/>
          <w:szCs w:val="12"/>
          <w:color w:val="auto"/>
        </w:rPr>
        <w:t xml:space="preserve">”) to have access at reasonable times during normal business hours to the books and records of Parent and its Affiliates as may be reasonably necessary to evaluate and verify any of the Payment Obligor’s receipt, categorization and accuracy of payments received under any CVR Product Agreement and the CVR Payment Amounts hereunder;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(x) such Holders (and, if applicable, the Independent Accountant) enter into customary confidentiality agreements reasonably satisfactory to Parent with respect to the confidential information of Parent or its Affiliates to be furnished pursuant to this </w:t>
      </w:r>
      <w:r>
        <w:rPr>
          <w:rFonts w:ascii="Times New Roman" w:cs="Times New Roman" w:eastAsia="Times New Roman" w:hAnsi="Times New Roman"/>
          <w:sz w:val="12"/>
          <w:szCs w:val="12"/>
          <w:u w:val="single" w:color="auto"/>
          <w:color w:val="auto"/>
        </w:rPr>
        <w:t>Section 4.5(b)</w:t>
      </w:r>
      <w:r>
        <w:rPr>
          <w:rFonts w:ascii="Times New Roman" w:cs="Times New Roman" w:eastAsia="Times New Roman" w:hAnsi="Times New Roman"/>
          <w:sz w:val="12"/>
          <w:szCs w:val="12"/>
          <w:color w:val="auto"/>
        </w:rPr>
        <w:t xml:space="preserve"> and (y) such access does not unreasonably interfere with the conduct of the business of Parent or any of its Affiliates. The Independent Accountant shall act only as an expert and not as an arbitrator. The fees charged by the Independent Accountant shall be borne by such Holders, unless such audit identifies an aggregate underpayment by Parent of the CVR Payment Amounts owed to Holders by more than five percent (5%), in which case such fees shall be paid by Parent. The Independent Accountant shall provide Parent with a copy of all disclosures made to such Holders. The decision of the Independent Accountant shall be final, conclusive and binding on Parent and the Holders, shall be nonappealable and shall not be subject to further review, absent manifest error. Parent shall promptly pay, or cause the Rights Agent to promptly pay, the Holders the amount of any underpayment identified in such audit, with each Holder receiving their proportionate share of such underpayment based on the number of CVRs held by such Holder as of the date such CVR Payment Amount was initially due, plus interest at the thirty (30) day U.S. dollar “prime rate” effective for the date such payment was due, as reported by Bloomberg, from when such CVR Payment Amount should have been paid, to the date of actual payment. An audit shall not be requested more frequently than once each calendar year and no Calendar Quarter shall be subject to more than one audit;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no audit may be requested more than three (3) years following expiration of the CVR Period for the applicable CVRs.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43" w:name="page244"/>
    <w:bookmarkEnd w:id="243"/>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5. AMENDMENTS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Amendments without Consent of Holders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3"/>
        <w:spacing w:after="0" w:line="255" w:lineRule="auto"/>
        <w:tabs>
          <w:tab w:leader="none" w:pos="1508"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Without the consent of any Holders or the Rights Agent, Parent, when authorized by a Board Resolution, at any time and from time to time, may enter into one or more amendments hereto, to evidence any successor to or permitted assignee of Parent and the assumption by any such successor or permitted assignee of the covenants of Parent herein as provided in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759" w:firstLine="693"/>
        <w:spacing w:after="0" w:line="267" w:lineRule="auto"/>
        <w:tabs>
          <w:tab w:leader="none" w:pos="1515"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the consent of any Holders, Parent, when authorized by a Board Resolution, and the Rights Agent, in the Rights Agent’s sole and absolute discretion, at any time and from time to time, may enter into one or more amendments hereto, for any of the following purposes:</w:t>
      </w:r>
    </w:p>
    <w:p>
      <w:pPr>
        <w:spacing w:after="0" w:line="46"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796"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evidence the succession of another Person as a successor Rights Agent in accordance with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and the assumption by any successor of the covenants and obligations of the Rights Agent herein;</w:t>
      </w:r>
    </w:p>
    <w:p>
      <w:pPr>
        <w:spacing w:after="0" w:line="122" w:lineRule="exact"/>
        <w:rPr>
          <w:rFonts w:ascii="Times New Roman" w:cs="Times New Roman" w:eastAsia="Times New Roman" w:hAnsi="Times New Roman"/>
          <w:sz w:val="13"/>
          <w:szCs w:val="13"/>
          <w:color w:val="auto"/>
        </w:rPr>
      </w:pPr>
    </w:p>
    <w:p>
      <w:pPr>
        <w:ind w:left="640" w:right="859" w:firstLine="1003"/>
        <w:spacing w:after="0" w:line="309" w:lineRule="auto"/>
        <w:tabs>
          <w:tab w:leader="none" w:pos="1831"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add to the covenants of Parent such further covenants, restrictions, conditions or provisions as Parent and the Rights Agent will consider to be for the protection of the Holders;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each case, such provisions do not adversely affect the interests of the Holders;</w:t>
      </w:r>
    </w:p>
    <w:p>
      <w:pPr>
        <w:spacing w:after="0" w:line="99" w:lineRule="exact"/>
        <w:rPr>
          <w:rFonts w:ascii="Times New Roman" w:cs="Times New Roman" w:eastAsia="Times New Roman" w:hAnsi="Times New Roman"/>
          <w:sz w:val="12"/>
          <w:szCs w:val="12"/>
          <w:color w:val="auto"/>
        </w:rPr>
      </w:pPr>
    </w:p>
    <w:p>
      <w:pPr>
        <w:ind w:left="640" w:right="859" w:firstLine="1003"/>
        <w:spacing w:after="0" w:line="255" w:lineRule="auto"/>
        <w:tabs>
          <w:tab w:leader="none" w:pos="1866"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w:t>
      </w:r>
    </w:p>
    <w:p>
      <w:pPr>
        <w:spacing w:after="0" w:line="130" w:lineRule="exact"/>
        <w:rPr>
          <w:rFonts w:ascii="Times New Roman" w:cs="Times New Roman" w:eastAsia="Times New Roman" w:hAnsi="Times New Roman"/>
          <w:sz w:val="13"/>
          <w:szCs w:val="13"/>
          <w:color w:val="auto"/>
        </w:rPr>
      </w:pPr>
    </w:p>
    <w:p>
      <w:pPr>
        <w:jc w:val="both"/>
        <w:ind w:left="640" w:right="659" w:firstLine="1003"/>
        <w:spacing w:after="0" w:line="255" w:lineRule="auto"/>
        <w:tabs>
          <w:tab w:leader="none" w:pos="1859"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may be necessary or appropriate to ensure that the CVRs are not subject to registration under the Securities Act, the Exchange Act or any applicable state securities or “blue sky” laws;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 or</w:t>
      </w:r>
    </w:p>
    <w:p>
      <w:pPr>
        <w:spacing w:after="0" w:line="130"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824"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amendments hereto for the purpose of adding, eliminating or changing any provisions of this Agreement, unless such addition, elimination or change is adverse to the interests of the Holders.</w:t>
      </w:r>
    </w:p>
    <w:p>
      <w:pPr>
        <w:spacing w:after="0" w:line="122" w:lineRule="exact"/>
        <w:rPr>
          <w:rFonts w:ascii="Times New Roman" w:cs="Times New Roman" w:eastAsia="Times New Roman" w:hAnsi="Times New Roman"/>
          <w:sz w:val="13"/>
          <w:szCs w:val="13"/>
          <w:color w:val="auto"/>
        </w:rPr>
      </w:pPr>
    </w:p>
    <w:p>
      <w:pPr>
        <w:ind w:left="640" w:right="819" w:firstLine="693"/>
        <w:spacing w:after="0" w:line="255" w:lineRule="auto"/>
        <w:tabs>
          <w:tab w:leader="none" w:pos="1508"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Parent and the Rights Agent of any amendment pursuant to the provisions of this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Parent will mail (or cause the Rights Agent to mail) a notice thereof by first class mail to the Holders at their addresses as they appear on the CVR Register, setting forth in general terms the substance of such amendment.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29" w:right="1440" w:bottom="1440" w:gutter="0" w:footer="0" w:header="0"/>
        </w:sectPr>
      </w:pPr>
    </w:p>
    <w:bookmarkStart w:id="244" w:name="page245"/>
    <w:bookmarkEnd w:id="24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5.2 </w:t>
      </w:r>
      <w:r>
        <w:rPr>
          <w:rFonts w:ascii="Times New Roman" w:cs="Times New Roman" w:eastAsia="Times New Roman" w:hAnsi="Times New Roman"/>
          <w:sz w:val="13"/>
          <w:szCs w:val="13"/>
          <w:u w:val="single" w:color="auto"/>
          <w:color w:val="auto"/>
        </w:rPr>
        <w:t>Amendments with Consent of Holders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51" w:lineRule="auto"/>
        <w:tabs>
          <w:tab w:leader="none" w:pos="1508"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(which amendments pursuant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may be made without the consent of the Holders), with the consent of the Requisite Holders, whether evidenced in writing or taken at a meeting of the Holders, Parent, when authorized by a Board Resolution, and the Rights Agent may enter into one or more amendments hereto for the purpose of adding, eliminating or changing any provisions of this Agreement, even if such addition, elimination or change is adverse to the interest of the Holders.</w:t>
      </w:r>
    </w:p>
    <w:p>
      <w:pPr>
        <w:spacing w:after="0" w:line="132" w:lineRule="exact"/>
        <w:rPr>
          <w:rFonts w:ascii="Times New Roman" w:cs="Times New Roman" w:eastAsia="Times New Roman" w:hAnsi="Times New Roman"/>
          <w:sz w:val="13"/>
          <w:szCs w:val="13"/>
          <w:color w:val="auto"/>
        </w:rPr>
      </w:pPr>
    </w:p>
    <w:p>
      <w:pPr>
        <w:ind w:left="640" w:right="799" w:firstLine="693"/>
        <w:spacing w:after="0" w:line="255" w:lineRule="auto"/>
        <w:tabs>
          <w:tab w:leader="none" w:pos="1515"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Parent and the Rights Agent of any amendment pursuant to the provisions of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Parent will mail (or cause the Rights Agent to mail) a notice thereof by first class mail to the Holders at their addresses as they appear on the CVR Register, setting forth in general terms the substance of such amendment.</w:t>
      </w:r>
    </w:p>
    <w:p>
      <w:pPr>
        <w:spacing w:after="0" w:line="130" w:lineRule="exact"/>
        <w:rPr>
          <w:sz w:val="20"/>
          <w:szCs w:val="20"/>
          <w:color w:val="auto"/>
        </w:rPr>
      </w:pPr>
    </w:p>
    <w:p>
      <w:pPr>
        <w:ind w:left="640" w:right="739" w:firstLine="309"/>
        <w:spacing w:after="0" w:line="275" w:lineRule="auto"/>
        <w:rPr>
          <w:sz w:val="20"/>
          <w:szCs w:val="20"/>
          <w:color w:val="auto"/>
        </w:rPr>
      </w:pP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12"/>
          <w:szCs w:val="12"/>
          <w:u w:val="single" w:color="auto"/>
          <w:color w:val="auto"/>
        </w:rPr>
        <w:t>Execution of Amendments</w:t>
      </w:r>
      <w:r>
        <w:rPr>
          <w:rFonts w:ascii="Times New Roman" w:cs="Times New Roman" w:eastAsia="Times New Roman" w:hAnsi="Times New Roman"/>
          <w:sz w:val="12"/>
          <w:szCs w:val="12"/>
          <w:color w:val="auto"/>
        </w:rPr>
        <w:t xml:space="preserve">. Upon the execution of any amendment under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this Agreement will be modified in accordance therewith, such amendment will form a part of this Agreement for all purposes and every Holder will be bound thereby. As a condition precedent to the execution of any supplement or amendment to this Agreement, the Parent shall deliver the Rights Agent a certificate from an appropriate officer of the Parent which states that the proposed supplement or amendment is in compliance with the terms of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and the Rights Agent shall execute such supplement or amendment. No supplement or amendment to this Agreement shall be effective unless duly executed by the Rights Agent.</w:t>
      </w:r>
    </w:p>
    <w:p>
      <w:pPr>
        <w:spacing w:after="0" w:line="119"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Effect of Amendments</w:t>
      </w:r>
      <w:r>
        <w:rPr>
          <w:rFonts w:ascii="Times New Roman" w:cs="Times New Roman" w:eastAsia="Times New Roman" w:hAnsi="Times New Roman"/>
          <w:sz w:val="13"/>
          <w:szCs w:val="13"/>
          <w:color w:val="auto"/>
        </w:rPr>
        <w:t xml:space="preserve">. Upon the execution of any amendment under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this Agreement will be modified in accordance therewith, such amendment will form a part of this Agreement for all purposes and every Holder will be bound thereby.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6. REMEDIES OF THE HOLDERS; OTHER CONSENT REQUIREMENTS</w:t>
      </w:r>
    </w:p>
    <w:p>
      <w:pPr>
        <w:spacing w:after="0" w:line="78"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Event of Default</w:t>
      </w:r>
      <w:r>
        <w:rPr>
          <w:rFonts w:ascii="Times New Roman" w:cs="Times New Roman" w:eastAsia="Times New Roman" w:hAnsi="Times New Roman"/>
          <w:sz w:val="13"/>
          <w:szCs w:val="13"/>
          <w:color w:val="auto"/>
        </w:rPr>
        <w:t>. An “</w:t>
      </w:r>
      <w:r>
        <w:rPr>
          <w:rFonts w:ascii="Times New Roman" w:cs="Times New Roman" w:eastAsia="Times New Roman" w:hAnsi="Times New Roman"/>
          <w:sz w:val="13"/>
          <w:szCs w:val="13"/>
          <w:b w:val="1"/>
          <w:bCs w:val="1"/>
          <w:color w:val="auto"/>
        </w:rPr>
        <w:t>Event of Default</w:t>
      </w:r>
      <w:r>
        <w:rPr>
          <w:rFonts w:ascii="Times New Roman" w:cs="Times New Roman" w:eastAsia="Times New Roman" w:hAnsi="Times New Roman"/>
          <w:sz w:val="13"/>
          <w:szCs w:val="13"/>
          <w:color w:val="auto"/>
        </w:rPr>
        <w:t>” with respect to a CVR means each one of the following events which shall have occurred and be continuing (whatever the reason for such Event of Default and whether it shall be voluntary or involuntary or be effected by operation of applicable Law or pursuant to any judgment, decree or order of any court or any order, rule or regulation of any Governmental Authority):</w:t>
      </w:r>
    </w:p>
    <w:p>
      <w:pPr>
        <w:spacing w:after="0" w:line="128" w:lineRule="exact"/>
        <w:rPr>
          <w:sz w:val="20"/>
          <w:szCs w:val="20"/>
          <w:color w:val="auto"/>
        </w:rPr>
      </w:pPr>
    </w:p>
    <w:p>
      <w:pPr>
        <w:ind w:left="640" w:right="979" w:firstLine="693"/>
        <w:spacing w:after="0" w:line="267" w:lineRule="auto"/>
        <w:tabs>
          <w:tab w:leader="none" w:pos="1508"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default in the performance by Parent of its obligation to transfer cash equal to the applicable CVR Payment Amount to the Rights Agent in accordance with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or</w:t>
      </w:r>
    </w:p>
    <w:p>
      <w:pPr>
        <w:spacing w:after="0" w:line="122" w:lineRule="exact"/>
        <w:rPr>
          <w:rFonts w:ascii="Times New Roman" w:cs="Times New Roman" w:eastAsia="Times New Roman" w:hAnsi="Times New Roman"/>
          <w:sz w:val="13"/>
          <w:szCs w:val="13"/>
          <w:color w:val="auto"/>
        </w:rPr>
      </w:pPr>
    </w:p>
    <w:p>
      <w:pPr>
        <w:jc w:val="both"/>
        <w:ind w:left="640" w:right="799" w:firstLine="693"/>
        <w:spacing w:after="0" w:line="286" w:lineRule="auto"/>
        <w:tabs>
          <w:tab w:leader="none" w:pos="1515"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material default in the performance, or breach in any material respect, of any covenant or warranty of Parent hereunder (other than a default in whose performance or whose breach is elsewhere in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specifically dealt with), and continuance of such default or breach for a period of ninety (90) days after a written notice specifying such default or breach and requiring it to be remedied is given by the Requisite Holders.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Enforcement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39" w:firstLine="693"/>
        <w:spacing w:after="0" w:line="249" w:lineRule="auto"/>
        <w:tabs>
          <w:tab w:leader="none" w:pos="1508" w:val="left"/>
        </w:tabs>
        <w:numPr>
          <w:ilvl w:val="0"/>
          <w:numId w:val="2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an Event of Default has occurred and is continuing (i.e., has not been cured or waived), then, and in each and every such case, the Rights Agent, upon the written request of the Requisite Holders, shall commence a legal proceeding to protect the rights of the Holders, including to seek damages or obtain payment for any amounts then due and payable;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Rights Agent shall provide to Parent and the Holders reasonably concurrent notice of such commencement. For the avoidance of doubt, any legal proceeding commenced in accordance with this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 xml:space="preserve"> shall be subject to the provisions of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45" w:name="page246"/>
    <w:bookmarkEnd w:id="245"/>
    <w:p>
      <w:pPr>
        <w:ind w:left="640" w:right="659" w:firstLine="693"/>
        <w:spacing w:after="0" w:line="251" w:lineRule="auto"/>
        <w:tabs>
          <w:tab w:leader="none" w:pos="1515" w:val="left"/>
        </w:tabs>
        <w:numPr>
          <w:ilvl w:val="1"/>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an Event of Default has occurred and is continuing (i.e., has not been cured or waived), the Rights Agent may in its discretion proceed to protect and enforce the rights vested in it by this Agreement by commencing a legal proceeding;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Rights Agent shall provide to Parent and the Holders reasonably concurrent notice of such commencement. For the avoidance of doubt, any legal proceeding commenced in accordance with this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shall be subject to the provisions of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w:t>
      </w:r>
    </w:p>
    <w:p>
      <w:pPr>
        <w:spacing w:after="0" w:line="206" w:lineRule="exact"/>
        <w:rPr>
          <w:rFonts w:ascii="Times New Roman" w:cs="Times New Roman" w:eastAsia="Times New Roman" w:hAnsi="Times New Roman"/>
          <w:sz w:val="13"/>
          <w:szCs w:val="13"/>
          <w:color w:val="auto"/>
        </w:rPr>
      </w:pPr>
    </w:p>
    <w:p>
      <w:pPr>
        <w:ind w:left="760" w:hanging="123"/>
        <w:spacing w:after="0"/>
        <w:tabs>
          <w:tab w:leader="none" w:pos="760" w:val="left"/>
        </w:tabs>
        <w:numPr>
          <w:ilvl w:val="0"/>
          <w:numId w:val="2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PROVISIONS OF GENERAL APPLICATION</w:t>
      </w:r>
    </w:p>
    <w:p>
      <w:pPr>
        <w:spacing w:after="0" w:line="80" w:lineRule="exact"/>
        <w:rPr>
          <w:sz w:val="20"/>
          <w:szCs w:val="20"/>
          <w:color w:val="auto"/>
        </w:rPr>
      </w:pPr>
    </w:p>
    <w:p>
      <w:pPr>
        <w:ind w:left="640" w:right="7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Notices to Rights Agent and Parent</w:t>
      </w:r>
      <w:r>
        <w:rPr>
          <w:rFonts w:ascii="Times New Roman" w:cs="Times New Roman" w:eastAsia="Times New Roman" w:hAnsi="Times New Roman"/>
          <w:sz w:val="13"/>
          <w:szCs w:val="13"/>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Rights Agent, to it at:</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Email Address: [•]</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Parent, to it at:</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Email Address: [•]</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Email Address: [•]</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46" w:name="page247"/>
    <w:bookmarkEnd w:id="24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to Obsidian, to it at:</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Email Address: [•]</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Address: [•]</w:t>
      </w:r>
    </w:p>
    <w:p>
      <w:pPr>
        <w:spacing w:after="0" w:line="141"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The Rights Agent, Obsidian or Parent may specify a different address or email address by giving notice to each other in accordance with this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and to the Holders in accordance with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Notice to Holders</w:t>
      </w:r>
      <w:r>
        <w:rPr>
          <w:rFonts w:ascii="Times New Roman" w:cs="Times New Roman" w:eastAsia="Times New Roman" w:hAnsi="Times New Roman"/>
          <w:sz w:val="13"/>
          <w:szCs w:val="13"/>
          <w:color w:val="auto"/>
        </w:rPr>
        <w:t>.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134"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Successors and Assigns</w:t>
      </w:r>
      <w:r>
        <w:rPr>
          <w:rFonts w:ascii="Times New Roman" w:cs="Times New Roman" w:eastAsia="Times New Roman" w:hAnsi="Times New Roman"/>
          <w:sz w:val="13"/>
          <w:szCs w:val="13"/>
          <w:color w:val="auto"/>
        </w:rPr>
        <w:t>. Parent may assign, in its sole discretion and without the consent of any other party, any or all of its rights, interests and obligations hereunder to one or more direct or indirect wholly-owned subsidiaries of Parent for so long as they remain wholly owned subsidiaries of Parent or to an assignee of all of Parent’s (on a consolidated basis) rights under any CVR Product Agreement (each, an “</w:t>
      </w:r>
      <w:r>
        <w:rPr>
          <w:rFonts w:ascii="Times New Roman" w:cs="Times New Roman" w:eastAsia="Times New Roman" w:hAnsi="Times New Roman"/>
          <w:sz w:val="13"/>
          <w:szCs w:val="13"/>
          <w:b w:val="1"/>
          <w:bCs w:val="1"/>
          <w:color w:val="auto"/>
        </w:rPr>
        <w:t>Assignee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shall remain liable for the performance by any such Assignee of, and shall not be relieved of, its obligations, duties and covenants hereunder. Any such Assignee may thereafter assign, in its sole discretion and without the consent of any other party, any or all of its rights, interests and obligations hereunder to one or more additional Assignees satisfying the conditions of the preceding sentence;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shall remain liable for the performance by any such Assignee of, and shall not be relieved of, its obligations, duties and covenants hereunder. This Agreement will be binding upon, inure to the benefit of and be enforceable by the parties and their respective successors and permitted assignees. Parent (or any of its successors) shall not consolidate or merge with or into any other Person (other than a merger or consolidation where Parent is the surviving corporation) other than pursuant to a Change of Control of Parent and provided that Parent shall cause the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247" w:name="page248"/>
    <w:bookmarkEnd w:id="247"/>
    <w:p>
      <w:pPr>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acquirer to assume Parent’s obligations, duties and covenants under this Agreement. Except as otherwise permitted herein, Parent may not assign this Agreement without the prior written consent of the Requisite Holders. Any attempted assignment of this Agreement or any of such rights in violation of this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xml:space="preserve"> shall be void and of no effect. The Rights Agent may not assign this Agreement without Parent’s written consent.</w:t>
      </w:r>
    </w:p>
    <w:p>
      <w:pPr>
        <w:spacing w:after="0" w:line="130"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7.4 </w:t>
      </w:r>
      <w:r>
        <w:rPr>
          <w:rFonts w:ascii="Times New Roman" w:cs="Times New Roman" w:eastAsia="Times New Roman" w:hAnsi="Times New Roman"/>
          <w:sz w:val="13"/>
          <w:szCs w:val="13"/>
          <w:u w:val="single" w:color="auto"/>
          <w:color w:val="auto"/>
        </w:rPr>
        <w:t>Benefits of Agreement</w:t>
      </w:r>
      <w:r>
        <w:rPr>
          <w:rFonts w:ascii="Times New Roman" w:cs="Times New Roman" w:eastAsia="Times New Roman" w:hAnsi="Times New Roman"/>
          <w:sz w:val="13"/>
          <w:szCs w:val="13"/>
          <w:color w:val="auto"/>
        </w:rPr>
        <w:t>. Parent and the Rights Agent hereby agree that the respective covenants and agreements set forth herein are intended to be for the benefit of, and shall be enforceable by, the Holders, acting by the written consent of the Requisite Holders, all of whom are intended third party beneficiaries hereof. Nothing in this Agreement, express or implied, will give to any Person (other than the Rights Agent, Parent, Parent’s successors and permitted assignees, and the Holders and their respective successors and permitted assignees) any benefit or any legal or equitable right, remedy or claim under this Agreement or under any covenant or provision herein contained, all such covenants and provisions being for the sole benefit of the Rights Agent, Parent, Parent’s successors and permitted assignees, and the Holders and their respective successors and permitted assignees. The rights of Holders are limited to those expressly provided in this Agreement.</w:t>
      </w:r>
    </w:p>
    <w:p>
      <w:pPr>
        <w:spacing w:after="0" w:line="136"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7.5 </w:t>
      </w:r>
      <w:r>
        <w:rPr>
          <w:rFonts w:ascii="Times New Roman" w:cs="Times New Roman" w:eastAsia="Times New Roman" w:hAnsi="Times New Roman"/>
          <w:sz w:val="12"/>
          <w:szCs w:val="12"/>
          <w:u w:val="single" w:color="auto"/>
          <w:color w:val="auto"/>
        </w:rPr>
        <w:t>No Third Party Beneficiaries</w:t>
      </w:r>
      <w:r>
        <w:rPr>
          <w:rFonts w:ascii="Times New Roman" w:cs="Times New Roman" w:eastAsia="Times New Roman" w:hAnsi="Times New Roman"/>
          <w:sz w:val="12"/>
          <w:szCs w:val="12"/>
          <w:color w:val="auto"/>
        </w:rPr>
        <w:t xml:space="preserve">. Nothing in this Agreement, express or implied, shall give to any Person (other than the Rights Agent, Parent, Parent’s successors and Assignees, each of whom is intended to be, and is, a third party beneficiary hereunder;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Holders shall be considered third party beneficiaries solely to the extent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any benefit or any legal or equitable right, remedy or claim under this Agreement or under any covenant or provision herein contained, all such covenants and provisions being for the sole benefit of the Rights Agent, Parent, Parent’s successors and Assignees, and the Holders (solely to the extent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The Holders of CVRs shall have no rights except the contractual rights as are expressly set forth in this Agreement acting through the Rights Agent and subject to the provisions of </w:t>
      </w:r>
      <w:r>
        <w:rPr>
          <w:rFonts w:ascii="Times New Roman" w:cs="Times New Roman" w:eastAsia="Times New Roman" w:hAnsi="Times New Roman"/>
          <w:sz w:val="12"/>
          <w:szCs w:val="12"/>
          <w:u w:val="single" w:color="auto"/>
          <w:color w:val="auto"/>
        </w:rPr>
        <w:t>Section 7.4</w:t>
      </w:r>
      <w:r>
        <w:rPr>
          <w:rFonts w:ascii="Times New Roman" w:cs="Times New Roman" w:eastAsia="Times New Roman" w:hAnsi="Times New Roman"/>
          <w:sz w:val="12"/>
          <w:szCs w:val="12"/>
          <w:color w:val="auto"/>
        </w:rPr>
        <w:t xml:space="preserve"> above unless</w:t>
      </w:r>
    </w:p>
    <w:p>
      <w:pPr>
        <w:spacing w:after="0" w:line="2" w:lineRule="exact"/>
        <w:rPr>
          <w:sz w:val="20"/>
          <w:szCs w:val="20"/>
          <w:color w:val="auto"/>
        </w:rPr>
      </w:pPr>
    </w:p>
    <w:p>
      <w:pPr>
        <w:ind w:left="640" w:right="679" w:hanging="3"/>
        <w:spacing w:after="0" w:line="265" w:lineRule="auto"/>
        <w:tabs>
          <w:tab w:leader="none" w:pos="791" w:val="left"/>
        </w:tabs>
        <w:numPr>
          <w:ilvl w:val="0"/>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Holder previously shall have given to the Rights Agent written notice of default, (ii) the Requisite Holders shall have made written request upon the Rights Agent to commence such proceeding in its own name as Rights Agent hereunder and shall have offered to the Rights Agent such reasonable indemnity as it may require against the costs, expenses and liabilities to be incurred therein or thereby and (iii) the Rights Agent for fifteen (15) days after its receipt of such notice, request and offer of indemnity shall have failed to commence any such proceeding and no direction inconsistent with such written request shall have been given to the Rights Agent pursuant to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Notwithstanding any other provision in this Agreement, the right of any Holder of any CVR to receive payment of the amounts that a CVR Payment Notice indicates are payable in respect of such CVR on or after the applicable due date, or to commence proceedings for the enforcement of any such payment on or after such due date, shall not be impaired or affected without the consent of such Holder. Notwithstanding any other provision in this Agreement, in the event of an insolvency proceeding of the Parent, individual Holders shall be entitled to assert claims in such insolvency proceeding and take related actions in pursuit of such claims with respect to any payment that may be claimed by or on behalf of the Parent or by any creditor of the Parent. Notwithstanding anything to the contrary contained herein, any Holder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Holders in exchange for their agreement to irrevocably renounce their rights, in whole or in part, hereunder.</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248" w:name="page249"/>
    <w:bookmarkEnd w:id="248"/>
    <w:p>
      <w:pPr>
        <w:ind w:left="640" w:right="779" w:firstLine="30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7.6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THE INTERNAL LAWS OF THE STATE OF DELAWARE APPLICABLE TO AGREEMENTS MADE AND TO BE PERFORMED ENTIRELY WITHIN SUCH STATE, WITHOUT REGARDS TO THE CONFLICTS OF LAW PRINCIPLES OF SUCH STATE,.</w:t>
      </w:r>
    </w:p>
    <w:p>
      <w:pPr>
        <w:spacing w:after="0" w:line="13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In addition, each of the Parties hereto (a) consents to submit itself to the personal and exclusive jurisdiction of any Delaware state court or any federal court located in State of Delaware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any Delaware state court or any federal court located in State of Delaware and (d) waives any right to trial by jury with respect to any action related to or arising out of this Agreement.</w:t>
      </w:r>
    </w:p>
    <w:p>
      <w:pPr>
        <w:spacing w:after="0" w:line="13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7.7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term or other provision of this Agreement is invalid, illegal or incapable of being enforced by any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spacing w:after="0" w:line="135"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 xml:space="preserve">7.8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xml:space="preserve">. Except as otherwise provided in </w:t>
      </w:r>
      <w:r>
        <w:rPr>
          <w:rFonts w:ascii="Times New Roman" w:cs="Times New Roman" w:eastAsia="Times New Roman" w:hAnsi="Times New Roman"/>
          <w:sz w:val="12"/>
          <w:szCs w:val="12"/>
          <w:u w:val="single" w:color="auto"/>
          <w:color w:val="auto"/>
        </w:rPr>
        <w:t>Sections 2.4(f)</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4.5</w:t>
      </w:r>
      <w:r>
        <w:rPr>
          <w:rFonts w:ascii="Times New Roman" w:cs="Times New Roman" w:eastAsia="Times New Roman" w:hAnsi="Times New Roman"/>
          <w:sz w:val="12"/>
          <w:szCs w:val="12"/>
          <w:color w:val="auto"/>
        </w:rPr>
        <w:t>, this Agreement will be terminated and of no force or effect, the parties hereto will have no liability hereunder, and no payments will be required to be made, upon the earlier to occur of (a) the termination of the Merger Agreement in accordance with its terms and (b) forty-five (45) days after the applicable Expiration Date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foregoing shall not affect or limit the obligations of Parent or the Rights Agent to pay or otherwise with respect to any CVR Payment Amount payable during the applicable CVR Period, and the provisions of this Agreement applicable thereto shall survive any expiration or termination of this Agreement). In no event will any CVR Payment Amount become payable for any consideration received by the Parent, Obsidian, Galera or any of its other Affiliates, under a CVR Product Agreement after the applicable Expiration Date and any such consideration shall not be Gross Proceeds under this Agreement. Notwithstanding the foregoing, no such termination shall affect any rights or obligations accrued prior to the effective date of such termination or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which shall survive the termination of this Agreement, or the resignation, replacement or removal of the Rights Agent.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249" w:name="page250"/>
    <w:bookmarkEnd w:id="249"/>
    <w:p>
      <w:pPr>
        <w:ind w:left="640" w:right="659" w:firstLine="30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7.9 </w:t>
      </w:r>
      <w:r>
        <w:rPr>
          <w:rFonts w:ascii="Times New Roman" w:cs="Times New Roman" w:eastAsia="Times New Roman" w:hAnsi="Times New Roman"/>
          <w:sz w:val="12"/>
          <w:szCs w:val="12"/>
          <w:u w:val="single" w:color="auto"/>
          <w:color w:val="auto"/>
        </w:rPr>
        <w:t>Entire Agreement; Counterparts; Exchanges by Electronic Transmission</w:t>
      </w:r>
      <w:r>
        <w:rPr>
          <w:rFonts w:ascii="Times New Roman" w:cs="Times New Roman" w:eastAsia="Times New Roman" w:hAnsi="Times New Roman"/>
          <w:sz w:val="12"/>
          <w:szCs w:val="12"/>
          <w:color w:val="auto"/>
        </w:rPr>
        <w:t>. This Agreement, the Merger Agreement, and the other schedules, exhibits, certificates, instruments and agreements referred to in this Agreement and the Merger Agreement constitute the entire agreement and supersede all prior agreements and understandings, both written and oral, among or between any of the parties hereto and thereto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250" w:name="page251"/>
    <w:bookmarkEnd w:id="250"/>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each of the parties has caused this Agreement to be executed on its behalf by its duly authorized officers as of the day and year first above written.</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GAZELLE PARENT,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172720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2720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-88265</wp:posOffset>
            </wp:positionV>
            <wp:extent cx="172720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172720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2720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-88265</wp:posOffset>
            </wp:positionV>
            <wp:extent cx="172720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EQUINITI TRUST COMPANY, LLC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Contingent Value Rights Agreement]</w:t>
      </w:r>
    </w:p>
    <w:p>
      <w:pPr>
        <w:sectPr>
          <w:pgSz w:w="11900" w:h="16838" w:orient="portrait"/>
          <w:cols w:equalWidth="0" w:num="1">
            <w:col w:w="9019"/>
          </w:cols>
          <w:pgMar w:left="1440" w:top="231" w:right="1440" w:bottom="1440" w:gutter="0" w:footer="0" w:header="0"/>
        </w:sectPr>
      </w:pPr>
    </w:p>
    <w:bookmarkStart w:id="251" w:name="page252"/>
    <w:bookmarkEnd w:id="251"/>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215390" cy="3308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15390"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Obsidian Therapeutics and Galera Therapeutics Announce Merger Agreement and $350 Million Concurrent Private Placement</w:t>
      </w:r>
    </w:p>
    <w:p>
      <w:pPr>
        <w:spacing w:after="0" w:line="175" w:lineRule="exact"/>
        <w:rPr>
          <w:sz w:val="20"/>
          <w:szCs w:val="20"/>
          <w:color w:val="auto"/>
        </w:rPr>
      </w:pPr>
    </w:p>
    <w:p>
      <w:pPr>
        <w:ind w:left="1320" w:right="819" w:hanging="303"/>
        <w:spacing w:after="0" w:line="267" w:lineRule="auto"/>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Combined company to operate as Obsidian Therapeutics, Inc. and to advance Obsidian’s pipeline of novel engineered TIL cell therapies for the treatment of patients with solid tumors.</w:t>
      </w:r>
    </w:p>
    <w:p>
      <w:pPr>
        <w:spacing w:after="0" w:line="55" w:lineRule="exact"/>
        <w:rPr>
          <w:rFonts w:ascii="Times New Roman" w:cs="Times New Roman" w:eastAsia="Times New Roman" w:hAnsi="Times New Roman"/>
          <w:sz w:val="13"/>
          <w:szCs w:val="13"/>
          <w:color w:val="auto"/>
        </w:rPr>
      </w:pPr>
    </w:p>
    <w:p>
      <w:pPr>
        <w:ind w:left="1320" w:right="779" w:hanging="303"/>
        <w:spacing w:after="0" w:line="267" w:lineRule="auto"/>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Obsidian’s lead product candidate, OBX-115, is a genetically engineered, autologous TIL cell therapy currently in a Phase 2 clinical trial for the treatment of advanced melanoma and a Phase 1 clinical trial for the treatment of non-small cell lung cancer (“NSCLC”).</w:t>
      </w:r>
    </w:p>
    <w:p>
      <w:pPr>
        <w:spacing w:after="0" w:line="55" w:lineRule="exact"/>
        <w:rPr>
          <w:rFonts w:ascii="Times New Roman" w:cs="Times New Roman" w:eastAsia="Times New Roman" w:hAnsi="Times New Roman"/>
          <w:sz w:val="13"/>
          <w:szCs w:val="13"/>
          <w:color w:val="auto"/>
        </w:rPr>
      </w:pPr>
    </w:p>
    <w:p>
      <w:pPr>
        <w:ind w:left="1320" w:right="719" w:hanging="303"/>
        <w:spacing w:after="0" w:line="255" w:lineRule="auto"/>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Concurrent private placement financing of $350 million expected to fund the combined company into the second half of 2028 and provide capital through multiple clinical data milestones expected in 2027, including NSCLC Phase 1 data (expected 1H 2027) and melanoma registration-enabling data (expected year-end 2027).</w:t>
      </w:r>
    </w:p>
    <w:p>
      <w:pPr>
        <w:spacing w:after="0" w:line="52"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Cambridge, MA and Malvern, PA – April 14, 2026 – </w:t>
      </w:r>
      <w:r>
        <w:rPr>
          <w:rFonts w:ascii="Times New Roman" w:cs="Times New Roman" w:eastAsia="Times New Roman" w:hAnsi="Times New Roman"/>
          <w:sz w:val="13"/>
          <w:szCs w:val="13"/>
          <w:color w:val="auto"/>
        </w:rPr>
        <w:t>Galera Therapeutics, Inc. (“Galera”) (OTC: GRTX), a clinical-stage biopharmaceutical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focused on advancing a pan-NOS inhibitor through clinical development for patients with the hardest-to-treat forms of advanced breast cancer, and Obsidian Therapeutics, Inc. (“Obsidian”), a privately-held clinical-stage biopharmaceutical company harnessing novel protein-regulation technology to develop engineered tumor infiltrating lymphocyte, (“TIL”), cell therapies, today announced that they have entered into a definitive merger agreement to combine in an all-stock transaction. The combination will be accomplished by both companies becoming wholly owned subsidiaries of a newly formed company. Upon completion of the transaction, the combined company plans to operate under the name Obsidian Therapeutics, Inc. and will apply to trade on Nasdaq under the ticker symbol “OBX.”</w:t>
      </w:r>
    </w:p>
    <w:p>
      <w:pPr>
        <w:spacing w:after="0" w:line="134" w:lineRule="exact"/>
        <w:rPr>
          <w:sz w:val="20"/>
          <w:szCs w:val="20"/>
          <w:color w:val="auto"/>
        </w:rPr>
      </w:pPr>
    </w:p>
    <w:p>
      <w:pPr>
        <w:ind w:left="640" w:right="759"/>
        <w:spacing w:after="0" w:line="248" w:lineRule="auto"/>
        <w:rPr>
          <w:sz w:val="20"/>
          <w:szCs w:val="20"/>
          <w:color w:val="auto"/>
        </w:rPr>
      </w:pPr>
      <w:r>
        <w:rPr>
          <w:rFonts w:ascii="Times New Roman" w:cs="Times New Roman" w:eastAsia="Times New Roman" w:hAnsi="Times New Roman"/>
          <w:sz w:val="13"/>
          <w:szCs w:val="13"/>
          <w:color w:val="auto"/>
        </w:rPr>
        <w:t>In support of the transaction, Galera and Obsidian have secured commitments for an oversubscribed private placement financing that is expected to result in total gross proceeds of $350 million from a syndicate of new investors, including Balyasny Asset Management, Caligan Partners LP, Eventide Asset Management, Nantahala Capital, Octagon Capital, Redmile, Spruce Street Capital and Trails Edge Capital Partners, and with participation from current Obsidian investors, including Atlas Venture, Deep Track Capital, Foresite Capital, Janus Henderson Investors, Logos Capital, Novo Holdings A/S, Paradigm BioCapital Advisors, Pivotal bioVenture Partners, RA Capital Management, RTW Investments, TCGX and Wellington Management, among other leading investment management firms.</w:t>
      </w:r>
    </w:p>
    <w:p>
      <w:pPr>
        <w:sectPr>
          <w:pgSz w:w="11900" w:h="16838" w:orient="portrait"/>
          <w:cols w:equalWidth="0" w:num="1">
            <w:col w:w="9019"/>
          </w:cols>
          <w:pgMar w:left="1440" w:top="229" w:right="1440" w:bottom="1440" w:gutter="0" w:footer="0" w:header="0"/>
        </w:sectPr>
      </w:pPr>
    </w:p>
    <w:bookmarkStart w:id="252" w:name="page253"/>
    <w:bookmarkEnd w:id="252"/>
    <w:p>
      <w:pPr>
        <w:ind w:left="640" w:right="77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97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0425" cy="397510"/>
                    </a:xfrm>
                    <a:prstGeom prst="rect">
                      <a:avLst/>
                    </a:prstGeom>
                    <a:noFill/>
                  </pic:spPr>
                </pic:pic>
              </a:graphicData>
            </a:graphic>
          </wp:anchor>
        </w:drawing>
        <w:t>The private placement financing is expected to close immediately prior to completion of the proposed merger transaction. The combined company’s cash and cash equivalents balance at closing, including the funds from the private placement financing, is anticipated to fund the combined company’s operations</w:t>
      </w:r>
    </w:p>
    <w:p>
      <w:pPr>
        <w:spacing w:after="0" w:line="1"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into the second half of 2028 and provides runway through key clinical milestones for Obsidian’s lead product candidate, OBX-115. These include Phase 1 data from the ongoing NSCLC trial expected in the first half of 2027, and by year-end 2027, topline data from their melanoma registration-enabling trial. The combined company will also continue to support Galera’s pipeline.</w:t>
      </w:r>
    </w:p>
    <w:p>
      <w:pPr>
        <w:spacing w:after="0" w:line="136"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“At Obsidian, we are striving to deliver a best-in-class TIL cell therapy developed using our proprietary protein-regulation technology,” said Madan Jagasia, M.D., Chief Executive Officer of Obsidian. “We believe OBX-115 offers an opportunity to provide patients with an improved TIL product and patient experience. This transaction and the support from leading life sciences investors will allow us to advance our development plans for OBX-115 in melanoma and NSCLC.”</w:t>
      </w:r>
    </w:p>
    <w:p>
      <w:pPr>
        <w:spacing w:after="0" w:line="133" w:lineRule="exact"/>
        <w:rPr>
          <w:sz w:val="20"/>
          <w:szCs w:val="20"/>
          <w:color w:val="auto"/>
        </w:rPr>
      </w:pPr>
    </w:p>
    <w:p>
      <w:pPr>
        <w:ind w:left="640" w:right="659"/>
        <w:spacing w:after="0" w:line="232" w:lineRule="auto"/>
        <w:rPr>
          <w:sz w:val="20"/>
          <w:szCs w:val="20"/>
          <w:color w:val="auto"/>
        </w:rPr>
      </w:pPr>
      <w:r>
        <w:rPr>
          <w:rFonts w:ascii="Times New Roman" w:cs="Times New Roman" w:eastAsia="Times New Roman" w:hAnsi="Times New Roman"/>
          <w:sz w:val="13"/>
          <w:szCs w:val="13"/>
          <w:color w:val="auto"/>
        </w:rPr>
        <w:t>Obsidian leverages their cytoDRIVE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to develop engineered TIL cell therapies. OBX-115 is currently in a Phase 2 clinical trial for the treatment of advanced melanoma and a Phase 1 clinical trial for the treatment of NSCLC. OBX-115 is designed with regulatable membrane-bound IL15 (mbIL15), which drives TIL persistence, eliminates the need to dose toxic interleukin-2 (IL2), and enables outpatient administration of low-dose lymphodepletion. Furthermore, OBX-115 can be manufactured using tumor tissue procurement from an outpatient, minimally invasive core needle biopsy. OBX-115 has been granted Fast Track and Regenerative Medicine Advanced Therapy designations from the U.S. Food and Drug Administration for the treatment of patients with unresectable or metastatic melanoma that is resistant to immune checkpoint inhibitor therapy.</w:t>
      </w:r>
    </w:p>
    <w:p>
      <w:pPr>
        <w:spacing w:after="0" w:line="139"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“We believe this transaction with Obsidian is the best path forward for Galera and look forward to the combined company’s success,” said J. Mel Sorensen, M.D., Chief Executive Officer of Galera. “Obsidian’s pipeline of novel engineered TIL cell therapies and its promising lead product candidate, OBX-115, offer near-term, value creating milestones for Galera stockholders. In addition, Galera stockholders will retain a contingent value right for 95% of all future milestones for up to 10 years arising out of its October 2025 Asset Purchase Agreement with Biossil.ai for its dismutase mimetics.”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the Proposed Transaction</w:t>
      </w:r>
    </w:p>
    <w:p>
      <w:pPr>
        <w:spacing w:after="0" w:line="80" w:lineRule="exact"/>
        <w:rPr>
          <w:sz w:val="20"/>
          <w:szCs w:val="20"/>
          <w:color w:val="auto"/>
        </w:rPr>
      </w:pPr>
    </w:p>
    <w:p>
      <w:pPr>
        <w:ind w:left="640" w:right="699"/>
        <w:spacing w:after="0" w:line="275" w:lineRule="auto"/>
        <w:rPr>
          <w:sz w:val="20"/>
          <w:szCs w:val="20"/>
          <w:color w:val="auto"/>
        </w:rPr>
      </w:pPr>
      <w:r>
        <w:rPr>
          <w:rFonts w:ascii="Times New Roman" w:cs="Times New Roman" w:eastAsia="Times New Roman" w:hAnsi="Times New Roman"/>
          <w:sz w:val="12"/>
          <w:szCs w:val="12"/>
          <w:color w:val="auto"/>
        </w:rPr>
        <w:t>Under the terms of the merger agreement, as of the closing of the proposed transaction, the pre-closing Galera stockholders (other than those investors participating in the private placement financing) are expected to own approximately 1.8% of the combined company, the pre-closing Obsidian stockholders are expected to own approximately 53.2% of the combined company, and investors in the private placement financing are expected to own approximately 45.0% of the combined company. The percentage of the combined company that Galera’s stockholders will own as of the closing of the proposed transaction is subject to adjustment based on the estimated amount of Galera’s net cash immediately prior to the closing date.</w:t>
      </w:r>
    </w:p>
    <w:p>
      <w:pPr>
        <w:spacing w:after="0" w:line="119"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The pre-closing Galera stockholders (other than those investors participating in the private placement financing) are expected to receive one contingent value right for each outstanding share of Galera common stock held by such stockholder, representing the right to receive contingent payments upon the occurrence of certain events (including receipt of milestone proceeds under the Biossil.ai agreement).</w:t>
      </w:r>
    </w:p>
    <w:p>
      <w:pPr>
        <w:sectPr>
          <w:pgSz w:w="11900" w:h="16838" w:orient="portrait"/>
          <w:cols w:equalWidth="0" w:num="1">
            <w:col w:w="9019"/>
          </w:cols>
          <w:pgMar w:left="1440" w:top="857" w:right="1440" w:bottom="1440" w:gutter="0" w:footer="0" w:header="0"/>
        </w:sectPr>
      </w:pPr>
    </w:p>
    <w:bookmarkStart w:id="253" w:name="page254"/>
    <w:bookmarkEnd w:id="253"/>
    <w:p>
      <w:pPr>
        <w:ind w:left="6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975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0425" cy="397510"/>
                    </a:xfrm>
                    <a:prstGeom prst="rect">
                      <a:avLst/>
                    </a:prstGeom>
                    <a:noFill/>
                  </pic:spPr>
                </pic:pic>
              </a:graphicData>
            </a:graphic>
          </wp:anchor>
        </w:drawing>
        <w:t>The transaction has received approval by the Board of Directors of both companies and is expected to close by the third quarter of 2026, subject to certain closing conditions, including, among others, approval by the stockholders of each company, the effectiveness of a registration statement to be filed with the U.S. Securities and Exchange Commission (the “SEC”) to register the securities to be issued in connection with the proposed acquisitions of Obsidian and Galera and the satisfaction of other customary closing conditions.</w:t>
      </w:r>
    </w:p>
    <w:p>
      <w:pPr>
        <w:spacing w:after="0" w:line="133"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The combined company plans to operate under the name Obsidian Therapeutics, Inc. and will be led by Madan Jagasia, M.D., Obsidian’s current Chief Executive Officer. Obsidian’s Board of Directors will become directors of the combined company, chaired by Maria Fardis, Ph.D., M.B.A., Chief Executive Officer of Lassen Therapeutics and AirNexis Therapeutics.</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Leerink Partners is serving as exclusive financial advisor and Goodwin Procter LLP is serving as legal counsel to Obsidian. Leerink Partners, TD Cowen, Piper Sandler, William Blair and LifeSci Capital are acting as placement agents in connection with the concurrent private placement financing. Mintz, Levin, Cohn, Ferris, Glovsky and Popeo, P.C. is serving as legal counsel to the placement agents. Sidley Austin LLP is serving as legal counsel to Galera. Lucid Capital Markets is providing a fairness opinion to Galera’s Board of Directors.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Obsidian Therapeutics</w:t>
      </w:r>
    </w:p>
    <w:p>
      <w:pPr>
        <w:spacing w:after="0" w:line="80" w:lineRule="exact"/>
        <w:rPr>
          <w:sz w:val="20"/>
          <w:szCs w:val="20"/>
          <w:color w:val="auto"/>
        </w:rPr>
      </w:pPr>
    </w:p>
    <w:p>
      <w:pPr>
        <w:ind w:left="640" w:right="699"/>
        <w:spacing w:after="0" w:line="208" w:lineRule="auto"/>
        <w:rPr>
          <w:sz w:val="20"/>
          <w:szCs w:val="20"/>
          <w:color w:val="auto"/>
        </w:rPr>
      </w:pPr>
      <w:r>
        <w:rPr>
          <w:rFonts w:ascii="Times New Roman" w:cs="Times New Roman" w:eastAsia="Times New Roman" w:hAnsi="Times New Roman"/>
          <w:sz w:val="13"/>
          <w:szCs w:val="13"/>
          <w:color w:val="auto"/>
        </w:rPr>
        <w:t>Obsidian Therapeutics, Inc. is a clinical-stage biopharmaceutical company harnessing novel protein-regulation technology to develop engineered TIL cell therapies for the treatment of patients with solid tumors. Obsidian’s proprietary cytoDRiVE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is highly versatile and allows us to leverage drug responsive domains, or DRDs, to control protein function, with our initial focus on TIL cell therapies developed from this platform, or cytoTILs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Obsidian is headquartered in Cambridge, MA. For more information, please visit </w:t>
      </w:r>
      <w:r>
        <w:rPr>
          <w:rFonts w:ascii="Times New Roman" w:cs="Times New Roman" w:eastAsia="Times New Roman" w:hAnsi="Times New Roman"/>
          <w:sz w:val="13"/>
          <w:szCs w:val="13"/>
          <w:u w:val="single" w:color="auto"/>
          <w:color w:val="auto"/>
        </w:rPr>
        <w:t>www.obsidiantx.com</w:t>
      </w:r>
      <w:r>
        <w:rPr>
          <w:rFonts w:ascii="Times New Roman" w:cs="Times New Roman" w:eastAsia="Times New Roman" w:hAnsi="Times New Roman"/>
          <w:sz w:val="13"/>
          <w:szCs w:val="13"/>
          <w:color w:val="auto"/>
        </w:rPr>
        <w:t xml:space="preserve"> .</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Galera Therapeutics</w:t>
      </w:r>
    </w:p>
    <w:p>
      <w:pPr>
        <w:spacing w:after="0" w:line="80" w:lineRule="exact"/>
        <w:rPr>
          <w:sz w:val="20"/>
          <w:szCs w:val="20"/>
          <w:color w:val="auto"/>
        </w:rPr>
      </w:pPr>
    </w:p>
    <w:p>
      <w:pPr>
        <w:jc w:val="both"/>
        <w:ind w:left="640" w:right="839"/>
        <w:spacing w:after="0" w:line="286" w:lineRule="auto"/>
        <w:rPr>
          <w:sz w:val="20"/>
          <w:szCs w:val="20"/>
          <w:color w:val="auto"/>
        </w:rPr>
      </w:pPr>
      <w:r>
        <w:rPr>
          <w:rFonts w:ascii="Times New Roman" w:cs="Times New Roman" w:eastAsia="Times New Roman" w:hAnsi="Times New Roman"/>
          <w:sz w:val="12"/>
          <w:szCs w:val="12"/>
          <w:color w:val="auto"/>
        </w:rPr>
        <w:t>Galera Therapeutics, Inc. is a clinical-stage biopharmaceutical company focused on advancing a pan-NOS inhibitor through clinical development for patients with the hardest-to-treat forms of advanced breast cancer. It was historically focused on developing avasopasem, a small molecule dismutase mimetic, in combination with chemoradiotherapy, to reduce the toxicities of the conventional regimens in patients with head and neck cancer.</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In connection with the proposed transactions between Obsidian and Galera, Galera and the newly-formed company will file relevant materials with the SEC. The newly-formed company will file a registration statement on Form S-4 that will include a proxy statement or information statement and prospectus relating to the proposed transaction, which will constitute a proxy statement or information statement of Galera and a prospectus of the newly-formed company (the “Prospectus”). Galera and the newly-formed</w:t>
      </w:r>
    </w:p>
    <w:p>
      <w:pPr>
        <w:sectPr>
          <w:pgSz w:w="11900" w:h="16838" w:orient="portrait"/>
          <w:cols w:equalWidth="0" w:num="1">
            <w:col w:w="9019"/>
          </w:cols>
          <w:pgMar w:left="1440" w:top="857" w:right="1440" w:bottom="1440" w:gutter="0" w:footer="0" w:header="0"/>
        </w:sectPr>
      </w:pPr>
    </w:p>
    <w:bookmarkStart w:id="254" w:name="page255"/>
    <w:bookmarkEnd w:id="254"/>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96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0425" cy="396875"/>
                    </a:xfrm>
                    <a:prstGeom prst="rect">
                      <a:avLst/>
                    </a:prstGeom>
                    <a:noFill/>
                  </pic:spPr>
                </pic:pic>
              </a:graphicData>
            </a:graphic>
          </wp:anchor>
        </w:drawing>
        <w:t xml:space="preserve">company may also file other documents with the SEC regarding the proposed transaction. This document is not a substitute for the Prospectus or any other document which Galera or the newly-formed company may file with the SEC or send to stockholders of Galera or Obsidian in connection with the proposed transaction. The Prospectus will be mailed to stockholders of Galera. INVESTORS AND SECURITYHOLDERS OF GALERA ARE URGED TO READ THE REGISTRATION STATEMENT AND THE PROSPECTUS AND ALL OTHER DOCUMENTS FILED OR THAT WILL BE FILED WITH THE SEC CAREFULLY AND IN THEIR ENTIRETY BECAUSE THEY WILL CONTAIN IMPORTANT INFORMATION ABOUT GALERA, OBSIDIAN AND THE PROPOSED TRANSACTION. Investors and security holders will be able to obtain free copies of the registration statement and the Prospectus (when available) and other documents filed with the SEC by Galera or the newly-formed company through the website maintained by the SEC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Copies of the documents filed with the SEC by Galera will be available free of charge on Galera’s website at </w:t>
      </w:r>
      <w:r>
        <w:rPr>
          <w:rFonts w:ascii="Times New Roman" w:cs="Times New Roman" w:eastAsia="Times New Roman" w:hAnsi="Times New Roman"/>
          <w:sz w:val="13"/>
          <w:szCs w:val="13"/>
          <w:u w:val="single" w:color="auto"/>
          <w:color w:val="auto"/>
        </w:rPr>
        <w:t>www. galeratx.com</w:t>
      </w:r>
      <w:r>
        <w:rPr>
          <w:rFonts w:ascii="Times New Roman" w:cs="Times New Roman" w:eastAsia="Times New Roman" w:hAnsi="Times New Roman"/>
          <w:sz w:val="13"/>
          <w:szCs w:val="13"/>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This communication is for informational purposes only and not intended to and does not constitute an offer to subscribe for, buy or sell, or the solicitation of an offer to subscribe for, buy or sell, or an invitation to subscribe for, buy or sell, any securities of Galera, Obsidian or the newly-formed company,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739"/>
        <w:spacing w:after="0" w:line="272" w:lineRule="auto"/>
        <w:rPr>
          <w:sz w:val="20"/>
          <w:szCs w:val="20"/>
          <w:color w:val="auto"/>
        </w:rPr>
      </w:pPr>
      <w:r>
        <w:rPr>
          <w:rFonts w:ascii="Times New Roman" w:cs="Times New Roman" w:eastAsia="Times New Roman" w:hAnsi="Times New Roman"/>
          <w:sz w:val="12"/>
          <w:szCs w:val="12"/>
          <w:color w:val="auto"/>
        </w:rPr>
        <w:t>This communication is not a solicitation of a proxy from any security holder of Galera or Obsidian. However, Galera and Obsidian and each of their respective directors and executive officers may be considered participants in the solicitation of proxies in connection with the proposed transaction. Information about the directors and executive officers of Galera may be found in its Annual Report on Form 10-K for the year ended December 31, 2025, which was filed with the SEC on March 19, 2026 and its proxy statement for its 2026 annual meeting of stockholders, which was filed with the SEC on April 10, 2026. Other information regarding the participants in the proxy solicitations and a description of their direct and indirect interests, by security holdings or otherwise, will be contained in Prospectus and other relevant materials to be filed with the SEC when they become available.</w:t>
      </w:r>
    </w:p>
    <w:p>
      <w:pPr>
        <w:sectPr>
          <w:pgSz w:w="11900" w:h="16838" w:orient="portrait"/>
          <w:cols w:equalWidth="0" w:num="1">
            <w:col w:w="9019"/>
          </w:cols>
          <w:pgMar w:left="1440" w:top="856" w:right="1440" w:bottom="1440" w:gutter="0" w:footer="0" w:header="0"/>
        </w:sectPr>
      </w:pPr>
    </w:p>
    <w:bookmarkStart w:id="255" w:name="page256"/>
    <w:bookmarkEnd w:id="25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96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0425" cy="396875"/>
                    </a:xfrm>
                    <a:prstGeom prst="rect">
                      <a:avLst/>
                    </a:prstGeom>
                    <a:noFill/>
                  </pic:spPr>
                </pic:pic>
              </a:graphicData>
            </a:graphic>
          </wp:anchor>
        </w:drawing>
        <w:t>Forward-Looking Statements</w:t>
      </w:r>
    </w:p>
    <w:p>
      <w:pPr>
        <w:spacing w:after="0" w:line="80" w:lineRule="exact"/>
        <w:rPr>
          <w:sz w:val="20"/>
          <w:szCs w:val="20"/>
          <w:color w:val="auto"/>
        </w:rPr>
      </w:pPr>
    </w:p>
    <w:p>
      <w:pPr>
        <w:ind w:left="640" w:right="819"/>
        <w:spacing w:after="0" w:line="249"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concerning future clinical development activities, potential milestone payments, the merger transaction and completion of the concurrent private placement financing, the expected effects, perceived benefits or opportunities and related timing with respect thereto; expectations regarding or plans for the combined company’s pipeline, and the expectations regarding the use of proceeds from the concurrent private placement financing and cash runway expectations therefrom.</w:t>
      </w:r>
    </w:p>
    <w:p>
      <w:pPr>
        <w:spacing w:after="0" w:line="134" w:lineRule="exact"/>
        <w:rPr>
          <w:sz w:val="20"/>
          <w:szCs w:val="20"/>
          <w:color w:val="auto"/>
        </w:rPr>
      </w:pPr>
    </w:p>
    <w:p>
      <w:pPr>
        <w:ind w:left="640" w:right="719"/>
        <w:spacing w:after="0" w:line="269" w:lineRule="auto"/>
        <w:rPr>
          <w:sz w:val="20"/>
          <w:szCs w:val="20"/>
          <w:color w:val="auto"/>
        </w:rPr>
      </w:pPr>
      <w:r>
        <w:rPr>
          <w:rFonts w:ascii="Times New Roman" w:cs="Times New Roman" w:eastAsia="Times New Roman" w:hAnsi="Times New Roman"/>
          <w:sz w:val="12"/>
          <w:szCs w:val="12"/>
          <w:color w:val="auto"/>
        </w:rPr>
        <w:t>These forward-looking statements relate to Galera, Obsidian and the newly-formed company (together, “us” or “we”), our business prospects and our results of operations and are subject to certain risks and uncertainties posed by many factors and events that could cause our actual business, prospects and results of operations to differ materially from those anticipated by such forward-looking statements. Factors that could cause or contribute to such differences include, but are not limited to, those described under the heading “Risk Factors” included in Galera’s Annual Report on Form 10-K for the year ended December 31, 2025. Readers are cautioned not to place undue reliance on these forward-looking statements, which speak only as of the date of this release. In some cases, you can identify forward-looking statements by the following words: “anticipate,” “believe,” “continue,” “could,” “estimate,” “expect,” “intend,” “aim,” “may,” “ongoing,” “plan,” “potential,” “predict,” “project,” “should,” “will,” “would” or the negative of these terms or other comparable terminology, although not all forward-looking statements contain these words. We undertake no obligation to revise any forward-looking statements in order to reflect events or circumstances that might subsequently arise, except as required by applicable law.</w:t>
      </w:r>
    </w:p>
    <w:p>
      <w:pPr>
        <w:sectPr>
          <w:pgSz w:w="11900" w:h="16838" w:orient="portrait"/>
          <w:cols w:equalWidth="0" w:num="1">
            <w:col w:w="9019"/>
          </w:cols>
          <w:pgMar w:left="1440" w:top="854" w:right="1440" w:bottom="1440" w:gutter="0" w:footer="0" w:header="0"/>
        </w:sectPr>
      </w:pPr>
    </w:p>
    <w:bookmarkStart w:id="256" w:name="page257"/>
    <w:bookmarkEnd w:id="256"/>
    <w:p>
      <w:pPr>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96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0425" cy="396875"/>
                    </a:xfrm>
                    <a:prstGeom prst="rect">
                      <a:avLst/>
                    </a:prstGeom>
                    <a:noFill/>
                  </pic:spPr>
                </pic:pic>
              </a:graphicData>
            </a:graphic>
          </wp:anchor>
        </w:drawing>
        <w:t>These forward-looking statements are based upon our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without limitation:</w:t>
      </w:r>
    </w:p>
    <w:p>
      <w:pPr>
        <w:spacing w:after="0" w:line="64" w:lineRule="exact"/>
        <w:rPr>
          <w:sz w:val="20"/>
          <w:szCs w:val="20"/>
          <w:color w:val="auto"/>
        </w:rPr>
      </w:pPr>
    </w:p>
    <w:p>
      <w:pPr>
        <w:ind w:left="1320" w:right="799" w:hanging="303"/>
        <w:spacing w:after="0" w:line="267"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Statements about the synergies or benefits of the proposed transaction, including future financial and operating results, plans, objectives, expectations and intentions;</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anticipated timing of closing of the proposed transaction and the private placement financing;</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the combined company’s ability to correctly estimate its operating and other expenses and its cash runway;</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retain key personnel;</w:t>
      </w:r>
    </w:p>
    <w:p>
      <w:pPr>
        <w:spacing w:after="0" w:line="87" w:lineRule="exact"/>
        <w:rPr>
          <w:rFonts w:ascii="Times New Roman" w:cs="Times New Roman" w:eastAsia="Times New Roman" w:hAnsi="Times New Roman"/>
          <w:sz w:val="13"/>
          <w:szCs w:val="13"/>
          <w:color w:val="auto"/>
        </w:rPr>
      </w:pPr>
    </w:p>
    <w:p>
      <w:pPr>
        <w:ind w:left="1320" w:right="1039" w:hanging="303"/>
        <w:spacing w:after="0" w:line="267"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effects of the announcement or consummation of the proposed transaction on the market price of our capital stock and our operating results;</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relating to the value of shares of the newly-formed company to be issued in the proposed transaction;</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the newly-formed company’s ability to be listed on Nasdaq;</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the ability to obtain approval of the Galera stockholders;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capital resource requirements;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our inability to obtain sufficient additional capital to continue to advance our product candidates;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and our collaborators’ ability to execute clinical programs for our product candidates;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Results of clinical trials with our product candidates;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obtain and maintain intellectual property rights and regulatory exclusivities.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 Obsidian Investor and Media Inquiries: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Caroline Code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VP Corporate Development &amp;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ccode@obsidiantx.com</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 Galera Investor and Media Inquiries: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Joel Sussman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Galera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610-725-1517</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jsussman@galeratx.com</w:t>
      </w:r>
    </w:p>
    <w:p>
      <w:pPr>
        <w:sectPr>
          <w:pgSz w:w="11900" w:h="16838" w:orient="portrait"/>
          <w:cols w:equalWidth="0" w:num="1">
            <w:col w:w="9019"/>
          </w:cols>
          <w:pgMar w:left="1440" w:top="856" w:right="1440" w:bottom="1440" w:gutter="0" w:footer="0" w:header="0"/>
        </w:sectPr>
      </w:pPr>
    </w:p>
    <w:bookmarkStart w:id="257" w:name="page258"/>
    <w:bookmarkEnd w:id="2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D4D3C4"/>
    <w:multiLevelType w:val="hybridMultilevel"/>
    <w:lvl w:ilvl="0">
      <w:lvlJc w:val="left"/>
      <w:lvlText w:val="☒"/>
      <w:numFmt w:val="bullet"/>
      <w:start w:val="1"/>
    </w:lvl>
  </w:abstractNum>
  <w:abstractNum w:abstractNumId="1">
    <w:nsid w:val="746F2E30"/>
    <w:multiLevelType w:val="hybridMultilevel"/>
    <w:lvl w:ilvl="0">
      <w:lvlJc w:val="left"/>
      <w:lvlText w:val="☐"/>
      <w:numFmt w:val="bullet"/>
      <w:start w:val="1"/>
    </w:lvl>
  </w:abstractNum>
  <w:abstractNum w:abstractNumId="2">
    <w:nsid w:val="6FDE8AF6"/>
    <w:multiLevelType w:val="hybridMultilevel"/>
    <w:lvl w:ilvl="0">
      <w:lvlJc w:val="left"/>
      <w:lvlText w:val="*"/>
      <w:numFmt w:val="bullet"/>
      <w:start w:val="1"/>
    </w:lvl>
  </w:abstractNum>
  <w:abstractNum w:abstractNumId="3">
    <w:nsid w:val="3FC32E20"/>
    <w:multiLevelType w:val="hybridMultilevel"/>
    <w:lvl w:ilvl="0">
      <w:lvlJc w:val="left"/>
      <w:lvlText w:val="(%1)"/>
      <w:numFmt w:val="lowerRoman"/>
      <w:start w:val="1"/>
    </w:lvl>
  </w:abstractNum>
  <w:abstractNum w:abstractNumId="4">
    <w:nsid w:val="49C0E823"/>
    <w:multiLevelType w:val="hybridMultilevel"/>
    <w:lvl w:ilvl="0">
      <w:lvlJc w:val="left"/>
      <w:lvlText w:val="(%1)"/>
      <w:numFmt w:val="lowerRoman"/>
      <w:start w:val="2"/>
    </w:lvl>
  </w:abstractNum>
  <w:abstractNum w:abstractNumId="5">
    <w:nsid w:val="14D53685"/>
    <w:multiLevelType w:val="hybridMultilevel"/>
    <w:lvl w:ilvl="0">
      <w:lvlJc w:val="left"/>
      <w:lvlText w:val="(%1)"/>
      <w:numFmt w:val="lowerRoman"/>
      <w:start w:val="4"/>
    </w:lvl>
  </w:abstractNum>
  <w:abstractNum w:abstractNumId="6">
    <w:nsid w:val="230F856C"/>
    <w:multiLevelType w:val="hybridMultilevel"/>
    <w:lvl w:ilvl="0">
      <w:lvlJc w:val="left"/>
      <w:lvlText w:val="(%1)"/>
      <w:numFmt w:val="lowerRoman"/>
      <w:start w:val="1"/>
    </w:lvl>
  </w:abstractNum>
  <w:abstractNum w:abstractNumId="7">
    <w:nsid w:val="6EAA85FB"/>
    <w:multiLevelType w:val="hybridMultilevel"/>
    <w:lvl w:ilvl="0">
      <w:lvlJc w:val="left"/>
      <w:lvlText w:val="(%1)"/>
      <w:numFmt w:val="lowerRoman"/>
      <w:start w:val="3"/>
    </w:lvl>
  </w:abstractNum>
  <w:abstractNum w:abstractNumId="8">
    <w:nsid w:val="3F06ECB2"/>
    <w:multiLevelType w:val="hybridMultilevel"/>
    <w:lvl w:ilvl="0">
      <w:lvlJc w:val="left"/>
      <w:lvlText w:val="(%1)"/>
      <w:numFmt w:val="lowerRoman"/>
      <w:start w:val="2"/>
    </w:lvl>
  </w:abstractNum>
  <w:abstractNum w:abstractNumId="9">
    <w:nsid w:val="3B594807"/>
    <w:multiLevelType w:val="hybridMultilevel"/>
    <w:lvl w:ilvl="0">
      <w:lvlJc w:val="left"/>
      <w:lvlText w:val="(%1)"/>
      <w:numFmt w:val="lowerRoman"/>
      <w:start w:val="2"/>
    </w:lvl>
  </w:abstractNum>
  <w:abstractNum w:abstractNumId="10">
    <w:nsid w:val="6CAA2304"/>
    <w:multiLevelType w:val="hybridMultilevel"/>
    <w:lvl w:ilvl="0">
      <w:lvlJc w:val="left"/>
      <w:lvlText w:val="(%1)"/>
      <w:numFmt w:val="lowerRoman"/>
      <w:start w:val="1"/>
    </w:lvl>
  </w:abstractNum>
  <w:abstractNum w:abstractNumId="11">
    <w:nsid w:val="3F7C2FF4"/>
    <w:multiLevelType w:val="hybridMultilevel"/>
    <w:lvl w:ilvl="0">
      <w:lvlJc w:val="left"/>
      <w:lvlText w:val="(%1)"/>
      <w:numFmt w:val="lowerLetter"/>
      <w:start w:val="1"/>
    </w:lvl>
    <w:lvl w:ilvl="1">
      <w:lvlJc w:val="left"/>
      <w:lvlText w:val="(%2)"/>
      <w:numFmt w:val="lowerRoman"/>
      <w:start w:val="1"/>
    </w:lvl>
  </w:abstractNum>
  <w:abstractNum w:abstractNumId="12">
    <w:nsid w:val="25413BEC"/>
    <w:multiLevelType w:val="hybridMultilevel"/>
    <w:lvl w:ilvl="0">
      <w:lvlJc w:val="left"/>
      <w:lvlText w:val="(%1)"/>
      <w:numFmt w:val="lowerLetter"/>
      <w:start w:val="3"/>
    </w:lvl>
  </w:abstractNum>
  <w:abstractNum w:abstractNumId="13">
    <w:nsid w:val="17180B0B"/>
    <w:multiLevelType w:val="hybridMultilevel"/>
    <w:lvl w:ilvl="0">
      <w:lvlJc w:val="left"/>
      <w:lvlText w:val="(%1)"/>
      <w:numFmt w:val="lowerLetter"/>
      <w:start w:val="1"/>
    </w:lvl>
  </w:abstractNum>
  <w:abstractNum w:abstractNumId="14">
    <w:nsid w:val="579328B9"/>
    <w:multiLevelType w:val="hybridMultilevel"/>
    <w:lvl w:ilvl="0">
      <w:lvlJc w:val="left"/>
      <w:lvlText w:val="(%1)"/>
      <w:numFmt w:val="lowerLetter"/>
      <w:start w:val="6"/>
    </w:lvl>
  </w:abstractNum>
  <w:abstractNum w:abstractNumId="15">
    <w:nsid w:val="5D205E20"/>
    <w:multiLevelType w:val="hybridMultilevel"/>
    <w:lvl w:ilvl="0">
      <w:lvlJc w:val="left"/>
      <w:lvlText w:val="(%1)"/>
      <w:numFmt w:val="lowerLetter"/>
      <w:start w:val="1"/>
    </w:lvl>
  </w:abstractNum>
  <w:abstractNum w:abstractNumId="16">
    <w:nsid w:val="11CCA8BA"/>
    <w:multiLevelType w:val="hybridMultilevel"/>
    <w:lvl w:ilvl="0">
      <w:lvlJc w:val="left"/>
      <w:lvlText w:val="(%1)"/>
      <w:numFmt w:val="lowerLetter"/>
      <w:start w:val="7"/>
    </w:lvl>
  </w:abstractNum>
  <w:abstractNum w:abstractNumId="17">
    <w:nsid w:val="4D32AB86"/>
    <w:multiLevelType w:val="hybridMultilevel"/>
    <w:lvl w:ilvl="0">
      <w:lvlJc w:val="left"/>
      <w:lvlText w:val="(%1)"/>
      <w:numFmt w:val="lowerLetter"/>
      <w:start w:val="1"/>
    </w:lvl>
  </w:abstractNum>
  <w:abstractNum w:abstractNumId="18">
    <w:nsid w:val="3F07ACC3"/>
    <w:multiLevelType w:val="hybridMultilevel"/>
    <w:lvl w:ilvl="0">
      <w:lvlJc w:val="left"/>
      <w:lvlText w:val="(%1)"/>
      <w:numFmt w:val="lowerLetter"/>
      <w:start w:val="1"/>
    </w:lvl>
  </w:abstractNum>
  <w:abstractNum w:abstractNumId="19">
    <w:nsid w:val="6B47F63E"/>
    <w:multiLevelType w:val="hybridMultilevel"/>
    <w:lvl w:ilvl="0">
      <w:lvlJc w:val="left"/>
      <w:lvlText w:val="(%1)"/>
      <w:numFmt w:val="lowerLetter"/>
      <w:start w:val="1"/>
    </w:lvl>
  </w:abstractNum>
  <w:abstractNum w:abstractNumId="20">
    <w:nsid w:val="5CB44A05"/>
    <w:multiLevelType w:val="hybridMultilevel"/>
    <w:lvl w:ilvl="0">
      <w:lvlJc w:val="left"/>
      <w:lvlText w:val="(%1)"/>
      <w:numFmt w:val="lowerLetter"/>
      <w:start w:val="1"/>
    </w:lvl>
  </w:abstractNum>
  <w:abstractNum w:abstractNumId="21">
    <w:nsid w:val="16CF80F1"/>
    <w:multiLevelType w:val="hybridMultilevel"/>
    <w:lvl w:ilvl="0">
      <w:lvlJc w:val="left"/>
      <w:lvlText w:val="(%1)"/>
      <w:numFmt w:val="lowerLetter"/>
      <w:start w:val="2"/>
    </w:lvl>
  </w:abstractNum>
  <w:abstractNum w:abstractNumId="22">
    <w:nsid w:val="1C695DEC"/>
    <w:multiLevelType w:val="hybridMultilevel"/>
    <w:lvl w:ilvl="0">
      <w:lvlJc w:val="left"/>
      <w:lvlText w:val="(%1)"/>
      <w:numFmt w:val="lowerLetter"/>
      <w:start w:val="1"/>
    </w:lvl>
  </w:abstractNum>
  <w:abstractNum w:abstractNumId="23">
    <w:nsid w:val="3FCFAED9"/>
    <w:multiLevelType w:val="hybridMultilevel"/>
    <w:lvl w:ilvl="0">
      <w:lvlJc w:val="left"/>
      <w:lvlText w:val="(%1)"/>
      <w:numFmt w:val="lowerLetter"/>
      <w:start w:val="2"/>
    </w:lvl>
  </w:abstractNum>
  <w:abstractNum w:abstractNumId="24">
    <w:nsid w:val="F856867"/>
    <w:multiLevelType w:val="hybridMultilevel"/>
    <w:lvl w:ilvl="0">
      <w:lvlJc w:val="left"/>
      <w:lvlText w:val="(%1)"/>
      <w:numFmt w:val="lowerLetter"/>
      <w:start w:val="1"/>
    </w:lvl>
  </w:abstractNum>
  <w:abstractNum w:abstractNumId="25">
    <w:nsid w:val="11B1CC33"/>
    <w:multiLevelType w:val="hybridMultilevel"/>
    <w:lvl w:ilvl="0">
      <w:lvlJc w:val="left"/>
      <w:lvlText w:val="(%1)"/>
      <w:numFmt w:val="lowerLetter"/>
      <w:start w:val="1"/>
    </w:lvl>
  </w:abstractNum>
  <w:abstractNum w:abstractNumId="26">
    <w:nsid w:val="2E22FBB7"/>
    <w:multiLevelType w:val="hybridMultilevel"/>
    <w:lvl w:ilvl="0">
      <w:lvlJc w:val="left"/>
      <w:lvlText w:val="(%1)"/>
      <w:numFmt w:val="lowerLetter"/>
      <w:start w:val="1"/>
    </w:lvl>
  </w:abstractNum>
  <w:abstractNum w:abstractNumId="27">
    <w:nsid w:val="29934699"/>
    <w:multiLevelType w:val="hybridMultilevel"/>
    <w:lvl w:ilvl="0">
      <w:lvlJc w:val="left"/>
      <w:lvlText w:val="(%1)"/>
      <w:numFmt w:val="lowerLetter"/>
      <w:start w:val="1"/>
    </w:lvl>
    <w:lvl w:ilvl="1">
      <w:lvlJc w:val="left"/>
      <w:lvlText w:val="(%2)"/>
      <w:numFmt w:val="lowerRoman"/>
      <w:start w:val="1"/>
    </w:lvl>
  </w:abstractNum>
  <w:abstractNum w:abstractNumId="28">
    <w:nsid w:val="77485850"/>
    <w:multiLevelType w:val="hybridMultilevel"/>
    <w:lvl w:ilvl="0">
      <w:lvlJc w:val="left"/>
      <w:lvlText w:val="%1"/>
      <w:numFmt w:val="lowerLetter"/>
      <w:start w:val="1"/>
    </w:lvl>
    <w:lvl w:ilvl="1">
      <w:lvlJc w:val="left"/>
      <w:lvlText w:val="(%2)"/>
      <w:numFmt w:val="lowerRoman"/>
      <w:start w:val="3"/>
    </w:lvl>
  </w:abstractNum>
  <w:abstractNum w:abstractNumId="29">
    <w:nsid w:val="744939A3"/>
    <w:multiLevelType w:val="hybridMultilevel"/>
    <w:lvl w:ilvl="0">
      <w:lvlJc w:val="left"/>
      <w:lvlText w:val="(%1)"/>
      <w:numFmt w:val="lowerLetter"/>
      <w:start w:val="2"/>
    </w:lvl>
    <w:lvl w:ilvl="1">
      <w:lvlJc w:val="left"/>
      <w:lvlText w:val="%2"/>
      <w:numFmt w:val="lowerRoman"/>
      <w:start w:val="1"/>
    </w:lvl>
  </w:abstractNum>
  <w:abstractNum w:abstractNumId="30">
    <w:nsid w:val="4FA0D2E3"/>
    <w:multiLevelType w:val="hybridMultilevel"/>
    <w:lvl w:ilvl="0">
      <w:lvlJc w:val="left"/>
      <w:lvlText w:val="%1"/>
      <w:numFmt w:val="lowerLetter"/>
      <w:start w:val="1"/>
    </w:lvl>
    <w:lvl w:ilvl="1">
      <w:lvlJc w:val="left"/>
      <w:lvlText w:val="(%2)"/>
      <w:numFmt w:val="lowerLetter"/>
      <w:start w:val="1"/>
    </w:lvl>
  </w:abstractNum>
  <w:abstractNum w:abstractNumId="31">
    <w:nsid w:val="6B1D2C14"/>
    <w:multiLevelType w:val="hybridMultilevel"/>
    <w:lvl w:ilvl="0">
      <w:lvlJc w:val="left"/>
      <w:lvlText w:val="(%1)"/>
      <w:numFmt w:val="lowerLetter"/>
      <w:start w:val="3"/>
    </w:lvl>
    <w:lvl w:ilvl="1">
      <w:lvlJc w:val="left"/>
      <w:lvlText w:val="%2"/>
      <w:numFmt w:val="lowerLetter"/>
      <w:start w:val="1"/>
    </w:lvl>
  </w:abstractNum>
  <w:abstractNum w:abstractNumId="32">
    <w:nsid w:val="68B867D3"/>
    <w:multiLevelType w:val="hybridMultilevel"/>
    <w:lvl w:ilvl="0">
      <w:lvlJc w:val="left"/>
      <w:lvlText w:val="%1"/>
      <w:numFmt w:val="upperLetter"/>
      <w:start w:val="1"/>
    </w:lvl>
    <w:lvl w:ilvl="1">
      <w:lvlJc w:val="left"/>
      <w:lvlText w:val="(%2)"/>
      <w:numFmt w:val="lowerLetter"/>
      <w:start w:val="2"/>
    </w:lvl>
  </w:abstractNum>
  <w:abstractNum w:abstractNumId="33">
    <w:nsid w:val="3F7F5DD9"/>
    <w:multiLevelType w:val="hybridMultilevel"/>
    <w:lvl w:ilvl="0">
      <w:lvlJc w:val="left"/>
      <w:lvlText w:val="(%1)"/>
      <w:numFmt w:val="upperLetter"/>
      <w:start w:val="1"/>
    </w:lvl>
    <w:lvl w:ilvl="1">
      <w:lvlJc w:val="left"/>
      <w:lvlText w:val="(%2)"/>
      <w:numFmt w:val="lowerLetter"/>
      <w:start w:val="4"/>
    </w:lvl>
  </w:abstractNum>
  <w:abstractNum w:abstractNumId="34">
    <w:nsid w:val="2AE05A34"/>
    <w:multiLevelType w:val="hybridMultilevel"/>
    <w:lvl w:ilvl="0">
      <w:lvlJc w:val="left"/>
      <w:lvlText w:val="(%1)"/>
      <w:numFmt w:val="lowerLetter"/>
      <w:start w:val="5"/>
    </w:lvl>
  </w:abstractNum>
  <w:abstractNum w:abstractNumId="35">
    <w:nsid w:val="32794FF7"/>
    <w:multiLevelType w:val="hybridMultilevel"/>
    <w:lvl w:ilvl="0">
      <w:lvlJc w:val="left"/>
      <w:lvlText w:val="(%1)"/>
      <w:numFmt w:val="lowerLetter"/>
      <w:start w:val="1"/>
    </w:lvl>
  </w:abstractNum>
  <w:abstractNum w:abstractNumId="36">
    <w:nsid w:val="5454945E"/>
    <w:multiLevelType w:val="hybridMultilevel"/>
    <w:lvl w:ilvl="0">
      <w:lvlJc w:val="left"/>
      <w:lvlText w:val="(%1)"/>
      <w:numFmt w:val="lowerLetter"/>
      <w:start w:val="5"/>
    </w:lvl>
  </w:abstractNum>
  <w:abstractNum w:abstractNumId="37">
    <w:nsid w:val="4DEFDFA0"/>
    <w:multiLevelType w:val="hybridMultilevel"/>
    <w:lvl w:ilvl="0">
      <w:lvlJc w:val="left"/>
      <w:lvlText w:val="(%1)"/>
      <w:numFmt w:val="lowerLetter"/>
      <w:start w:val="1"/>
    </w:lvl>
  </w:abstractNum>
  <w:abstractNum w:abstractNumId="38">
    <w:nsid w:val="2123D5F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9">
    <w:nsid w:val="135B8110"/>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9"/>
    </w:lvl>
  </w:abstractNum>
  <w:abstractNum w:abstractNumId="40">
    <w:nsid w:val="94927A8"/>
    <w:multiLevelType w:val="hybridMultilevel"/>
    <w:lvl w:ilvl="0">
      <w:lvlJc w:val="left"/>
      <w:lvlText w:val="(%1)"/>
      <w:numFmt w:val="lowerRoman"/>
      <w:start w:val="2"/>
    </w:lvl>
  </w:abstractNum>
  <w:abstractNum w:abstractNumId="41">
    <w:nsid w:val="DCDF8F6"/>
    <w:multiLevelType w:val="hybridMultilevel"/>
    <w:lvl w:ilvl="0">
      <w:lvlJc w:val="left"/>
      <w:lvlText w:val="%1"/>
      <w:numFmt w:val="lowerLetter"/>
      <w:start w:val="1"/>
    </w:lvl>
    <w:lvl w:ilvl="1">
      <w:lvlJc w:val="left"/>
      <w:lvlText w:val="(%2)"/>
      <w:numFmt w:val="lowerRoman"/>
      <w:start w:val="7"/>
    </w:lvl>
  </w:abstractNum>
  <w:abstractNum w:abstractNumId="42">
    <w:nsid w:val="52D7B105"/>
    <w:multiLevelType w:val="hybridMultilevel"/>
    <w:lvl w:ilvl="0">
      <w:lvlJc w:val="left"/>
      <w:lvlText w:val="(%1)"/>
      <w:numFmt w:val="lowerLetter"/>
      <w:start w:val="6"/>
    </w:lvl>
    <w:lvl w:ilvl="1">
      <w:lvlJc w:val="left"/>
      <w:lvlText w:val="%2"/>
      <w:numFmt w:val="lowerRoman"/>
      <w:start w:val="1"/>
    </w:lvl>
  </w:abstractNum>
  <w:abstractNum w:abstractNumId="43">
    <w:nsid w:val="2E8A6394"/>
    <w:multiLevelType w:val="hybridMultilevel"/>
    <w:lvl w:ilvl="0">
      <w:lvlJc w:val="left"/>
      <w:lvlText w:val="(%1)"/>
      <w:numFmt w:val="lowerLetter"/>
      <w:start w:val="9"/>
    </w:lvl>
  </w:abstractNum>
  <w:abstractNum w:abstractNumId="44">
    <w:nsid w:val="24E60401"/>
    <w:multiLevelType w:val="hybridMultilevel"/>
    <w:lvl w:ilvl="0">
      <w:lvlJc w:val="left"/>
      <w:lvlText w:val="(%1)"/>
      <w:numFmt w:val="lowerLetter"/>
      <w:start w:val="1"/>
    </w:lvl>
    <w:lvl w:ilvl="1">
      <w:lvlJc w:val="left"/>
      <w:lvlText w:val="(%2)"/>
      <w:numFmt w:val="lowerLetter"/>
      <w:start w:val="9"/>
    </w:lvl>
  </w:abstractNum>
  <w:abstractNum w:abstractNumId="45">
    <w:nsid w:val="2A6AD9BE"/>
    <w:multiLevelType w:val="hybridMultilevel"/>
    <w:lvl w:ilvl="0">
      <w:lvlJc w:val="left"/>
      <w:lvlText w:val="%1"/>
      <w:numFmt w:val="upperLetter"/>
      <w:start w:val="1"/>
    </w:lvl>
    <w:lvl w:ilvl="1">
      <w:lvlJc w:val="left"/>
      <w:lvlText w:val="(%2)"/>
      <w:numFmt w:val="lowerRoman"/>
      <w:start w:val="2"/>
    </w:lvl>
  </w:abstractNum>
  <w:abstractNum w:abstractNumId="46">
    <w:nsid w:val="BAAC1B4"/>
    <w:multiLevelType w:val="hybridMultilevel"/>
    <w:lvl w:ilvl="0">
      <w:lvlJc w:val="left"/>
      <w:lvlText w:val="(%1)"/>
      <w:numFmt w:val="upperLetter"/>
      <w:start w:val="2"/>
    </w:lvl>
    <w:lvl w:ilvl="1">
      <w:lvlJc w:val="left"/>
      <w:lvlText w:val="(%2)"/>
      <w:numFmt w:val="lowerRoman"/>
      <w:start w:val="7"/>
    </w:lvl>
  </w:abstractNum>
  <w:abstractNum w:abstractNumId="47">
    <w:nsid w:val="36B2ACBC"/>
    <w:multiLevelType w:val="hybridMultilevel"/>
    <w:lvl w:ilvl="0">
      <w:lvlJc w:val="left"/>
      <w:lvlText w:val="%1"/>
      <w:numFmt w:val="upperLetter"/>
      <w:start w:val="1"/>
    </w:lvl>
    <w:lvl w:ilvl="1">
      <w:lvlJc w:val="left"/>
      <w:lvlText w:val="(%2)"/>
      <w:numFmt w:val="lowerRoman"/>
      <w:start w:val="11"/>
    </w:lvl>
  </w:abstractNum>
  <w:abstractNum w:abstractNumId="48">
    <w:nsid w:val="779D8544"/>
    <w:multiLevelType w:val="hybridMultilevel"/>
    <w:lvl w:ilvl="0">
      <w:lvlJc w:val="left"/>
      <w:lvlText w:val="(%1)"/>
      <w:numFmt w:val="upperLetter"/>
      <w:start w:val="1"/>
    </w:lvl>
    <w:lvl w:ilvl="1">
      <w:lvlJc w:val="left"/>
      <w:lvlText w:val="%2"/>
      <w:numFmt w:val="lowerRoman"/>
      <w:start w:val="1"/>
    </w:lvl>
  </w:abstractNum>
  <w:abstractNum w:abstractNumId="49">
    <w:nsid w:val="4AB26E78"/>
    <w:multiLevelType w:val="hybridMultilevel"/>
    <w:lvl w:ilvl="0">
      <w:lvlJc w:val="left"/>
      <w:lvlText w:val="(%1)"/>
      <w:numFmt w:val="lowerLetter"/>
      <w:start w:val="2"/>
    </w:lvl>
  </w:abstractNum>
  <w:abstractNum w:abstractNumId="50">
    <w:nsid w:val="21FAA2FA"/>
    <w:multiLevelType w:val="hybridMultilevel"/>
    <w:lvl w:ilvl="0">
      <w:lvlJc w:val="left"/>
      <w:lvlText w:val="(%1)"/>
      <w:numFmt w:val="lowerLetter"/>
      <w:start w:val="1"/>
    </w:lvl>
  </w:abstractNum>
  <w:abstractNum w:abstractNumId="51">
    <w:nsid w:val="5451CF49"/>
    <w:multiLevelType w:val="hybridMultilevel"/>
    <w:lvl w:ilvl="0">
      <w:lvlJc w:val="left"/>
      <w:lvlText w:val="%1"/>
      <w:numFmt w:val="upperLetter"/>
      <w:start w:val="1"/>
    </w:lvl>
    <w:lvl w:ilvl="1">
      <w:lvlJc w:val="left"/>
      <w:lvlText w:val="(%2)"/>
      <w:numFmt w:val="lowerLetter"/>
      <w:start w:val="2"/>
    </w:lvl>
  </w:abstractNum>
  <w:abstractNum w:abstractNumId="52">
    <w:nsid w:val="6181EF69"/>
    <w:multiLevelType w:val="hybridMultilevel"/>
    <w:lvl w:ilvl="0">
      <w:lvlJc w:val="left"/>
      <w:lvlText w:val="(%1)"/>
      <w:numFmt w:val="upperLetter"/>
      <w:start w:val="2"/>
    </w:lvl>
    <w:lvl w:ilvl="1">
      <w:lvlJc w:val="left"/>
      <w:lvlText w:val="(%2)"/>
      <w:numFmt w:val="lowerLetter"/>
      <w:start w:val="5"/>
    </w:lvl>
  </w:abstractNum>
  <w:abstractNum w:abstractNumId="53">
    <w:nsid w:val="3E6400E6"/>
    <w:multiLevelType w:val="hybridMultilevel"/>
    <w:lvl w:ilvl="0">
      <w:lvlJc w:val="left"/>
      <w:lvlText w:val="(%1)"/>
      <w:numFmt w:val="lowerLetter"/>
      <w:start w:val="6"/>
    </w:lvl>
  </w:abstractNum>
  <w:abstractNum w:abstractNumId="54">
    <w:nsid w:val="14217E23"/>
    <w:multiLevelType w:val="hybridMultilevel"/>
    <w:lvl w:ilvl="0">
      <w:lvlJc w:val="left"/>
      <w:lvlText w:val="(%1)"/>
      <w:numFmt w:val="lowerLetter"/>
      <w:start w:val="1"/>
    </w:lvl>
  </w:abstractNum>
  <w:abstractNum w:abstractNumId="55">
    <w:nsid w:val="710757D0"/>
    <w:multiLevelType w:val="hybridMultilevel"/>
    <w:lvl w:ilvl="0">
      <w:lvlJc w:val="left"/>
      <w:lvlText w:val="(%1)"/>
      <w:numFmt w:val="lowerLetter"/>
      <w:start w:val="1"/>
    </w:lvl>
  </w:abstractNum>
  <w:abstractNum w:abstractNumId="56">
    <w:nsid w:val="5015CD1A"/>
    <w:multiLevelType w:val="hybridMultilevel"/>
    <w:lvl w:ilvl="0">
      <w:lvlJc w:val="left"/>
      <w:lvlText w:val="(%1)"/>
      <w:numFmt w:val="lowerLetter"/>
      <w:start w:val="5"/>
    </w:lvl>
  </w:abstractNum>
  <w:abstractNum w:abstractNumId="57">
    <w:nsid w:val="424479DA"/>
    <w:multiLevelType w:val="hybridMultilevel"/>
    <w:lvl w:ilvl="0">
      <w:lvlJc w:val="left"/>
      <w:lvlText w:val="%1"/>
      <w:numFmt w:val="lowerLetter"/>
      <w:start w:val="1"/>
    </w:lvl>
    <w:lvl w:ilvl="1">
      <w:lvlJc w:val="left"/>
      <w:lvlText w:val="(%2)"/>
      <w:numFmt w:val="lowerLetter"/>
      <w:start w:val="1"/>
    </w:lvl>
  </w:abstractNum>
  <w:abstractNum w:abstractNumId="58">
    <w:nsid w:val="1A9A9E69"/>
    <w:multiLevelType w:val="hybridMultilevel"/>
    <w:lvl w:ilvl="0">
      <w:lvlJc w:val="left"/>
      <w:lvlText w:val="(%1)"/>
      <w:numFmt w:val="lowerLetter"/>
      <w:start w:val="9"/>
    </w:lvl>
    <w:lvl w:ilvl="1">
      <w:lvlJc w:val="left"/>
      <w:lvlText w:val="(%2)"/>
      <w:numFmt w:val="lowerLetter"/>
      <w:start w:val="6"/>
    </w:lvl>
  </w:abstractNum>
  <w:abstractNum w:abstractNumId="59">
    <w:nsid w:val="475E256A"/>
    <w:multiLevelType w:val="hybridMultilevel"/>
    <w:lvl w:ilvl="0">
      <w:lvlJc w:val="left"/>
      <w:lvlText w:val="(%1)"/>
      <w:numFmt w:val="lowerLetter"/>
      <w:start w:val="7"/>
    </w:lvl>
  </w:abstractNum>
  <w:abstractNum w:abstractNumId="60">
    <w:nsid w:val="368DB37E"/>
    <w:multiLevelType w:val="hybridMultilevel"/>
    <w:lvl w:ilvl="0">
      <w:lvlJc w:val="left"/>
      <w:lvlText w:val="%1"/>
      <w:numFmt w:val="lowerLetter"/>
      <w:start w:val="1"/>
    </w:lvl>
    <w:lvl w:ilvl="1">
      <w:lvlJc w:val="left"/>
      <w:lvlText w:val="(%2)"/>
      <w:numFmt w:val="lowerLetter"/>
      <w:start w:val="13"/>
    </w:lvl>
  </w:abstractNum>
  <w:abstractNum w:abstractNumId="61">
    <w:nsid w:val="6A3B714C"/>
    <w:multiLevelType w:val="hybridMultilevel"/>
    <w:lvl w:ilvl="0">
      <w:lvlJc w:val="left"/>
      <w:lvlText w:val="(%1)"/>
      <w:numFmt w:val="lowerLetter"/>
      <w:start w:val="9"/>
    </w:lvl>
    <w:lvl w:ilvl="1">
      <w:lvlJc w:val="left"/>
      <w:lvlText w:val="%2"/>
      <w:numFmt w:val="lowerLetter"/>
      <w:start w:val="1"/>
    </w:lvl>
  </w:abstractNum>
  <w:abstractNum w:abstractNumId="62">
    <w:nsid w:val="327B517E"/>
    <w:multiLevelType w:val="hybridMultilevel"/>
    <w:lvl w:ilvl="0">
      <w:lvlJc w:val="left"/>
      <w:lvlText w:val="(%1)"/>
      <w:numFmt w:val="lowerLetter"/>
      <w:start w:val="1"/>
    </w:lvl>
  </w:abstractNum>
  <w:abstractNum w:abstractNumId="63">
    <w:nsid w:val="1F461B51"/>
    <w:multiLevelType w:val="hybridMultilevel"/>
    <w:lvl w:ilvl="0">
      <w:lvlJc w:val="left"/>
      <w:lvlText w:val="(%1)"/>
      <w:numFmt w:val="lowerLetter"/>
      <w:start w:val="2"/>
    </w:lvl>
  </w:abstractNum>
  <w:abstractNum w:abstractNumId="64">
    <w:nsid w:val="29BACF25"/>
    <w:multiLevelType w:val="hybridMultilevel"/>
    <w:lvl w:ilvl="0">
      <w:lvlJc w:val="left"/>
      <w:lvlText w:val="(%1)"/>
      <w:numFmt w:val="lowerLetter"/>
      <w:start w:val="1"/>
    </w:lvl>
  </w:abstractNum>
  <w:abstractNum w:abstractNumId="65">
    <w:nsid w:val="5D5BABB3"/>
    <w:multiLevelType w:val="hybridMultilevel"/>
    <w:lvl w:ilvl="0">
      <w:lvlJc w:val="left"/>
      <w:lvlText w:val="(%1)"/>
      <w:numFmt w:val="lowerLetter"/>
      <w:start w:val="1"/>
    </w:lvl>
  </w:abstractNum>
  <w:abstractNum w:abstractNumId="66">
    <w:nsid w:val="51BF6B48"/>
    <w:multiLevelType w:val="hybridMultilevel"/>
    <w:lvl w:ilvl="0">
      <w:lvlJc w:val="left"/>
      <w:lvlText w:val="%1"/>
      <w:numFmt w:val="lowerLetter"/>
      <w:start w:val="1"/>
    </w:lvl>
    <w:lvl w:ilvl="1">
      <w:lvlJc w:val="left"/>
      <w:lvlText w:val="(%2)"/>
      <w:numFmt w:val="lowerLetter"/>
      <w:start w:val="2"/>
    </w:lvl>
  </w:abstractNum>
  <w:abstractNum w:abstractNumId="67">
    <w:nsid w:val="7E0F6384"/>
    <w:multiLevelType w:val="hybridMultilevel"/>
    <w:lvl w:ilvl="0">
      <w:lvlJc w:val="left"/>
      <w:lvlText w:val="(%1)"/>
      <w:numFmt w:val="lowerLetter"/>
      <w:start w:val="61"/>
    </w:lvl>
    <w:lvl w:ilvl="1">
      <w:lvlJc w:val="left"/>
      <w:lvlText w:val="%2"/>
      <w:numFmt w:val="lowerLetter"/>
      <w:start w:val="1"/>
    </w:lvl>
  </w:abstractNum>
  <w:abstractNum w:abstractNumId="68">
    <w:nsid w:val="2B4B8B53"/>
    <w:multiLevelType w:val="hybridMultilevel"/>
    <w:lvl w:ilvl="0">
      <w:lvlJc w:val="left"/>
      <w:lvlText w:val="(%1)"/>
      <w:numFmt w:val="lowerLetter"/>
      <w:start w:val="1"/>
    </w:lvl>
    <w:lvl w:ilvl="1">
      <w:lvlJc w:val="left"/>
      <w:lvlText w:val="(%2)"/>
      <w:numFmt w:val="lowerLetter"/>
      <w:start w:val="3"/>
    </w:lvl>
  </w:abstractNum>
  <w:abstractNum w:abstractNumId="69">
    <w:nsid w:val="72E3413A"/>
    <w:multiLevelType w:val="hybridMultilevel"/>
    <w:lvl w:ilvl="0">
      <w:lvlJc w:val="left"/>
      <w:lvlText w:val="(%1)"/>
      <w:numFmt w:val="lowerLetter"/>
      <w:start w:val="1"/>
    </w:lvl>
  </w:abstractNum>
  <w:abstractNum w:abstractNumId="70">
    <w:nsid w:val="116AE494"/>
    <w:multiLevelType w:val="hybridMultilevel"/>
    <w:lvl w:ilvl="0">
      <w:lvlJc w:val="left"/>
      <w:lvlText w:val="(%1)"/>
      <w:numFmt w:val="lowerLetter"/>
      <w:start w:val="1"/>
    </w:lvl>
    <w:lvl w:ilvl="1">
      <w:lvlJc w:val="left"/>
      <w:lvlText w:val="(%2)"/>
      <w:numFmt w:val="lowerRoman"/>
      <w:start w:val="1"/>
    </w:lvl>
  </w:abstractNum>
  <w:abstractNum w:abstractNumId="71">
    <w:nsid w:val="3494B2FB"/>
    <w:multiLevelType w:val="hybridMultilevel"/>
    <w:lvl w:ilvl="0">
      <w:lvlJc w:val="left"/>
      <w:lvlText w:val="%1"/>
      <w:numFmt w:val="lowerLetter"/>
      <w:start w:val="1"/>
    </w:lvl>
    <w:lvl w:ilvl="1">
      <w:lvlJc w:val="left"/>
      <w:lvlText w:val="(%2)"/>
      <w:numFmt w:val="lowerLetter"/>
      <w:start w:val="1"/>
    </w:lvl>
  </w:abstractNum>
  <w:abstractNum w:abstractNumId="72">
    <w:nsid w:val="B13A31"/>
    <w:multiLevelType w:val="hybridMultilevel"/>
    <w:lvl w:ilvl="0">
      <w:lvlJc w:val="left"/>
      <w:lvlText w:val="(%1)"/>
      <w:numFmt w:val="lowerLetter"/>
      <w:start w:val="35"/>
    </w:lvl>
    <w:lvl w:ilvl="1">
      <w:lvlJc w:val="left"/>
      <w:lvlText w:val="(%2)"/>
      <w:numFmt w:val="lowerLetter"/>
      <w:start w:val="2"/>
    </w:lvl>
  </w:abstractNum>
  <w:abstractNum w:abstractNumId="73">
    <w:nsid w:val="64429599"/>
    <w:multiLevelType w:val="hybridMultilevel"/>
    <w:lvl w:ilvl="0">
      <w:lvlJc w:val="left"/>
      <w:lvlText w:val="(%1)"/>
      <w:numFmt w:val="lowerLetter"/>
      <w:start w:val="4"/>
    </w:lvl>
  </w:abstractNum>
  <w:abstractNum w:abstractNumId="74">
    <w:nsid w:val="631F1690"/>
    <w:multiLevelType w:val="hybridMultilevel"/>
    <w:lvl w:ilvl="0">
      <w:lvlJc w:val="left"/>
      <w:lvlText w:val="%1"/>
      <w:numFmt w:val="lowerLetter"/>
      <w:start w:val="1"/>
    </w:lvl>
    <w:lvl w:ilvl="1">
      <w:lvlJc w:val="left"/>
      <w:lvlText w:val="(%2)"/>
      <w:numFmt w:val="lowerLetter"/>
      <w:start w:val="1"/>
    </w:lvl>
  </w:abstractNum>
  <w:abstractNum w:abstractNumId="75">
    <w:nsid w:val="25973E32"/>
    <w:multiLevelType w:val="hybridMultilevel"/>
    <w:lvl w:ilvl="0">
      <w:lvlJc w:val="left"/>
      <w:lvlText w:val="(%1)"/>
      <w:numFmt w:val="lowerLetter"/>
      <w:start w:val="35"/>
    </w:lvl>
    <w:lvl w:ilvl="1">
      <w:lvlJc w:val="left"/>
      <w:lvlText w:val="(%2)"/>
      <w:numFmt w:val="lowerLetter"/>
      <w:start w:val="2"/>
    </w:lvl>
  </w:abstractNum>
  <w:abstractNum w:abstractNumId="76">
    <w:nsid w:val="EAD6F57"/>
    <w:multiLevelType w:val="hybridMultilevel"/>
    <w:lvl w:ilvl="0">
      <w:lvlJc w:val="left"/>
      <w:lvlText w:val="(%1)"/>
      <w:numFmt w:val="lowerLetter"/>
      <w:start w:val="3"/>
    </w:lvl>
  </w:abstractNum>
  <w:abstractNum w:abstractNumId="77">
    <w:nsid w:val="6EC9D844"/>
    <w:multiLevelType w:val="hybridMultilevel"/>
    <w:lvl w:ilvl="0">
      <w:lvlJc w:val="left"/>
      <w:lvlText w:val="(%1)"/>
      <w:numFmt w:val="lowerLetter"/>
      <w:start w:val="8"/>
    </w:lvl>
  </w:abstractNum>
  <w:abstractNum w:abstractNumId="78">
    <w:nsid w:val="5C49EAEE"/>
    <w:multiLevelType w:val="hybridMultilevel"/>
    <w:lvl w:ilvl="0">
      <w:lvlJc w:val="left"/>
      <w:lvlText w:val="(%1)"/>
      <w:numFmt w:val="lowerLetter"/>
      <w:start w:val="2"/>
    </w:lvl>
  </w:abstractNum>
  <w:abstractNum w:abstractNumId="79">
    <w:nsid w:val="64AF49B"/>
    <w:multiLevelType w:val="hybridMultilevel"/>
    <w:lvl w:ilvl="0">
      <w:lvlJc w:val="left"/>
      <w:lvlText w:val="%1"/>
      <w:numFmt w:val="lowerLetter"/>
      <w:start w:val="1"/>
    </w:lvl>
    <w:lvl w:ilvl="1">
      <w:lvlJc w:val="left"/>
      <w:lvlText w:val="(%2)"/>
      <w:numFmt w:val="lowerLetter"/>
      <w:start w:val="1"/>
    </w:lvl>
  </w:abstractNum>
  <w:abstractNum w:abstractNumId="80">
    <w:nsid w:val="397C46BC"/>
    <w:multiLevelType w:val="hybridMultilevel"/>
    <w:lvl w:ilvl="0">
      <w:lvlJc w:val="left"/>
      <w:lvlText w:val="(%1)"/>
      <w:numFmt w:val="lowerLetter"/>
      <w:start w:val="9"/>
    </w:lvl>
    <w:lvl w:ilvl="1">
      <w:lvlJc w:val="left"/>
      <w:lvlText w:val="(%2)"/>
      <w:numFmt w:val="lowerLetter"/>
      <w:start w:val="2"/>
    </w:lvl>
  </w:abstractNum>
  <w:abstractNum w:abstractNumId="81">
    <w:nsid w:val="7E448DE9"/>
    <w:multiLevelType w:val="hybridMultilevel"/>
    <w:lvl w:ilvl="0">
      <w:lvlJc w:val="left"/>
      <w:lvlText w:val="(%1)"/>
      <w:numFmt w:val="lowerLetter"/>
      <w:start w:val="3"/>
    </w:lvl>
    <w:lvl w:ilvl="1">
      <w:lvlJc w:val="left"/>
      <w:lvlText w:val="(%2)"/>
      <w:numFmt w:val="lowerLetter"/>
      <w:start w:val="9"/>
    </w:lvl>
  </w:abstractNum>
  <w:abstractNum w:abstractNumId="82">
    <w:nsid w:val="5A9CC3E5"/>
    <w:multiLevelType w:val="hybridMultilevel"/>
    <w:lvl w:ilvl="0">
      <w:lvlJc w:val="left"/>
      <w:lvlText w:val="(%1)"/>
      <w:numFmt w:val="lowerRoman"/>
      <w:start w:val="2"/>
    </w:lvl>
  </w:abstractNum>
  <w:abstractNum w:abstractNumId="83">
    <w:nsid w:val="1AFE3625"/>
    <w:multiLevelType w:val="hybridMultilevel"/>
    <w:lvl w:ilvl="0">
      <w:lvlJc w:val="left"/>
      <w:lvlText w:val="%1"/>
      <w:numFmt w:val="lowerLetter"/>
      <w:start w:val="1"/>
    </w:lvl>
    <w:lvl w:ilvl="1">
      <w:lvlJc w:val="left"/>
      <w:lvlText w:val="(%2)"/>
      <w:numFmt w:val="lowerRoman"/>
      <w:start w:val="7"/>
    </w:lvl>
  </w:abstractNum>
  <w:abstractNum w:abstractNumId="84">
    <w:nsid w:val="3CA88ECF"/>
    <w:multiLevelType w:val="hybridMultilevel"/>
    <w:lvl w:ilvl="0">
      <w:lvlJc w:val="left"/>
      <w:lvlText w:val="(%1)"/>
      <w:numFmt w:val="lowerLetter"/>
      <w:start w:val="6"/>
    </w:lvl>
    <w:lvl w:ilvl="1">
      <w:lvlJc w:val="left"/>
      <w:lvlText w:val="%2"/>
      <w:numFmt w:val="lowerRoman"/>
      <w:start w:val="1"/>
    </w:lvl>
  </w:abstractNum>
  <w:abstractNum w:abstractNumId="85">
    <w:nsid w:val="6EBE4208"/>
    <w:multiLevelType w:val="hybridMultilevel"/>
    <w:lvl w:ilvl="0">
      <w:lvlJc w:val="left"/>
      <w:lvlText w:val="%1"/>
      <w:numFmt w:val="lowerLetter"/>
      <w:start w:val="1"/>
    </w:lvl>
    <w:lvl w:ilvl="1">
      <w:lvlJc w:val="left"/>
      <w:lvlText w:val="(%2)"/>
      <w:numFmt w:val="lowerLetter"/>
      <w:start w:val="10"/>
    </w:lvl>
  </w:abstractNum>
  <w:abstractNum w:abstractNumId="86">
    <w:nsid w:val="C058DF5"/>
    <w:multiLevelType w:val="hybridMultilevel"/>
    <w:lvl w:ilvl="0">
      <w:lvlJc w:val="left"/>
      <w:lvlText w:val="(%1)"/>
      <w:numFmt w:val="lowerLetter"/>
      <w:start w:val="9"/>
    </w:lvl>
    <w:lvl w:ilvl="1">
      <w:lvlJc w:val="left"/>
      <w:lvlText w:val="%2"/>
      <w:numFmt w:val="lowerLetter"/>
      <w:start w:val="1"/>
    </w:lvl>
  </w:abstractNum>
  <w:abstractNum w:abstractNumId="87">
    <w:nsid w:val="CBE5BE9"/>
    <w:multiLevelType w:val="hybridMultilevel"/>
    <w:lvl w:ilvl="0">
      <w:lvlJc w:val="left"/>
      <w:lvlText w:val="(%1)"/>
      <w:numFmt w:val="lowerLetter"/>
      <w:start w:val="1"/>
    </w:lvl>
    <w:lvl w:ilvl="1">
      <w:lvlJc w:val="left"/>
      <w:lvlText w:val="(%2)"/>
      <w:numFmt w:val="lowerRoman"/>
      <w:start w:val="1"/>
    </w:lvl>
  </w:abstractNum>
  <w:abstractNum w:abstractNumId="88">
    <w:nsid w:val="3102BBE2"/>
    <w:multiLevelType w:val="hybridMultilevel"/>
    <w:lvl w:ilvl="0">
      <w:lvlJc w:val="left"/>
      <w:lvlText w:val="%1"/>
      <w:numFmt w:val="upperLetter"/>
      <w:start w:val="1"/>
    </w:lvl>
    <w:lvl w:ilvl="1">
      <w:lvlJc w:val="left"/>
      <w:lvlText w:val="(%2)"/>
      <w:numFmt w:val="lowerRoman"/>
      <w:start w:val="3"/>
    </w:lvl>
  </w:abstractNum>
  <w:abstractNum w:abstractNumId="89">
    <w:nsid w:val="26A02C5E"/>
    <w:multiLevelType w:val="hybridMultilevel"/>
    <w:lvl w:ilvl="0">
      <w:lvlJc w:val="left"/>
      <w:lvlText w:val="(%1)"/>
      <w:numFmt w:val="upperLetter"/>
      <w:start w:val="2"/>
    </w:lvl>
    <w:lvl w:ilvl="1">
      <w:lvlJc w:val="left"/>
      <w:lvlText w:val="(%2)"/>
      <w:numFmt w:val="lowerRoman"/>
      <w:start w:val="7"/>
    </w:lvl>
  </w:abstractNum>
  <w:abstractNum w:abstractNumId="90">
    <w:nsid w:val="541C8153"/>
    <w:multiLevelType w:val="hybridMultilevel"/>
    <w:lvl w:ilvl="0">
      <w:lvlJc w:val="left"/>
      <w:lvlText w:val="%1"/>
      <w:numFmt w:val="lowerLetter"/>
      <w:start w:val="1"/>
    </w:lvl>
    <w:lvl w:ilvl="1">
      <w:lvlJc w:val="left"/>
      <w:lvlText w:val="(%2)"/>
      <w:numFmt w:val="lowerRoman"/>
      <w:start w:val="11"/>
    </w:lvl>
  </w:abstractNum>
  <w:abstractNum w:abstractNumId="91">
    <w:nsid w:val="67906F60"/>
    <w:multiLevelType w:val="hybridMultilevel"/>
    <w:lvl w:ilvl="0">
      <w:lvlJc w:val="left"/>
      <w:lvlText w:val="(%1)"/>
      <w:numFmt w:val="lowerLetter"/>
      <w:start w:val="2"/>
    </w:lvl>
    <w:lvl w:ilvl="1">
      <w:lvlJc w:val="left"/>
      <w:lvlText w:val="%2"/>
      <w:numFmt w:val="lowerRoman"/>
      <w:start w:val="1"/>
    </w:lvl>
  </w:abstractNum>
  <w:abstractNum w:abstractNumId="92">
    <w:nsid w:val="10DB9DAA"/>
    <w:multiLevelType w:val="hybridMultilevel"/>
    <w:lvl w:ilvl="0">
      <w:lvlJc w:val="left"/>
      <w:lvlText w:val="(%1)"/>
      <w:numFmt w:val="lowerLetter"/>
      <w:start w:val="1"/>
    </w:lvl>
  </w:abstractNum>
  <w:abstractNum w:abstractNumId="93">
    <w:nsid w:val="697D2D2"/>
    <w:multiLevelType w:val="hybridMultilevel"/>
    <w:lvl w:ilvl="0">
      <w:lvlJc w:val="left"/>
      <w:lvlText w:val="(%1)"/>
      <w:numFmt w:val="lowerLetter"/>
      <w:start w:val="5"/>
    </w:lvl>
  </w:abstractNum>
  <w:abstractNum w:abstractNumId="94">
    <w:nsid w:val="6D68AB2"/>
    <w:multiLevelType w:val="hybridMultilevel"/>
    <w:lvl w:ilvl="0">
      <w:lvlJc w:val="left"/>
      <w:lvlText w:val="(%1)"/>
      <w:numFmt w:val="lowerLetter"/>
      <w:start w:val="7"/>
    </w:lvl>
  </w:abstractNum>
  <w:abstractNum w:abstractNumId="95">
    <w:nsid w:val="3A966CD0"/>
    <w:multiLevelType w:val="hybridMultilevel"/>
    <w:lvl w:ilvl="0">
      <w:lvlJc w:val="left"/>
      <w:lvlText w:val="(%1)"/>
      <w:numFmt w:val="lowerLetter"/>
      <w:start w:val="1"/>
    </w:lvl>
  </w:abstractNum>
  <w:abstractNum w:abstractNumId="96">
    <w:nsid w:val="63F37E85"/>
    <w:multiLevelType w:val="hybridMultilevel"/>
    <w:lvl w:ilvl="0">
      <w:lvlJc w:val="left"/>
      <w:lvlText w:val="(%1)"/>
      <w:numFmt w:val="lowerLetter"/>
      <w:start w:val="1"/>
    </w:lvl>
  </w:abstractNum>
  <w:abstractNum w:abstractNumId="97">
    <w:nsid w:val="5895F5FA"/>
    <w:multiLevelType w:val="hybridMultilevel"/>
    <w:lvl w:ilvl="0">
      <w:lvlJc w:val="left"/>
      <w:lvlText w:val="(%1)"/>
      <w:numFmt w:val="lowerLetter"/>
      <w:start w:val="2"/>
    </w:lvl>
  </w:abstractNum>
  <w:abstractNum w:abstractNumId="98">
    <w:nsid w:val="38A5D054"/>
    <w:multiLevelType w:val="hybridMultilevel"/>
    <w:lvl w:ilvl="0">
      <w:lvlJc w:val="left"/>
      <w:lvlText w:val="(%1)"/>
      <w:numFmt w:val="lowerLetter"/>
      <w:start w:val="11"/>
    </w:lvl>
  </w:abstractNum>
  <w:abstractNum w:abstractNumId="99">
    <w:nsid w:val="F3F09D8"/>
    <w:multiLevelType w:val="hybridMultilevel"/>
    <w:lvl w:ilvl="0">
      <w:lvlJc w:val="left"/>
      <w:lvlText w:val="%1"/>
      <w:numFmt w:val="lowerLetter"/>
      <w:start w:val="1"/>
    </w:lvl>
    <w:lvl w:ilvl="1">
      <w:lvlJc w:val="left"/>
      <w:lvlText w:val="(%2)"/>
      <w:numFmt w:val="lowerLetter"/>
      <w:start w:val="1"/>
    </w:lvl>
  </w:abstractNum>
  <w:abstractNum w:abstractNumId="100">
    <w:nsid w:val="4B793735"/>
    <w:multiLevelType w:val="hybridMultilevel"/>
    <w:lvl w:ilvl="0">
      <w:lvlJc w:val="left"/>
      <w:lvlText w:val="(%1)"/>
      <w:numFmt w:val="lowerLetter"/>
      <w:start w:val="35"/>
    </w:lvl>
    <w:lvl w:ilvl="1">
      <w:lvlJc w:val="left"/>
      <w:lvlText w:val="%2"/>
      <w:numFmt w:val="lowerLetter"/>
      <w:start w:val="1"/>
    </w:lvl>
  </w:abstractNum>
  <w:abstractNum w:abstractNumId="101">
    <w:nsid w:val="4A10B4E8"/>
    <w:multiLevelType w:val="hybridMultilevel"/>
    <w:lvl w:ilvl="0">
      <w:lvlJc w:val="left"/>
      <w:lvlText w:val="(%1)"/>
      <w:numFmt w:val="lowerLetter"/>
      <w:start w:val="6"/>
    </w:lvl>
  </w:abstractNum>
  <w:abstractNum w:abstractNumId="102">
    <w:nsid w:val="43D3BCD4"/>
    <w:multiLevelType w:val="hybridMultilevel"/>
    <w:lvl w:ilvl="0">
      <w:lvlJc w:val="left"/>
      <w:lvlText w:val="%1"/>
      <w:numFmt w:val="lowerLetter"/>
      <w:start w:val="1"/>
    </w:lvl>
    <w:lvl w:ilvl="1">
      <w:lvlJc w:val="left"/>
      <w:lvlText w:val="(%2)"/>
      <w:numFmt w:val="lowerLetter"/>
      <w:start w:val="12"/>
    </w:lvl>
  </w:abstractNum>
  <w:abstractNum w:abstractNumId="103">
    <w:nsid w:val="4C2A7166"/>
    <w:multiLevelType w:val="hybridMultilevel"/>
    <w:lvl w:ilvl="0">
      <w:lvlJc w:val="left"/>
      <w:lvlText w:val="(%1)"/>
      <w:numFmt w:val="lowerLetter"/>
      <w:start w:val="9"/>
    </w:lvl>
    <w:lvl w:ilvl="1">
      <w:lvlJc w:val="left"/>
      <w:lvlText w:val="%2"/>
      <w:numFmt w:val="lowerLetter"/>
      <w:start w:val="1"/>
    </w:lvl>
  </w:abstractNum>
  <w:abstractNum w:abstractNumId="104">
    <w:nsid w:val="2E534A82"/>
    <w:multiLevelType w:val="hybridMultilevel"/>
    <w:lvl w:ilvl="0">
      <w:lvlJc w:val="left"/>
      <w:lvlText w:val="(%1)"/>
      <w:numFmt w:val="lowerLetter"/>
      <w:start w:val="1"/>
    </w:lvl>
  </w:abstractNum>
  <w:abstractNum w:abstractNumId="105">
    <w:nsid w:val="26F2D364"/>
    <w:multiLevelType w:val="hybridMultilevel"/>
    <w:lvl w:ilvl="0">
      <w:lvlJc w:val="left"/>
      <w:lvlText w:val="(%1)"/>
      <w:numFmt w:val="lowerLetter"/>
      <w:start w:val="1"/>
    </w:lvl>
  </w:abstractNum>
  <w:abstractNum w:abstractNumId="106">
    <w:nsid w:val="71C1AF98"/>
    <w:multiLevelType w:val="hybridMultilevel"/>
    <w:lvl w:ilvl="0">
      <w:lvlJc w:val="left"/>
      <w:lvlText w:val="(%1)"/>
      <w:numFmt w:val="lowerLetter"/>
      <w:start w:val="2"/>
    </w:lvl>
  </w:abstractNum>
  <w:abstractNum w:abstractNumId="107">
    <w:nsid w:val="3D00B9D9"/>
    <w:multiLevelType w:val="hybridMultilevel"/>
    <w:lvl w:ilvl="0">
      <w:lvlJc w:val="left"/>
      <w:lvlText w:val="(%1)"/>
      <w:numFmt w:val="lowerRoman"/>
      <w:start w:val="3"/>
    </w:lvl>
  </w:abstractNum>
  <w:abstractNum w:abstractNumId="108">
    <w:nsid w:val="15BCABA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9">
    <w:nsid w:val="4E0B9A87"/>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10">
    <w:nsid w:val="434BAE75"/>
    <w:multiLevelType w:val="hybridMultilevel"/>
    <w:lvl w:ilvl="0">
      <w:lvlJc w:val="left"/>
      <w:lvlText w:val="(%1)"/>
      <w:numFmt w:val="lowerRoman"/>
      <w:start w:val="5"/>
    </w:lvl>
  </w:abstractNum>
  <w:abstractNum w:abstractNumId="111">
    <w:nsid w:val="4F38F265"/>
    <w:multiLevelType w:val="hybridMultilevel"/>
    <w:lvl w:ilvl="0">
      <w:lvlJc w:val="left"/>
      <w:lvlText w:val="%1"/>
      <w:numFmt w:val="lowerLetter"/>
      <w:start w:val="1"/>
    </w:lvl>
    <w:lvl w:ilvl="1">
      <w:lvlJc w:val="left"/>
      <w:lvlText w:val="(%2)"/>
      <w:numFmt w:val="lowerRoman"/>
      <w:start w:val="11"/>
    </w:lvl>
  </w:abstractNum>
  <w:abstractNum w:abstractNumId="112">
    <w:nsid w:val="4C502870"/>
    <w:multiLevelType w:val="hybridMultilevel"/>
    <w:lvl w:ilvl="0">
      <w:lvlJc w:val="left"/>
      <w:lvlText w:val="(%1)"/>
      <w:numFmt w:val="lowerLetter"/>
      <w:start w:val="3"/>
    </w:lvl>
    <w:lvl w:ilvl="1">
      <w:lvlJc w:val="left"/>
      <w:lvlText w:val="%2"/>
      <w:numFmt w:val="lowerRoman"/>
      <w:start w:val="1"/>
    </w:lvl>
  </w:abstractNum>
  <w:abstractNum w:abstractNumId="113">
    <w:nsid w:val="1DE8725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4">
    <w:nsid w:val="6A37288A"/>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15">
    <w:nsid w:val="8F8B73F"/>
    <w:multiLevelType w:val="hybridMultilevel"/>
    <w:lvl w:ilvl="0">
      <w:lvlJc w:val="left"/>
      <w:lvlText w:val="(%1)"/>
      <w:numFmt w:val="lowerRoman"/>
      <w:start w:val="9"/>
    </w:lvl>
  </w:abstractNum>
  <w:abstractNum w:abstractNumId="116">
    <w:nsid w:val="CA6B46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5"/>
    </w:lvl>
  </w:abstractNum>
  <w:abstractNum w:abstractNumId="117">
    <w:nsid w:val="763CB680"/>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18">
    <w:nsid w:val="15B713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19">
    <w:nsid w:val="3DA9704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0">
    <w:nsid w:val="1CDCE2DE"/>
    <w:multiLevelType w:val="hybridMultilevel"/>
    <w:lvl w:ilvl="0">
      <w:lvlJc w:val="left"/>
      <w:lvlText w:val="(%1)"/>
      <w:numFmt w:val="lowerLetter"/>
      <w:start w:val="1"/>
    </w:lvl>
    <w:lvl w:ilvl="1">
      <w:lvlJc w:val="left"/>
      <w:lvlText w:val="(%2)"/>
      <w:numFmt w:val="lowerLetter"/>
      <w:start w:val="9"/>
    </w:lvl>
  </w:abstractNum>
  <w:abstractNum w:abstractNumId="121">
    <w:nsid w:val="69D3947C"/>
    <w:multiLevelType w:val="hybridMultilevel"/>
    <w:lvl w:ilvl="0">
      <w:lvlJc w:val="left"/>
      <w:lvlText w:val="(%1)"/>
      <w:numFmt w:val="lowerRoman"/>
      <w:start w:val="2"/>
    </w:lvl>
  </w:abstractNum>
  <w:abstractNum w:abstractNumId="122">
    <w:nsid w:val="2539DFA5"/>
    <w:multiLevelType w:val="hybridMultilevel"/>
    <w:lvl w:ilvl="0">
      <w:lvlJc w:val="left"/>
      <w:lvlText w:val="(%1)"/>
      <w:numFmt w:val="lowerLetter"/>
      <w:start w:val="1"/>
    </w:lvl>
  </w:abstractNum>
  <w:abstractNum w:abstractNumId="123">
    <w:nsid w:val="2DB88089"/>
    <w:multiLevelType w:val="hybridMultilevel"/>
    <w:lvl w:ilvl="0">
      <w:lvlJc w:val="left"/>
      <w:lvlText w:val="(%1)"/>
      <w:numFmt w:val="lowerLetter"/>
      <w:start w:val="1"/>
    </w:lvl>
  </w:abstractNum>
  <w:abstractNum w:abstractNumId="124">
    <w:nsid w:val="706B674E"/>
    <w:multiLevelType w:val="hybridMultilevel"/>
    <w:lvl w:ilvl="0">
      <w:lvlJc w:val="left"/>
      <w:lvlText w:val="(%1)"/>
      <w:numFmt w:val="lowerLetter"/>
      <w:start w:val="2"/>
    </w:lvl>
  </w:abstractNum>
  <w:abstractNum w:abstractNumId="125">
    <w:nsid w:val="2C106A57"/>
    <w:multiLevelType w:val="hybridMultilevel"/>
    <w:lvl w:ilvl="0">
      <w:lvlJc w:val="left"/>
      <w:lvlText w:val="(%1)"/>
      <w:numFmt w:val="lowerLetter"/>
      <w:start w:val="4"/>
    </w:lvl>
  </w:abstractNum>
  <w:abstractNum w:abstractNumId="126">
    <w:nsid w:val="684EED59"/>
    <w:multiLevelType w:val="hybridMultilevel"/>
    <w:lvl w:ilvl="0">
      <w:lvlJc w:val="left"/>
      <w:lvlText w:val="%1"/>
      <w:numFmt w:val="upperLetter"/>
      <w:start w:val="1"/>
    </w:lvl>
    <w:lvl w:ilvl="1">
      <w:lvlJc w:val="left"/>
      <w:lvlText w:val="(%2)"/>
      <w:numFmt w:val="lowerLetter"/>
      <w:start w:val="1"/>
    </w:lvl>
  </w:abstractNum>
  <w:abstractNum w:abstractNumId="127">
    <w:nsid w:val="545EE5D3"/>
    <w:multiLevelType w:val="hybridMultilevel"/>
    <w:lvl w:ilvl="0">
      <w:lvlJc w:val="left"/>
      <w:lvlText w:val="(%1)"/>
      <w:numFmt w:val="upperLetter"/>
      <w:start w:val="2"/>
    </w:lvl>
    <w:lvl w:ilvl="1">
      <w:lvlJc w:val="left"/>
      <w:lvlText w:val="%2"/>
      <w:numFmt w:val="lowerLetter"/>
      <w:start w:val="1"/>
    </w:lvl>
  </w:abstractNum>
  <w:abstractNum w:abstractNumId="128">
    <w:nsid w:val="4A66051"/>
    <w:multiLevelType w:val="hybridMultilevel"/>
    <w:lvl w:ilvl="0">
      <w:lvlJc w:val="left"/>
      <w:lvlText w:val="(%1)"/>
      <w:numFmt w:val="lowerLetter"/>
      <w:start w:val="2"/>
    </w:lvl>
  </w:abstractNum>
  <w:abstractNum w:abstractNumId="129">
    <w:nsid w:val="20F4BDAD"/>
    <w:multiLevelType w:val="hybridMultilevel"/>
    <w:lvl w:ilvl="0">
      <w:lvlJc w:val="left"/>
      <w:lvlText w:val="%1"/>
      <w:numFmt w:val="lowerLetter"/>
      <w:start w:val="1"/>
    </w:lvl>
    <w:lvl w:ilvl="1">
      <w:lvlJc w:val="left"/>
      <w:lvlText w:val="(%2)"/>
      <w:numFmt w:val="lowerLetter"/>
      <w:start w:val="1"/>
    </w:lvl>
  </w:abstractNum>
  <w:abstractNum w:abstractNumId="130">
    <w:nsid w:val="639DEFAC"/>
    <w:multiLevelType w:val="hybridMultilevel"/>
    <w:lvl w:ilvl="0">
      <w:lvlJc w:val="left"/>
      <w:lvlText w:val="(%1)"/>
      <w:numFmt w:val="lowerLetter"/>
      <w:start w:val="9"/>
    </w:lvl>
    <w:lvl w:ilvl="1">
      <w:lvlJc w:val="left"/>
      <w:lvlText w:val="(%2)"/>
      <w:numFmt w:val="lowerLetter"/>
      <w:start w:val="2"/>
    </w:lvl>
  </w:abstractNum>
  <w:abstractNum w:abstractNumId="131">
    <w:nsid w:val="501F9786"/>
    <w:multiLevelType w:val="hybridMultilevel"/>
    <w:lvl w:ilvl="0">
      <w:lvlJc w:val="left"/>
      <w:lvlText w:val="(%1)"/>
      <w:numFmt w:val="lowerLetter"/>
      <w:start w:val="1"/>
    </w:lvl>
  </w:abstractNum>
  <w:abstractNum w:abstractNumId="132">
    <w:nsid w:val="6B057295"/>
    <w:multiLevelType w:val="hybridMultilevel"/>
    <w:lvl w:ilvl="0">
      <w:lvlJc w:val="left"/>
      <w:lvlText w:val="%1"/>
      <w:numFmt w:val="decimal"/>
      <w:start w:val="1"/>
    </w:lvl>
    <w:lvl w:ilvl="1">
      <w:lvlJc w:val="left"/>
      <w:lvlText w:val="(%2)"/>
      <w:numFmt w:val="lowerLetter"/>
      <w:start w:val="3"/>
    </w:lvl>
  </w:abstractNum>
  <w:abstractNum w:abstractNumId="133">
    <w:nsid w:val="2771AC80"/>
    <w:multiLevelType w:val="hybridMultilevel"/>
    <w:lvl w:ilvl="0">
      <w:lvlJc w:val="left"/>
      <w:lvlText w:val="(%1)"/>
      <w:numFmt w:val="decimal"/>
      <w:start w:val="1"/>
    </w:lvl>
    <w:lvl w:ilvl="1">
      <w:lvlJc w:val="left"/>
      <w:lvlText w:val="(%2)"/>
      <w:numFmt w:val="lowerLetter"/>
      <w:start w:val="5"/>
    </w:lvl>
  </w:abstractNum>
  <w:abstractNum w:abstractNumId="134">
    <w:nsid w:val="1C4A08EC"/>
    <w:multiLevelType w:val="hybridMultilevel"/>
    <w:lvl w:ilvl="0">
      <w:lvlJc w:val="left"/>
      <w:lvlText w:val="%1"/>
      <w:numFmt w:val="lowerLetter"/>
      <w:start w:val="1"/>
    </w:lvl>
    <w:lvl w:ilvl="1">
      <w:lvlJc w:val="left"/>
      <w:lvlText w:val="(%2)"/>
      <w:numFmt w:val="lowerLetter"/>
      <w:start w:val="1"/>
    </w:lvl>
  </w:abstractNum>
  <w:abstractNum w:abstractNumId="135">
    <w:nsid w:val="1958BD17"/>
    <w:multiLevelType w:val="hybridMultilevel"/>
    <w:lvl w:ilvl="0">
      <w:lvlJc w:val="left"/>
      <w:lvlText w:val="(%1)"/>
      <w:numFmt w:val="lowerLetter"/>
      <w:start w:val="35"/>
    </w:lvl>
    <w:lvl w:ilvl="1">
      <w:lvlJc w:val="left"/>
      <w:lvlText w:val="(%2)"/>
      <w:numFmt w:val="lowerLetter"/>
      <w:start w:val="2"/>
    </w:lvl>
  </w:abstractNum>
  <w:abstractNum w:abstractNumId="136">
    <w:nsid w:val="4E647FE4"/>
    <w:multiLevelType w:val="hybridMultilevel"/>
    <w:lvl w:ilvl="0">
      <w:lvlJc w:val="left"/>
      <w:lvlText w:val="(%1)"/>
      <w:numFmt w:val="decimal"/>
      <w:start w:val="1"/>
    </w:lvl>
  </w:abstractNum>
  <w:abstractNum w:abstractNumId="137">
    <w:nsid w:val="E0BB885"/>
    <w:multiLevelType w:val="hybridMultilevel"/>
    <w:lvl w:ilvl="0">
      <w:lvlJc w:val="left"/>
      <w:lvlText w:val="(%1)"/>
      <w:numFmt w:val="lowerLetter"/>
      <w:start w:val="1"/>
    </w:lvl>
  </w:abstractNum>
  <w:abstractNum w:abstractNumId="138">
    <w:nsid w:val="565976F1"/>
    <w:multiLevelType w:val="hybridMultilevel"/>
    <w:lvl w:ilvl="0">
      <w:lvlJc w:val="left"/>
      <w:lvlText w:val="(%1)"/>
      <w:numFmt w:val="lowerLetter"/>
      <w:start w:val="2"/>
    </w:lvl>
  </w:abstractNum>
  <w:abstractNum w:abstractNumId="139">
    <w:nsid w:val="64212B8C"/>
    <w:multiLevelType w:val="hybridMultilevel"/>
    <w:lvl w:ilvl="0">
      <w:lvlJc w:val="left"/>
      <w:lvlText w:val="(%1)"/>
      <w:numFmt w:val="lowerLetter"/>
      <w:start w:val="4"/>
    </w:lvl>
  </w:abstractNum>
  <w:abstractNum w:abstractNumId="140">
    <w:nsid w:val="5C17530C"/>
    <w:multiLevelType w:val="hybridMultilevel"/>
    <w:lvl w:ilvl="0">
      <w:lvlJc w:val="left"/>
      <w:lvlText w:val="%1"/>
      <w:numFmt w:val="decimal"/>
      <w:start w:val="1"/>
    </w:lvl>
    <w:lvl w:ilvl="1">
      <w:lvlJc w:val="left"/>
      <w:lvlText w:val="(%2)"/>
      <w:numFmt w:val="lowerLetter"/>
      <w:start w:val="1"/>
    </w:lvl>
  </w:abstractNum>
  <w:abstractNum w:abstractNumId="141">
    <w:nsid w:val="19A52566"/>
    <w:multiLevelType w:val="hybridMultilevel"/>
    <w:lvl w:ilvl="0">
      <w:lvlJc w:val="left"/>
      <w:lvlText w:val="(%1)"/>
      <w:numFmt w:val="decimal"/>
      <w:start w:val="5"/>
    </w:lvl>
    <w:lvl w:ilvl="1">
      <w:lvlJc w:val="left"/>
      <w:lvlText w:val="(%2)"/>
      <w:numFmt w:val="lowerLetter"/>
      <w:start w:val="3"/>
    </w:lvl>
  </w:abstractNum>
  <w:abstractNum w:abstractNumId="142">
    <w:nsid w:val="335A1DF1"/>
    <w:multiLevelType w:val="hybridMultilevel"/>
    <w:lvl w:ilvl="0">
      <w:lvlJc w:val="left"/>
      <w:lvlText w:val="(%1)"/>
      <w:numFmt w:val="lowerLetter"/>
      <w:start w:val="1"/>
    </w:lvl>
  </w:abstractNum>
  <w:abstractNum w:abstractNumId="143">
    <w:nsid w:val="28677B7C"/>
    <w:multiLevelType w:val="hybridMultilevel"/>
    <w:lvl w:ilvl="0">
      <w:lvlJc w:val="left"/>
      <w:lvlText w:val="(%1)"/>
      <w:numFmt w:val="lowerLetter"/>
      <w:start w:val="3"/>
    </w:lvl>
  </w:abstractNum>
  <w:abstractNum w:abstractNumId="144">
    <w:nsid w:val="378D97C0"/>
    <w:multiLevelType w:val="hybridMultilevel"/>
    <w:lvl w:ilvl="0">
      <w:lvlJc w:val="left"/>
      <w:lvlText w:val="(%1)"/>
      <w:numFmt w:val="lowerLetter"/>
      <w:start w:val="7"/>
    </w:lvl>
  </w:abstractNum>
  <w:abstractNum w:abstractNumId="145">
    <w:nsid w:val="1D91467C"/>
    <w:multiLevelType w:val="hybridMultilevel"/>
    <w:lvl w:ilvl="0">
      <w:lvlJc w:val="left"/>
      <w:lvlText w:val="(%1)"/>
      <w:numFmt w:val="lowerLetter"/>
      <w:start w:val="1"/>
    </w:lvl>
  </w:abstractNum>
  <w:abstractNum w:abstractNumId="146">
    <w:nsid w:val="316032BB"/>
    <w:multiLevelType w:val="hybridMultilevel"/>
    <w:lvl w:ilvl="0">
      <w:lvlJc w:val="left"/>
      <w:lvlText w:val="(%1)"/>
      <w:numFmt w:val="lowerLetter"/>
      <w:start w:val="1"/>
    </w:lvl>
    <w:lvl w:ilvl="1">
      <w:lvlJc w:val="left"/>
      <w:lvlText w:val="(%2)"/>
      <w:numFmt w:val="lowerRoman"/>
      <w:start w:val="1"/>
    </w:lvl>
  </w:abstractNum>
  <w:abstractNum w:abstractNumId="147">
    <w:nsid w:val="44344C22"/>
    <w:multiLevelType w:val="hybridMultilevel"/>
    <w:lvl w:ilvl="0">
      <w:lvlJc w:val="left"/>
      <w:lvlText w:val="%1"/>
      <w:numFmt w:val="lowerLetter"/>
      <w:start w:val="1"/>
    </w:lvl>
    <w:lvl w:ilvl="1">
      <w:lvlJc w:val="left"/>
      <w:lvlText w:val="(%2)"/>
      <w:numFmt w:val="lowerLetter"/>
      <w:start w:val="35"/>
    </w:lvl>
  </w:abstractNum>
  <w:abstractNum w:abstractNumId="148">
    <w:nsid w:val="13CDFCFC"/>
    <w:multiLevelType w:val="hybridMultilevel"/>
    <w:lvl w:ilvl="0">
      <w:lvlJc w:val="left"/>
      <w:lvlText w:val="(%1)"/>
      <w:numFmt w:val="lowerLetter"/>
      <w:start w:val="3"/>
    </w:lvl>
    <w:lvl w:ilvl="1">
      <w:lvlJc w:val="left"/>
      <w:lvlText w:val="(%2)"/>
      <w:numFmt w:val="lowerLetter"/>
      <w:start w:val="9"/>
    </w:lvl>
  </w:abstractNum>
  <w:abstractNum w:abstractNumId="149">
    <w:nsid w:val="471745E4"/>
    <w:multiLevelType w:val="hybridMultilevel"/>
    <w:lvl w:ilvl="0">
      <w:lvlJc w:val="left"/>
      <w:lvlText w:val="(%1)"/>
      <w:numFmt w:val="lowerRoman"/>
      <w:start w:val="2"/>
    </w:lvl>
  </w:abstractNum>
  <w:abstractNum w:abstractNumId="150">
    <w:nsid w:val="1DDBC66"/>
    <w:multiLevelType w:val="hybridMultilevel"/>
    <w:lvl w:ilvl="0">
      <w:lvlJc w:val="left"/>
      <w:lvlText w:val="(%1)"/>
      <w:numFmt w:val="lowerLetter"/>
      <w:start w:val="1"/>
    </w:lvl>
  </w:abstractNum>
  <w:abstractNum w:abstractNumId="151">
    <w:nsid w:val="30AADFDA"/>
    <w:multiLevelType w:val="hybridMultilevel"/>
    <w:lvl w:ilvl="0">
      <w:lvlJc w:val="left"/>
      <w:lvlText w:val="(%1)"/>
      <w:numFmt w:val="lowerLetter"/>
      <w:start w:val="1"/>
    </w:lvl>
  </w:abstractNum>
  <w:abstractNum w:abstractNumId="152">
    <w:nsid w:val="30EADA61"/>
    <w:multiLevelType w:val="hybridMultilevel"/>
    <w:lvl w:ilvl="0">
      <w:lvlJc w:val="left"/>
      <w:lvlText w:val="(%1)"/>
      <w:numFmt w:val="lowerLetter"/>
      <w:start w:val="1"/>
    </w:lvl>
  </w:abstractNum>
  <w:abstractNum w:abstractNumId="153">
    <w:nsid w:val="27179C0B"/>
    <w:multiLevelType w:val="hybridMultilevel"/>
    <w:lvl w:ilvl="0">
      <w:lvlJc w:val="left"/>
      <w:lvlText w:val="(%1)"/>
      <w:numFmt w:val="lowerLetter"/>
      <w:start w:val="2"/>
    </w:lvl>
  </w:abstractNum>
  <w:abstractNum w:abstractNumId="154">
    <w:nsid w:val="5E636063"/>
    <w:multiLevelType w:val="hybridMultilevel"/>
    <w:lvl w:ilvl="0">
      <w:lvlJc w:val="left"/>
      <w:lvlText w:val="(%1)"/>
      <w:numFmt w:val="lowerLetter"/>
      <w:start w:val="1"/>
    </w:lvl>
  </w:abstractNum>
  <w:abstractNum w:abstractNumId="155">
    <w:nsid w:val="215641AF"/>
    <w:multiLevelType w:val="hybridMultilevel"/>
    <w:lvl w:ilvl="0">
      <w:lvlJc w:val="left"/>
      <w:lvlText w:val="(%1)"/>
      <w:numFmt w:val="lowerLetter"/>
      <w:start w:val="2"/>
    </w:lvl>
  </w:abstractNum>
  <w:abstractNum w:abstractNumId="156">
    <w:nsid w:val="53280662"/>
    <w:multiLevelType w:val="hybridMultilevel"/>
    <w:lvl w:ilvl="0">
      <w:lvlJc w:val="left"/>
      <w:lvlText w:val="%1"/>
      <w:numFmt w:val="lowerLetter"/>
      <w:start w:val="1"/>
    </w:lvl>
    <w:lvl w:ilvl="1">
      <w:lvlJc w:val="left"/>
      <w:lvlText w:val="(%2)"/>
      <w:numFmt w:val="lowerLetter"/>
      <w:start w:val="1"/>
    </w:lvl>
  </w:abstractNum>
  <w:abstractNum w:abstractNumId="157">
    <w:nsid w:val="46B24DBC"/>
    <w:multiLevelType w:val="hybridMultilevel"/>
    <w:lvl w:ilvl="0">
      <w:lvlJc w:val="left"/>
      <w:lvlText w:val="(%1)"/>
      <w:numFmt w:val="lowerLetter"/>
      <w:start w:val="25"/>
    </w:lvl>
    <w:lvl w:ilvl="1">
      <w:lvlJc w:val="left"/>
      <w:lvlText w:val="%2"/>
      <w:numFmt w:val="lowerLetter"/>
      <w:start w:val="1"/>
    </w:lvl>
  </w:abstractNum>
  <w:abstractNum w:abstractNumId="158">
    <w:nsid w:val="75B52783"/>
    <w:multiLevelType w:val="hybridMultilevel"/>
    <w:lvl w:ilvl="0">
      <w:lvlJc w:val="left"/>
      <w:lvlText w:val="(%1)"/>
      <w:numFmt w:val="lowerLetter"/>
      <w:start w:val="2"/>
    </w:lvl>
  </w:abstractNum>
  <w:abstractNum w:abstractNumId="159">
    <w:nsid w:val="57CE66B4"/>
    <w:multiLevelType w:val="hybridMultilevel"/>
    <w:lvl w:ilvl="0">
      <w:lvlJc w:val="left"/>
      <w:lvlText w:val="(%1)"/>
      <w:numFmt w:val="lowerLetter"/>
      <w:start w:val="1"/>
    </w:lvl>
  </w:abstractNum>
  <w:abstractNum w:abstractNumId="160">
    <w:nsid w:val="67A70B69"/>
    <w:multiLevelType w:val="hybridMultilevel"/>
    <w:lvl w:ilvl="0">
      <w:lvlJc w:val="left"/>
      <w:lvlText w:val="(%1)"/>
      <w:numFmt w:val="lowerLetter"/>
      <w:start w:val="1"/>
    </w:lvl>
  </w:abstractNum>
  <w:abstractNum w:abstractNumId="161">
    <w:nsid w:val="5953172F"/>
    <w:multiLevelType w:val="hybridMultilevel"/>
    <w:lvl w:ilvl="0">
      <w:lvlJc w:val="left"/>
      <w:lvlText w:val="%1"/>
      <w:numFmt w:val="decimal"/>
      <w:start w:val="1"/>
    </w:lvl>
    <w:lvl w:ilvl="1">
      <w:lvlJc w:val="left"/>
      <w:lvlText w:val="(%2)"/>
      <w:numFmt w:val="lowerLetter"/>
      <w:start w:val="1"/>
    </w:lvl>
  </w:abstractNum>
  <w:abstractNum w:abstractNumId="162">
    <w:nsid w:val="27EDFE3A"/>
    <w:multiLevelType w:val="hybridMultilevel"/>
    <w:lvl w:ilvl="0">
      <w:lvlJc w:val="left"/>
      <w:lvlText w:val="(%1)"/>
      <w:numFmt w:val="decimal"/>
      <w:start w:val="15"/>
    </w:lvl>
    <w:lvl w:ilvl="1">
      <w:lvlJc w:val="left"/>
      <w:lvlText w:val="%2"/>
      <w:numFmt w:val="lowerLetter"/>
      <w:start w:val="1"/>
    </w:lvl>
  </w:abstractNum>
  <w:abstractNum w:abstractNumId="163">
    <w:nsid w:val="52AC7DFF"/>
    <w:multiLevelType w:val="hybridMultilevel"/>
    <w:lvl w:ilvl="0">
      <w:lvlJc w:val="left"/>
      <w:lvlText w:val="(%1)"/>
      <w:numFmt w:val="lowerLetter"/>
      <w:start w:val="5"/>
    </w:lvl>
  </w:abstractNum>
  <w:abstractNum w:abstractNumId="164">
    <w:nsid w:val="C4C3AF"/>
    <w:multiLevelType w:val="hybridMultilevel"/>
    <w:lvl w:ilvl="0">
      <w:lvlJc w:val="left"/>
      <w:lvlText w:val="(%1)"/>
      <w:numFmt w:val="lowerLetter"/>
      <w:start w:val="10"/>
    </w:lvl>
  </w:abstractNum>
  <w:abstractNum w:abstractNumId="165">
    <w:nsid w:val="44380727"/>
    <w:multiLevelType w:val="hybridMultilevel"/>
    <w:lvl w:ilvl="0">
      <w:lvlJc w:val="left"/>
      <w:lvlText w:val="%1"/>
      <w:numFmt w:val="decimal"/>
      <w:start w:val="1"/>
    </w:lvl>
    <w:lvl w:ilvl="1">
      <w:lvlJc w:val="left"/>
      <w:lvlText w:val="(%2)"/>
      <w:numFmt w:val="lowerLetter"/>
      <w:start w:val="1"/>
    </w:lvl>
  </w:abstractNum>
  <w:abstractNum w:abstractNumId="166">
    <w:nsid w:val="6C053B16"/>
    <w:multiLevelType w:val="hybridMultilevel"/>
    <w:lvl w:ilvl="0">
      <w:lvlJc w:val="left"/>
      <w:lvlText w:val="(%1)"/>
      <w:numFmt w:val="decimal"/>
      <w:start w:val="2"/>
    </w:lvl>
    <w:lvl w:ilvl="1">
      <w:lvlJc w:val="left"/>
      <w:lvlText w:val="(%2)"/>
      <w:numFmt w:val="lowerLetter"/>
      <w:start w:val="4"/>
    </w:lvl>
  </w:abstractNum>
  <w:abstractNum w:abstractNumId="167">
    <w:nsid w:val="4F294393"/>
    <w:multiLevelType w:val="hybridMultilevel"/>
    <w:lvl w:ilvl="0">
      <w:lvlJc w:val="left"/>
      <w:lvlText w:val="%1"/>
      <w:numFmt w:val="lowerLetter"/>
      <w:start w:val="1"/>
    </w:lvl>
    <w:lvl w:ilvl="1">
      <w:lvlJc w:val="left"/>
      <w:lvlText w:val="(%2)"/>
      <w:numFmt w:val="lowerLetter"/>
      <w:start w:val="5"/>
    </w:lvl>
  </w:abstractNum>
  <w:abstractNum w:abstractNumId="168">
    <w:nsid w:val="5243BFAC"/>
    <w:multiLevelType w:val="hybridMultilevel"/>
    <w:lvl w:ilvl="0">
      <w:lvlJc w:val="left"/>
      <w:lvlText w:val="(%1)"/>
      <w:numFmt w:val="lowerLetter"/>
      <w:start w:val="35"/>
    </w:lvl>
    <w:lvl w:ilvl="1">
      <w:lvlJc w:val="left"/>
      <w:lvlText w:val="%2"/>
      <w:numFmt w:val="lowerLetter"/>
      <w:start w:val="1"/>
    </w:lvl>
  </w:abstractNum>
  <w:abstractNum w:abstractNumId="169">
    <w:nsid w:val="425EB207"/>
    <w:multiLevelType w:val="hybridMultilevel"/>
    <w:lvl w:ilvl="0">
      <w:lvlJc w:val="left"/>
      <w:lvlText w:val="(%1)"/>
      <w:numFmt w:val="lowerLetter"/>
      <w:start w:val="1"/>
    </w:lvl>
  </w:abstractNum>
  <w:abstractNum w:abstractNumId="170">
    <w:nsid w:val="334A6F1F"/>
    <w:multiLevelType w:val="hybridMultilevel"/>
    <w:lvl w:ilvl="0">
      <w:lvlJc w:val="left"/>
      <w:lvlText w:val="(%1)"/>
      <w:numFmt w:val="lowerLetter"/>
      <w:start w:val="1"/>
    </w:lvl>
  </w:abstractNum>
  <w:abstractNum w:abstractNumId="171">
    <w:nsid w:val="2E5B12B8"/>
    <w:multiLevelType w:val="hybridMultilevel"/>
    <w:lvl w:ilvl="0">
      <w:lvlJc w:val="left"/>
      <w:lvlText w:val="(%1)"/>
      <w:numFmt w:val="lowerLetter"/>
      <w:start w:val="2"/>
    </w:lvl>
  </w:abstractNum>
  <w:abstractNum w:abstractNumId="172">
    <w:nsid w:val="5C03D76D"/>
    <w:multiLevelType w:val="hybridMultilevel"/>
    <w:lvl w:ilvl="0">
      <w:lvlJc w:val="left"/>
      <w:lvlText w:val="%1"/>
      <w:numFmt w:val="decimal"/>
      <w:start w:val="100"/>
    </w:lvl>
  </w:abstractNum>
  <w:abstractNum w:abstractNumId="173">
    <w:nsid w:val="66A48D11"/>
    <w:multiLevelType w:val="hybridMultilevel"/>
    <w:lvl w:ilvl="0">
      <w:lvlJc w:val="left"/>
      <w:lvlText w:val="%1."/>
      <w:numFmt w:val="decimal"/>
      <w:start w:val="1"/>
    </w:lvl>
  </w:abstractNum>
  <w:abstractNum w:abstractNumId="174">
    <w:nsid w:val="56C28E34"/>
    <w:multiLevelType w:val="hybridMultilevel"/>
    <w:lvl w:ilvl="0">
      <w:lvlJc w:val="left"/>
      <w:lvlText w:val="(%1)"/>
      <w:numFmt w:val="lowerLetter"/>
      <w:start w:val="1"/>
    </w:lvl>
  </w:abstractNum>
  <w:abstractNum w:abstractNumId="175">
    <w:nsid w:val="13916F2D"/>
    <w:multiLevelType w:val="hybridMultilevel"/>
    <w:lvl w:ilvl="0">
      <w:lvlJc w:val="left"/>
      <w:lvlText w:val="(%1)"/>
      <w:numFmt w:val="decimal"/>
      <w:start w:val="4"/>
    </w:lvl>
  </w:abstractNum>
  <w:abstractNum w:abstractNumId="176">
    <w:nsid w:val="435D38D"/>
    <w:multiLevelType w:val="hybridMultilevel"/>
    <w:lvl w:ilvl="0">
      <w:lvlJc w:val="left"/>
      <w:lvlText w:val="(%1)"/>
      <w:numFmt w:val="lowerLetter"/>
      <w:start w:val="35"/>
    </w:lvl>
    <w:lvl w:ilvl="1">
      <w:lvlJc w:val="left"/>
      <w:lvlText w:val="%2."/>
      <w:numFmt w:val="decimal"/>
      <w:start w:val="2"/>
    </w:lvl>
  </w:abstractNum>
  <w:abstractNum w:abstractNumId="177">
    <w:nsid w:val="822C0EF"/>
    <w:multiLevelType w:val="hybridMultilevel"/>
    <w:lvl w:ilvl="0">
      <w:lvlJc w:val="left"/>
      <w:lvlText w:val="(%1)"/>
      <w:numFmt w:val="lowerLetter"/>
      <w:start w:val="3"/>
    </w:lvl>
    <w:lvl w:ilvl="1">
      <w:lvlJc w:val="left"/>
      <w:lvlText w:val="%2"/>
      <w:numFmt w:val="decimal"/>
      <w:start w:val="1"/>
    </w:lvl>
  </w:abstractNum>
  <w:abstractNum w:abstractNumId="178">
    <w:nsid w:val="57C5BB4F"/>
    <w:multiLevelType w:val="hybridMultilevel"/>
    <w:lvl w:ilvl="0">
      <w:lvlJc w:val="left"/>
      <w:lvlText w:val="(%1)"/>
      <w:numFmt w:val="lowerLetter"/>
      <w:start w:val="1"/>
    </w:lvl>
  </w:abstractNum>
  <w:abstractNum w:abstractNumId="179">
    <w:nsid w:val="1803D089"/>
    <w:multiLevelType w:val="hybridMultilevel"/>
    <w:lvl w:ilvl="0">
      <w:lvlJc w:val="left"/>
      <w:lvlText w:val="(%1)"/>
      <w:numFmt w:val="lowerLetter"/>
      <w:start w:val="7"/>
    </w:lvl>
  </w:abstractNum>
  <w:abstractNum w:abstractNumId="180">
    <w:nsid w:val="4F3A06D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181">
    <w:nsid w:val="59A377B6"/>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182">
    <w:nsid w:val="48AEB063"/>
    <w:multiLevelType w:val="hybridMultilevel"/>
    <w:lvl w:ilvl="0">
      <w:lvlJc w:val="left"/>
      <w:lvlText w:val="%1"/>
      <w:numFmt w:val="lowerRoman"/>
      <w:start w:val="1"/>
    </w:lvl>
    <w:lvl w:ilvl="1">
      <w:lvlJc w:val="left"/>
      <w:lvlText w:val="%2."/>
      <w:numFmt w:val="decimal"/>
      <w:start w:val="7"/>
    </w:lvl>
  </w:abstractNum>
  <w:abstractNum w:abstractNumId="183">
    <w:nsid w:val="24E135"/>
    <w:multiLevelType w:val="hybridMultilevel"/>
    <w:lvl w:ilvl="0">
      <w:lvlJc w:val="left"/>
      <w:lvlText w:val="(%1)"/>
      <w:numFmt w:val="lowerRoman"/>
      <w:start w:val="1"/>
    </w:lvl>
    <w:lvl w:ilvl="1">
      <w:lvlJc w:val="left"/>
      <w:lvlText w:val="%2."/>
      <w:numFmt w:val="decimal"/>
      <w:start w:val="8"/>
    </w:lvl>
  </w:abstractNum>
  <w:abstractNum w:abstractNumId="184">
    <w:nsid w:val="BB13C1"/>
    <w:multiLevelType w:val="hybridMultilevel"/>
    <w:lvl w:ilvl="0">
      <w:lvlJc w:val="left"/>
      <w:lvlText w:val="%1."/>
      <w:numFmt w:val="decimal"/>
      <w:start w:val="10"/>
    </w:lvl>
  </w:abstractNum>
  <w:abstractNum w:abstractNumId="185">
    <w:nsid w:val="271210C7"/>
    <w:multiLevelType w:val="hybridMultilevel"/>
    <w:lvl w:ilvl="0">
      <w:lvlJc w:val="left"/>
      <w:lvlText w:val="%1."/>
      <w:numFmt w:val="decimal"/>
      <w:start w:val="14"/>
    </w:lvl>
  </w:abstractNum>
  <w:abstractNum w:abstractNumId="186">
    <w:nsid w:val="217B22E4"/>
    <w:multiLevelType w:val="hybridMultilevel"/>
    <w:lvl w:ilvl="0">
      <w:lvlJc w:val="left"/>
      <w:lvlText w:val="%1."/>
      <w:numFmt w:val="decimal"/>
      <w:start w:val="20"/>
    </w:lvl>
  </w:abstractNum>
  <w:abstractNum w:abstractNumId="187">
    <w:nsid w:val="53E31A24"/>
    <w:multiLevelType w:val="hybridMultilevel"/>
    <w:lvl w:ilvl="0">
      <w:lvlJc w:val="left"/>
      <w:lvlText w:val="%1."/>
      <w:numFmt w:val="decimal"/>
      <w:start w:val="1"/>
    </w:lvl>
  </w:abstractNum>
  <w:abstractNum w:abstractNumId="188">
    <w:nsid w:val="6DC45E83"/>
    <w:multiLevelType w:val="hybridMultilevel"/>
    <w:lvl w:ilvl="0">
      <w:lvlJc w:val="left"/>
      <w:lvlText w:val="(%1)"/>
      <w:numFmt w:val="lowerLetter"/>
      <w:start w:val="1"/>
    </w:lvl>
  </w:abstractNum>
  <w:abstractNum w:abstractNumId="189">
    <w:nsid w:val="17304A67"/>
    <w:multiLevelType w:val="hybridMultilevel"/>
    <w:lvl w:ilvl="0">
      <w:lvlJc w:val="left"/>
      <w:lvlText w:val="(%1)"/>
      <w:numFmt w:val="decimal"/>
      <w:start w:val="4"/>
    </w:lvl>
  </w:abstractNum>
  <w:abstractNum w:abstractNumId="190">
    <w:nsid w:val="2BB180D8"/>
    <w:multiLevelType w:val="hybridMultilevel"/>
    <w:lvl w:ilvl="0">
      <w:lvlJc w:val="left"/>
      <w:lvlText w:val="%1."/>
      <w:numFmt w:val="decimal"/>
      <w:start w:val="2"/>
    </w:lvl>
  </w:abstractNum>
  <w:abstractNum w:abstractNumId="191">
    <w:nsid w:val="556B69ED"/>
    <w:multiLevelType w:val="hybridMultilevel"/>
    <w:lvl w:ilvl="0">
      <w:lvlJc w:val="left"/>
      <w:lvlText w:val="(%1)"/>
      <w:numFmt w:val="lowerLetter"/>
      <w:start w:val="1"/>
    </w:lvl>
  </w:abstractNum>
  <w:abstractNum w:abstractNumId="192">
    <w:nsid w:val="70836196"/>
    <w:multiLevelType w:val="hybridMultilevel"/>
    <w:lvl w:ilvl="0">
      <w:lvlJc w:val="left"/>
      <w:lvlText w:val="(%1)"/>
      <w:numFmt w:val="lowerLetter"/>
      <w:start w:val="7"/>
    </w:lvl>
  </w:abstractNum>
  <w:abstractNum w:abstractNumId="193">
    <w:nsid w:val="539F7F12"/>
    <w:multiLevelType w:val="hybridMultilevel"/>
    <w:lvl w:ilvl="0">
      <w:lvlJc w:val="left"/>
      <w:lvlText w:val="%1"/>
      <w:numFmt w:val="lowerLetter"/>
      <w:start w:val="1"/>
    </w:lvl>
    <w:lvl w:ilvl="1">
      <w:lvlJc w:val="left"/>
      <w:lvlText w:val="%2."/>
      <w:numFmt w:val="decimal"/>
      <w:start w:val="5"/>
    </w:lvl>
  </w:abstractNum>
  <w:abstractNum w:abstractNumId="194">
    <w:nsid w:val="2817E7EC"/>
    <w:multiLevelType w:val="hybridMultilevel"/>
    <w:lvl w:ilvl="0">
      <w:lvlJc w:val="left"/>
      <w:lvlText w:val="(%1)"/>
      <w:numFmt w:val="lowerLetter"/>
      <w:start w:val="2"/>
    </w:lvl>
    <w:lvl w:ilvl="1">
      <w:lvlJc w:val="left"/>
      <w:lvlText w:val="%2"/>
      <w:numFmt w:val="decimal"/>
      <w:start w:val="1"/>
    </w:lvl>
  </w:abstractNum>
  <w:abstractNum w:abstractNumId="195">
    <w:nsid w:val="71482545"/>
    <w:multiLevelType w:val="hybridMultilevel"/>
    <w:lvl w:ilvl="0">
      <w:lvlJc w:val="left"/>
      <w:lvlText w:val="%1"/>
      <w:numFmt w:val="lowerRoman"/>
      <w:start w:val="1"/>
    </w:lvl>
    <w:lvl w:ilvl="1">
      <w:lvlJc w:val="left"/>
      <w:lvlText w:val="%2."/>
      <w:numFmt w:val="decimal"/>
      <w:start w:val="7"/>
    </w:lvl>
  </w:abstractNum>
  <w:abstractNum w:abstractNumId="196">
    <w:nsid w:val="17D78639"/>
    <w:multiLevelType w:val="hybridMultilevel"/>
    <w:lvl w:ilvl="0">
      <w:lvlJc w:val="left"/>
      <w:lvlText w:val="(%1)"/>
      <w:numFmt w:val="lowerRoman"/>
      <w:start w:val="1"/>
    </w:lvl>
    <w:lvl w:ilvl="1">
      <w:lvlJc w:val="left"/>
      <w:lvlText w:val="%2."/>
      <w:numFmt w:val="decimal"/>
      <w:start w:val="8"/>
    </w:lvl>
  </w:abstractNum>
  <w:abstractNum w:abstractNumId="197">
    <w:nsid w:val="141D2302"/>
    <w:multiLevelType w:val="hybridMultilevel"/>
    <w:lvl w:ilvl="0">
      <w:lvlJc w:val="left"/>
      <w:lvlText w:val="%1."/>
      <w:numFmt w:val="decimal"/>
      <w:start w:val="10"/>
    </w:lvl>
  </w:abstractNum>
  <w:abstractNum w:abstractNumId="198">
    <w:nsid w:val="407168D8"/>
    <w:multiLevelType w:val="hybridMultilevel"/>
    <w:lvl w:ilvl="0">
      <w:lvlJc w:val="left"/>
      <w:lvlText w:val="%1."/>
      <w:numFmt w:val="decimal"/>
      <w:start w:val="14"/>
    </w:lvl>
  </w:abstractNum>
  <w:abstractNum w:abstractNumId="199">
    <w:nsid w:val="6A1B45E5"/>
    <w:multiLevelType w:val="hybridMultilevel"/>
    <w:lvl w:ilvl="0">
      <w:lvlJc w:val="left"/>
      <w:lvlText w:val="%1."/>
      <w:numFmt w:val="decimal"/>
      <w:start w:val="20"/>
    </w:lvl>
  </w:abstractNum>
  <w:abstractNum w:abstractNumId="200">
    <w:nsid w:val="567BD50A"/>
    <w:multiLevelType w:val="hybridMultilevel"/>
    <w:lvl w:ilvl="0">
      <w:lvlJc w:val="left"/>
      <w:lvlText w:val="(%1)"/>
      <w:numFmt w:val="lowerRoman"/>
      <w:start w:val="1"/>
    </w:lvl>
  </w:abstractNum>
  <w:abstractNum w:abstractNumId="201">
    <w:nsid w:val="73BBD7F8"/>
    <w:multiLevelType w:val="hybridMultilevel"/>
    <w:lvl w:ilvl="0">
      <w:lvlJc w:val="left"/>
      <w:lvlText w:val="(%1)"/>
      <w:numFmt w:val="lowerLetter"/>
      <w:start w:val="1"/>
    </w:lvl>
    <w:lvl w:ilvl="1">
      <w:lvlJc w:val="left"/>
      <w:lvlText w:val="(%2)"/>
      <w:numFmt w:val="lowerRoman"/>
      <w:start w:val="1"/>
    </w:lvl>
  </w:abstractNum>
  <w:abstractNum w:abstractNumId="202">
    <w:nsid w:val="1876589D"/>
    <w:multiLevelType w:val="hybridMultilevel"/>
    <w:lvl w:ilvl="0">
      <w:lvlJc w:val="left"/>
      <w:lvlText w:val="(%1)"/>
      <w:numFmt w:val="lowerLetter"/>
      <w:start w:val="2"/>
    </w:lvl>
  </w:abstractNum>
  <w:abstractNum w:abstractNumId="203">
    <w:nsid w:val="327FAC77"/>
    <w:multiLevelType w:val="hybridMultilevel"/>
    <w:lvl w:ilvl="0">
      <w:lvlJc w:val="left"/>
      <w:lvlText w:val="(%1)"/>
      <w:numFmt w:val="lowerLetter"/>
      <w:start w:val="4"/>
    </w:lvl>
  </w:abstractNum>
  <w:abstractNum w:abstractNumId="204">
    <w:nsid w:val="5A606509"/>
    <w:multiLevelType w:val="hybridMultilevel"/>
    <w:lvl w:ilvl="0">
      <w:lvlJc w:val="left"/>
      <w:lvlText w:val="(%1)"/>
      <w:numFmt w:val="lowerRoman"/>
      <w:start w:val="1"/>
    </w:lvl>
  </w:abstractNum>
  <w:abstractNum w:abstractNumId="205">
    <w:nsid w:val="6F38E6D1"/>
    <w:multiLevelType w:val="hybridMultilevel"/>
    <w:lvl w:ilvl="0">
      <w:lvlJc w:val="left"/>
      <w:lvlText w:val="%1."/>
      <w:numFmt w:val="decimal"/>
      <w:start w:val="2"/>
    </w:lvl>
  </w:abstractNum>
  <w:abstractNum w:abstractNumId="206">
    <w:nsid w:val="46111BA5"/>
    <w:multiLevelType w:val="hybridMultilevel"/>
    <w:lvl w:ilvl="0">
      <w:lvlJc w:val="left"/>
      <w:lvlText w:val="(%1)"/>
      <w:numFmt w:val="lowerRoman"/>
      <w:start w:val="1"/>
    </w:lvl>
  </w:abstractNum>
  <w:abstractNum w:abstractNumId="207">
    <w:nsid w:val="5E963896"/>
    <w:multiLevelType w:val="hybridMultilevel"/>
    <w:lvl w:ilvl="0">
      <w:lvlJc w:val="left"/>
      <w:lvlText w:val="(%1)"/>
      <w:numFmt w:val="lowerLetter"/>
      <w:start w:val="2"/>
    </w:lvl>
  </w:abstractNum>
  <w:abstractNum w:abstractNumId="208">
    <w:nsid w:val="775BA7C1"/>
    <w:multiLevelType w:val="hybridMultilevel"/>
    <w:lvl w:ilvl="0">
      <w:lvlJc w:val="left"/>
      <w:lvlText w:val="%1."/>
      <w:numFmt w:val="decimal"/>
      <w:start w:val="3"/>
    </w:lvl>
  </w:abstractNum>
  <w:abstractNum w:abstractNumId="209">
    <w:nsid w:val="1DD6D6F4"/>
    <w:multiLevelType w:val="hybridMultilevel"/>
    <w:lvl w:ilvl="0">
      <w:lvlJc w:val="left"/>
      <w:lvlText w:val="(%1)"/>
      <w:numFmt w:val="lowerLetter"/>
      <w:start w:val="6"/>
    </w:lvl>
  </w:abstractNum>
  <w:abstractNum w:abstractNumId="210">
    <w:nsid w:val="769A091F"/>
    <w:multiLevelType w:val="hybridMultilevel"/>
    <w:lvl w:ilvl="0">
      <w:lvlJc w:val="left"/>
      <w:lvlText w:val="(%1)"/>
      <w:numFmt w:val="lowerLetter"/>
      <w:start w:val="1"/>
    </w:lvl>
  </w:abstractNum>
  <w:abstractNum w:abstractNumId="211">
    <w:nsid w:val="4695AE95"/>
    <w:multiLevelType w:val="hybridMultilevel"/>
    <w:lvl w:ilvl="0">
      <w:lvlJc w:val="left"/>
      <w:lvlText w:val="(%1)"/>
      <w:numFmt w:val="lowerLetter"/>
      <w:start w:val="1"/>
    </w:lvl>
  </w:abstractNum>
  <w:abstractNum w:abstractNumId="212">
    <w:nsid w:val="777A4EAA"/>
    <w:multiLevelType w:val="hybridMultilevel"/>
    <w:lvl w:ilvl="0">
      <w:lvlJc w:val="left"/>
      <w:lvlText w:val="(%1)"/>
      <w:numFmt w:val="lowerRoman"/>
      <w:start w:val="1"/>
    </w:lvl>
  </w:abstractNum>
  <w:abstractNum w:abstractNumId="213">
    <w:nsid w:val="3F48B982"/>
    <w:multiLevelType w:val="hybridMultilevel"/>
    <w:lvl w:ilvl="0">
      <w:lvlJc w:val="left"/>
      <w:lvlText w:val="%1."/>
      <w:numFmt w:val="decimal"/>
      <w:start w:val="4"/>
    </w:lvl>
  </w:abstractNum>
  <w:abstractNum w:abstractNumId="214">
    <w:nsid w:val="46BA8FCA"/>
    <w:multiLevelType w:val="hybridMultilevel"/>
    <w:lvl w:ilvl="0">
      <w:lvlJc w:val="left"/>
      <w:lvlText w:val="%1."/>
      <w:numFmt w:val="decimal"/>
      <w:start w:val="5"/>
    </w:lvl>
  </w:abstractNum>
  <w:abstractNum w:abstractNumId="215">
    <w:nsid w:val="7835626C"/>
    <w:multiLevelType w:val="hybridMultilevel"/>
    <w:lvl w:ilvl="0">
      <w:lvlJc w:val="left"/>
      <w:lvlText w:val="(%1)"/>
      <w:numFmt w:val="lowerLetter"/>
      <w:start w:val="1"/>
    </w:lvl>
  </w:abstractNum>
  <w:abstractNum w:abstractNumId="216">
    <w:nsid w:val="665ACA49"/>
    <w:multiLevelType w:val="hybridMultilevel"/>
    <w:lvl w:ilvl="0">
      <w:lvlJc w:val="left"/>
      <w:lvlText w:val="(%1)"/>
      <w:numFmt w:val="lowerLetter"/>
      <w:start w:val="9"/>
    </w:lvl>
  </w:abstractNum>
  <w:abstractNum w:abstractNumId="217">
    <w:nsid w:val="6835B2AE"/>
    <w:multiLevelType w:val="hybridMultilevel"/>
    <w:lvl w:ilvl="0">
      <w:lvlJc w:val="left"/>
      <w:lvlText w:val="(%1)"/>
      <w:numFmt w:val="lowerLetter"/>
      <w:start w:val="2"/>
    </w:lvl>
  </w:abstractNum>
  <w:abstractNum w:abstractNumId="218">
    <w:nsid w:val="4C187C90"/>
    <w:multiLevelType w:val="hybridMultilevel"/>
    <w:lvl w:ilvl="0">
      <w:lvlJc w:val="left"/>
      <w:lvlText w:val="(%1)"/>
      <w:numFmt w:val="lowerRoman"/>
      <w:start w:val="1"/>
    </w:lvl>
  </w:abstractNum>
  <w:abstractNum w:abstractNumId="219">
    <w:nsid w:val="541F28CD"/>
    <w:multiLevelType w:val="hybridMultilevel"/>
    <w:lvl w:ilvl="0">
      <w:lvlJc w:val="left"/>
      <w:lvlText w:val="(%1)"/>
      <w:numFmt w:val="lowerLetter"/>
      <w:start w:val="1"/>
    </w:lvl>
  </w:abstractNum>
  <w:abstractNum w:abstractNumId="220">
    <w:nsid w:val="7F65FD16"/>
    <w:multiLevelType w:val="hybridMultilevel"/>
    <w:lvl w:ilvl="0">
      <w:lvlJc w:val="left"/>
      <w:lvlText w:val="(%1)"/>
      <w:numFmt w:val="lowerLetter"/>
      <w:start w:val="2"/>
    </w:lvl>
  </w:abstractNum>
  <w:abstractNum w:abstractNumId="221">
    <w:nsid w:val="77C9FD68"/>
    <w:multiLevelType w:val="hybridMultilevel"/>
    <w:lvl w:ilvl="0">
      <w:lvlJc w:val="left"/>
      <w:lvlText w:val="(%1)"/>
      <w:numFmt w:val="lowerLetter"/>
      <w:start w:val="35"/>
    </w:lvl>
  </w:abstractNum>
  <w:abstractNum w:abstractNumId="222">
    <w:nsid w:val="298A92BA"/>
    <w:multiLevelType w:val="hybridMultilevel"/>
    <w:lvl w:ilvl="0">
      <w:lvlJc w:val="left"/>
      <w:lvlText w:val="(%1)"/>
      <w:numFmt w:val="upperLetter"/>
      <w:start w:val="1"/>
    </w:lvl>
  </w:abstractNum>
  <w:abstractNum w:abstractNumId="223">
    <w:nsid w:val="6FE95EAC"/>
    <w:multiLevelType w:val="hybridMultilevel"/>
    <w:lvl w:ilvl="0">
      <w:lvlJc w:val="left"/>
      <w:lvlText w:val="%1."/>
      <w:numFmt w:val="decimal"/>
      <w:start w:val="6"/>
    </w:lvl>
  </w:abstractNum>
  <w:abstractNum w:abstractNumId="224">
    <w:nsid w:val="4B697C7A"/>
    <w:multiLevelType w:val="hybridMultilevel"/>
    <w:lvl w:ilvl="0">
      <w:lvlJc w:val="left"/>
      <w:lvlText w:val="(%1)"/>
      <w:numFmt w:val="lowerLetter"/>
      <w:start w:val="1"/>
    </w:lvl>
  </w:abstractNum>
  <w:abstractNum w:abstractNumId="225">
    <w:nsid w:val="51A27AA6"/>
    <w:multiLevelType w:val="hybridMultilevel"/>
    <w:lvl w:ilvl="0">
      <w:lvlJc w:val="left"/>
      <w:lvlText w:val="(%1)"/>
      <w:numFmt w:val="lowerLetter"/>
      <w:start w:val="9"/>
    </w:lvl>
  </w:abstractNum>
  <w:abstractNum w:abstractNumId="226">
    <w:nsid w:val="613183F2"/>
    <w:multiLevelType w:val="hybridMultilevel"/>
    <w:lvl w:ilvl="0">
      <w:lvlJc w:val="left"/>
      <w:lvlText w:val="(%1)"/>
      <w:numFmt w:val="lowerLetter"/>
      <w:start w:val="1"/>
    </w:lvl>
  </w:abstractNum>
  <w:abstractNum w:abstractNumId="227">
    <w:nsid w:val="634102B4"/>
    <w:multiLevelType w:val="hybridMultilevel"/>
    <w:lvl w:ilvl="0">
      <w:lvlJc w:val="left"/>
      <w:lvlText w:val="(%1)"/>
      <w:numFmt w:val="lowerLetter"/>
      <w:start w:val="2"/>
    </w:lvl>
  </w:abstractNum>
  <w:abstractNum w:abstractNumId="228">
    <w:nsid w:val="65BF9DA8"/>
    <w:multiLevelType w:val="hybridMultilevel"/>
    <w:lvl w:ilvl="0">
      <w:lvlJc w:val="left"/>
      <w:lvlText w:val="(%1)"/>
      <w:numFmt w:val="lowerRoman"/>
      <w:start w:val="1"/>
    </w:lvl>
  </w:abstractNum>
  <w:abstractNum w:abstractNumId="229">
    <w:nsid w:val="21A2ECCA"/>
    <w:multiLevelType w:val="hybridMultilevel"/>
    <w:lvl w:ilvl="0">
      <w:lvlJc w:val="left"/>
      <w:lvlText w:val="(%1)"/>
      <w:numFmt w:val="lowerLetter"/>
      <w:start w:val="1"/>
    </w:lvl>
  </w:abstractNum>
  <w:abstractNum w:abstractNumId="230">
    <w:nsid w:val="4D5C4899"/>
    <w:multiLevelType w:val="hybridMultilevel"/>
    <w:lvl w:ilvl="0">
      <w:lvlJc w:val="left"/>
      <w:lvlText w:val="(%1)"/>
      <w:numFmt w:val="lowerLetter"/>
      <w:start w:val="2"/>
    </w:lvl>
  </w:abstractNum>
  <w:abstractNum w:abstractNumId="231">
    <w:nsid w:val="3C3B72B2"/>
    <w:multiLevelType w:val="hybridMultilevel"/>
    <w:lvl w:ilvl="0">
      <w:lvlJc w:val="left"/>
      <w:lvlText w:val="(%1)"/>
      <w:numFmt w:val="lowerLetter"/>
      <w:start w:val="1"/>
    </w:lvl>
  </w:abstractNum>
  <w:abstractNum w:abstractNumId="232">
    <w:nsid w:val="155EC4C2"/>
    <w:multiLevelType w:val="hybridMultilevel"/>
    <w:lvl w:ilvl="0">
      <w:lvlJc w:val="left"/>
      <w:lvlText w:val="(%1)"/>
      <w:numFmt w:val="lowerRoman"/>
      <w:start w:val="1"/>
    </w:lvl>
  </w:abstractNum>
  <w:abstractNum w:abstractNumId="233">
    <w:nsid w:val="65D2A137"/>
    <w:multiLevelType w:val="hybridMultilevel"/>
    <w:lvl w:ilvl="0">
      <w:lvlJc w:val="left"/>
      <w:lvlText w:val="(%1)"/>
      <w:numFmt w:val="lowerLetter"/>
      <w:start w:val="1"/>
    </w:lvl>
  </w:abstractNum>
  <w:abstractNum w:abstractNumId="234">
    <w:nsid w:val="6EBB1F2A"/>
    <w:multiLevelType w:val="hybridMultilevel"/>
    <w:lvl w:ilvl="0">
      <w:lvlJc w:val="left"/>
      <w:lvlText w:val="(%1)"/>
      <w:numFmt w:val="lowerLetter"/>
      <w:start w:val="2"/>
    </w:lvl>
  </w:abstractNum>
  <w:abstractNum w:abstractNumId="235">
    <w:nsid w:val="6FBF29CB"/>
    <w:multiLevelType w:val="hybridMultilevel"/>
    <w:lvl w:ilvl="0">
      <w:lvlJc w:val="left"/>
      <w:lvlText w:val="(%1)"/>
      <w:numFmt w:val="lowerLetter"/>
      <w:start w:val="9"/>
    </w:lvl>
  </w:abstractNum>
  <w:abstractNum w:abstractNumId="236">
    <w:nsid w:val="550B8808"/>
    <w:multiLevelType w:val="hybridMultilevel"/>
    <w:lvl w:ilvl="0">
      <w:lvlJc w:val="left"/>
      <w:lvlText w:val="(%1)"/>
      <w:numFmt w:val="lowerLetter"/>
      <w:start w:val="1"/>
    </w:lvl>
  </w:abstractNum>
  <w:abstractNum w:abstractNumId="237">
    <w:nsid w:val="34CC3ACF"/>
    <w:multiLevelType w:val="hybridMultilevel"/>
    <w:lvl w:ilvl="0">
      <w:lvlJc w:val="left"/>
      <w:lvlText w:val="(%1)"/>
      <w:numFmt w:val="lowerLetter"/>
      <w:start w:val="4"/>
    </w:lvl>
  </w:abstractNum>
  <w:abstractNum w:abstractNumId="238">
    <w:nsid w:val="4E556261"/>
    <w:multiLevelType w:val="hybridMultilevel"/>
    <w:lvl w:ilvl="0">
      <w:lvlJc w:val="left"/>
      <w:lvlText w:val="(%1)"/>
      <w:numFmt w:val="lowerRoman"/>
      <w:start w:val="1"/>
    </w:lvl>
  </w:abstractNum>
  <w:abstractNum w:abstractNumId="239">
    <w:nsid w:val="4C672FC9"/>
    <w:multiLevelType w:val="hybridMultilevel"/>
    <w:lvl w:ilvl="0">
      <w:lvlJc w:val="left"/>
      <w:lvlText w:val="(%1)"/>
      <w:numFmt w:val="lowerRoman"/>
      <w:start w:val="1"/>
    </w:lvl>
  </w:abstractNum>
  <w:abstractNum w:abstractNumId="240">
    <w:nsid w:val="52A311C3"/>
    <w:multiLevelType w:val="hybridMultilevel"/>
    <w:lvl w:ilvl="0">
      <w:lvlJc w:val="left"/>
      <w:lvlText w:val="(%1)"/>
      <w:numFmt w:val="lowerLetter"/>
      <w:start w:val="1"/>
    </w:lvl>
  </w:abstractNum>
  <w:abstractNum w:abstractNumId="241">
    <w:nsid w:val="44EF6B80"/>
    <w:multiLevelType w:val="hybridMultilevel"/>
    <w:lvl w:ilvl="0">
      <w:lvlJc w:val="left"/>
      <w:lvlText w:val="(%1)"/>
      <w:numFmt w:val="lowerLetter"/>
      <w:start w:val="3"/>
    </w:lvl>
  </w:abstractNum>
  <w:abstractNum w:abstractNumId="242">
    <w:nsid w:val="12FCDE5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43">
    <w:nsid w:val="4A1D606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44">
    <w:nsid w:val="4382503"/>
    <w:multiLevelType w:val="hybridMultilevel"/>
    <w:lvl w:ilvl="0">
      <w:lvlJc w:val="left"/>
      <w:lvlText w:val="%1"/>
      <w:numFmt w:val="lowerRoman"/>
      <w:start w:val="1"/>
    </w:lvl>
    <w:lvl w:ilvl="1">
      <w:lvlJc w:val="left"/>
      <w:lvlText w:val="(%2)"/>
      <w:numFmt w:val="lowerLetter"/>
      <w:start w:val="4"/>
    </w:lvl>
  </w:abstractNum>
  <w:abstractNum w:abstractNumId="245">
    <w:nsid w:val="59B76E28"/>
    <w:multiLevelType w:val="hybridMultilevel"/>
    <w:lvl w:ilvl="0">
      <w:lvlJc w:val="left"/>
      <w:lvlText w:val="(%1)"/>
      <w:numFmt w:val="lowerRoman"/>
      <w:start w:val="4"/>
    </w:lvl>
    <w:lvl w:ilvl="1">
      <w:lvlJc w:val="left"/>
      <w:lvlText w:val="(%2)"/>
      <w:numFmt w:val="lowerLetter"/>
      <w:start w:val="5"/>
    </w:lvl>
  </w:abstractNum>
  <w:abstractNum w:abstractNumId="246">
    <w:nsid w:val="4252C2DA"/>
    <w:multiLevelType w:val="hybridMultilevel"/>
    <w:lvl w:ilvl="0">
      <w:lvlJc w:val="left"/>
      <w:lvlText w:val="(%1)"/>
      <w:numFmt w:val="lowerLetter"/>
      <w:start w:val="6"/>
    </w:lvl>
    <w:lvl w:ilvl="1">
      <w:lvlJc w:val="left"/>
      <w:lvlText w:val="(%2)"/>
      <w:numFmt w:val="lowerLetter"/>
      <w:start w:val="7"/>
    </w:lvl>
  </w:abstractNum>
  <w:abstractNum w:abstractNumId="247">
    <w:nsid w:val="6A92EF4C"/>
    <w:multiLevelType w:val="hybridMultilevel"/>
    <w:lvl w:ilvl="0">
      <w:lvlJc w:val="left"/>
      <w:lvlText w:val="%1"/>
      <w:numFmt w:val="decimal"/>
      <w:start w:val="1"/>
    </w:lvl>
    <w:lvl w:ilvl="1">
      <w:lvlJc w:val="left"/>
      <w:lvlText w:val="(%2)"/>
      <w:numFmt w:val="lowerLetter"/>
      <w:start w:val="8"/>
    </w:lvl>
  </w:abstractNum>
  <w:abstractNum w:abstractNumId="248">
    <w:nsid w:val="41ED20D7"/>
    <w:multiLevelType w:val="hybridMultilevel"/>
    <w:lvl w:ilvl="0">
      <w:lvlJc w:val="left"/>
      <w:lvlText w:val="%1."/>
      <w:numFmt w:val="decimal"/>
      <w:start w:val="3"/>
    </w:lvl>
    <w:lvl w:ilvl="1">
      <w:lvlJc w:val="left"/>
      <w:lvlText w:val="%2"/>
      <w:numFmt w:val="lowerLetter"/>
      <w:start w:val="1"/>
    </w:lvl>
  </w:abstractNum>
  <w:abstractNum w:abstractNumId="249">
    <w:nsid w:val="E6B3F6A"/>
    <w:multiLevelType w:val="hybridMultilevel"/>
    <w:lvl w:ilvl="0">
      <w:lvlJc w:val="left"/>
      <w:lvlText w:val="(%1)"/>
      <w:numFmt w:val="lowerLetter"/>
      <w:start w:val="1"/>
    </w:lvl>
  </w:abstractNum>
  <w:abstractNum w:abstractNumId="250">
    <w:nsid w:val="3EB21819"/>
    <w:multiLevelType w:val="hybridMultilevel"/>
    <w:lvl w:ilvl="0">
      <w:lvlJc w:val="left"/>
      <w:lvlText w:val="%1"/>
      <w:numFmt w:val="lowerLetter"/>
      <w:start w:val="1"/>
    </w:lvl>
    <w:lvl w:ilvl="1">
      <w:lvlJc w:val="left"/>
      <w:lvlText w:val="(%2)"/>
      <w:numFmt w:val="lowerLetter"/>
      <w:start w:val="5"/>
    </w:lvl>
  </w:abstractNum>
  <w:abstractNum w:abstractNumId="251">
    <w:nsid w:val="41531DED"/>
    <w:multiLevelType w:val="hybridMultilevel"/>
    <w:lvl w:ilvl="0">
      <w:lvlJc w:val="left"/>
      <w:lvlText w:val="(%1)"/>
      <w:numFmt w:val="lowerLetter"/>
      <w:start w:val="9"/>
    </w:lvl>
    <w:lvl w:ilvl="1">
      <w:lvlJc w:val="left"/>
      <w:lvlText w:val="(%2)"/>
      <w:numFmt w:val="lowerLetter"/>
      <w:start w:val="6"/>
    </w:lvl>
  </w:abstractNum>
  <w:abstractNum w:abstractNumId="252">
    <w:nsid w:val="6353CD2"/>
    <w:multiLevelType w:val="hybridMultilevel"/>
    <w:lvl w:ilvl="0">
      <w:lvlJc w:val="left"/>
      <w:lvlText w:val="%1"/>
      <w:numFmt w:val="lowerLetter"/>
      <w:start w:val="1"/>
    </w:lvl>
    <w:lvl w:ilvl="1">
      <w:lvlJc w:val="left"/>
      <w:lvlText w:val="(%2)"/>
      <w:numFmt w:val="lowerLetter"/>
      <w:start w:val="8"/>
    </w:lvl>
  </w:abstractNum>
  <w:abstractNum w:abstractNumId="253">
    <w:nsid w:val="683CAAD3"/>
    <w:multiLevelType w:val="hybridMultilevel"/>
    <w:lvl w:ilvl="0">
      <w:lvlJc w:val="left"/>
      <w:lvlText w:val="(%1)"/>
      <w:numFmt w:val="lowerLetter"/>
      <w:start w:val="61"/>
    </w:lvl>
    <w:lvl w:ilvl="1">
      <w:lvlJc w:val="left"/>
      <w:lvlText w:val="(%2)"/>
      <w:numFmt w:val="lowerLetter"/>
      <w:start w:val="11"/>
    </w:lvl>
  </w:abstractNum>
  <w:abstractNum w:abstractNumId="254">
    <w:nsid w:val="313C7C99"/>
    <w:multiLevelType w:val="hybridMultilevel"/>
    <w:lvl w:ilvl="0">
      <w:lvlJc w:val="left"/>
      <w:lvlText w:val="%1."/>
      <w:numFmt w:val="decimal"/>
      <w:start w:val="4"/>
    </w:lvl>
    <w:lvl w:ilvl="1">
      <w:lvlJc w:val="left"/>
      <w:lvlText w:val="(%2)"/>
      <w:numFmt w:val="lowerLetter"/>
      <w:start w:val="1"/>
    </w:lvl>
  </w:abstractNum>
  <w:abstractNum w:abstractNumId="255">
    <w:nsid w:val="519EB94C"/>
    <w:multiLevelType w:val="hybridMultilevel"/>
    <w:lvl w:ilvl="0">
      <w:lvlJc w:val="left"/>
      <w:lvlText w:val="%1."/>
      <w:numFmt w:val="decimal"/>
      <w:start w:val="6"/>
    </w:lvl>
    <w:lvl w:ilvl="1">
      <w:lvlJc w:val="left"/>
      <w:lvlText w:val="(%2)"/>
      <w:numFmt w:val="lowerLetter"/>
      <w:start w:val="1"/>
    </w:lvl>
  </w:abstractNum>
  <w:abstractNum w:abstractNumId="256">
    <w:nsid w:val="39DF2579"/>
    <w:multiLevelType w:val="hybridMultilevel"/>
    <w:lvl w:ilvl="0">
      <w:lvlJc w:val="left"/>
      <w:lvlText w:val="(%1)"/>
      <w:numFmt w:val="upperLetter"/>
      <w:start w:val="4"/>
    </w:lvl>
    <w:lvl w:ilvl="1">
      <w:lvlJc w:val="left"/>
      <w:lvlText w:val="(%2)"/>
      <w:numFmt w:val="lowerLetter"/>
      <w:start w:val="2"/>
    </w:lvl>
  </w:abstractNum>
  <w:abstractNum w:abstractNumId="257">
    <w:nsid w:val="126E008B"/>
    <w:multiLevelType w:val="hybridMultilevel"/>
    <w:lvl w:ilvl="0">
      <w:lvlJc w:val="left"/>
      <w:lvlText w:val="%1"/>
      <w:numFmt w:val="decimal"/>
      <w:start w:val="1"/>
    </w:lvl>
    <w:lvl w:ilvl="1">
      <w:lvlJc w:val="left"/>
      <w:lvlText w:val="(%2)"/>
      <w:numFmt w:val="lowerLetter"/>
      <w:start w:val="4"/>
    </w:lvl>
  </w:abstractNum>
  <w:abstractNum w:abstractNumId="258">
    <w:nsid w:val="34DFBC00"/>
    <w:multiLevelType w:val="hybridMultilevel"/>
    <w:lvl w:ilvl="0">
      <w:lvlJc w:val="left"/>
      <w:lvlText w:val="%1."/>
      <w:numFmt w:val="decimal"/>
      <w:start w:val="7"/>
    </w:lvl>
    <w:lvl w:ilvl="1">
      <w:lvlJc w:val="left"/>
      <w:lvlText w:val="%2"/>
      <w:numFmt w:val="lowerLetter"/>
      <w:start w:val="1"/>
    </w:lvl>
  </w:abstractNum>
  <w:abstractNum w:abstractNumId="259">
    <w:nsid w:val="1F9EC32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60">
    <w:nsid w:val="3410ED56"/>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261">
    <w:nsid w:val="23C049A"/>
    <w:multiLevelType w:val="hybridMultilevel"/>
    <w:lvl w:ilvl="0">
      <w:lvlJc w:val="left"/>
      <w:lvlText w:val="%1."/>
      <w:numFmt w:val="lowerRoman"/>
      <w:start w:val="2"/>
    </w:lvl>
  </w:abstractNum>
  <w:abstractNum w:abstractNumId="262">
    <w:nsid w:val="5BDA35D4"/>
    <w:multiLevelType w:val="hybridMultilevel"/>
    <w:lvl w:ilvl="0">
      <w:lvlJc w:val="left"/>
      <w:lvlText w:val="(%1)"/>
      <w:numFmt w:val="lowerLetter"/>
      <w:start w:val="2"/>
    </w:lvl>
  </w:abstractNum>
  <w:abstractNum w:abstractNumId="263">
    <w:nsid w:val="496FB218"/>
    <w:multiLevelType w:val="hybridMultilevel"/>
    <w:lvl w:ilvl="0">
      <w:lvlJc w:val="left"/>
      <w:lvlText w:val="(%1)"/>
      <w:numFmt w:val="lowerLetter"/>
      <w:start w:val="13"/>
    </w:lvl>
  </w:abstractNum>
  <w:abstractNum w:abstractNumId="264">
    <w:nsid w:val="680EA5D1"/>
    <w:multiLevelType w:val="hybridMultilevel"/>
    <w:lvl w:ilvl="0">
      <w:lvlJc w:val="left"/>
      <w:lvlText w:val="•"/>
      <w:numFmt w:val="bullet"/>
      <w:start w:val="1"/>
    </w:lvl>
  </w:abstractNum>
  <w:abstractNum w:abstractNumId="265">
    <w:nsid w:val="4A9554FE"/>
    <w:multiLevelType w:val="hybridMultilevel"/>
    <w:lvl w:ilvl="0">
      <w:lvlJc w:val="left"/>
      <w:lvlText w:val="1"/>
      <w:numFmt w:val="bullet"/>
      <w:start w:val="1"/>
    </w:lvl>
  </w:abstractNum>
  <w:abstractNum w:abstractNumId="266">
    <w:nsid w:val="392EDBE4"/>
    <w:multiLevelType w:val="hybridMultilevel"/>
    <w:lvl w:ilvl="0">
      <w:lvlJc w:val="left"/>
      <w:lvlText w:val="%1."/>
      <w:numFmt w:val="decimal"/>
      <w:start w:val="1"/>
    </w:lvl>
  </w:abstractNum>
  <w:abstractNum w:abstractNumId="267">
    <w:nsid w:val="3D1A2DD9"/>
    <w:multiLevelType w:val="hybridMultilevel"/>
    <w:lvl w:ilvl="0">
      <w:lvlJc w:val="left"/>
      <w:lvlText w:val="(%1)"/>
      <w:numFmt w:val="lowerLetter"/>
      <w:start w:val="1"/>
    </w:lvl>
  </w:abstractNum>
  <w:abstractNum w:abstractNumId="268">
    <w:nsid w:val="7F618FCD"/>
    <w:multiLevelType w:val="hybridMultilevel"/>
    <w:lvl w:ilvl="0">
      <w:lvlJc w:val="left"/>
      <w:lvlText w:val="%1."/>
      <w:numFmt w:val="decimal"/>
      <w:start w:val="2"/>
    </w:lvl>
  </w:abstractNum>
  <w:abstractNum w:abstractNumId="269">
    <w:nsid w:val="7843E45"/>
    <w:multiLevelType w:val="hybridMultilevel"/>
    <w:lvl w:ilvl="0">
      <w:lvlJc w:val="left"/>
      <w:lvlText w:val="%1."/>
      <w:numFmt w:val="decimal"/>
      <w:start w:val="3"/>
    </w:lvl>
  </w:abstractNum>
  <w:abstractNum w:abstractNumId="270">
    <w:nsid w:val="9815DA3"/>
    <w:multiLevelType w:val="hybridMultilevel"/>
    <w:lvl w:ilvl="0">
      <w:lvlJc w:val="left"/>
      <w:lvlText w:val="(%1)"/>
      <w:numFmt w:val="lowerLetter"/>
      <w:start w:val="1"/>
    </w:lvl>
  </w:abstractNum>
  <w:abstractNum w:abstractNumId="271">
    <w:nsid w:val="5204A191"/>
    <w:multiLevelType w:val="hybridMultilevel"/>
    <w:lvl w:ilvl="0">
      <w:lvlJc w:val="left"/>
      <w:lvlText w:val="(%1)"/>
      <w:numFmt w:val="lowerLetter"/>
      <w:start w:val="2"/>
    </w:lvl>
  </w:abstractNum>
  <w:abstractNum w:abstractNumId="272">
    <w:nsid w:val="4C73A9C6"/>
    <w:multiLevelType w:val="hybridMultilevel"/>
    <w:lvl w:ilvl="0">
      <w:lvlJc w:val="left"/>
      <w:lvlText w:val="(%1)"/>
      <w:numFmt w:val="lowerLetter"/>
      <w:start w:val="3"/>
    </w:lvl>
  </w:abstractNum>
  <w:abstractNum w:abstractNumId="273">
    <w:nsid w:val="1C7E3C01"/>
    <w:multiLevelType w:val="hybridMultilevel"/>
    <w:lvl w:ilvl="0">
      <w:lvlJc w:val="left"/>
      <w:lvlText w:val="%1."/>
      <w:numFmt w:val="decimal"/>
      <w:start w:val="4"/>
    </w:lvl>
  </w:abstractNum>
  <w:abstractNum w:abstractNumId="274">
    <w:nsid w:val="1C2201FF"/>
    <w:multiLevelType w:val="hybridMultilevel"/>
    <w:lvl w:ilvl="0">
      <w:lvlJc w:val="left"/>
      <w:lvlText w:val="(%1)"/>
      <w:numFmt w:val="lowerLetter"/>
      <w:start w:val="1"/>
    </w:lvl>
  </w:abstractNum>
  <w:abstractNum w:abstractNumId="275">
    <w:nsid w:val="50ABCEC9"/>
    <w:multiLevelType w:val="hybridMultilevel"/>
    <w:lvl w:ilvl="0">
      <w:lvlJc w:val="left"/>
      <w:lvlText w:val="%1."/>
      <w:numFmt w:val="decimal"/>
      <w:start w:val="5"/>
    </w:lvl>
  </w:abstractNum>
  <w:abstractNum w:abstractNumId="276">
    <w:nsid w:val="7635AA2A"/>
    <w:multiLevelType w:val="hybridMultilevel"/>
    <w:lvl w:ilvl="0">
      <w:lvlJc w:val="left"/>
      <w:lvlText w:val="(%1)"/>
      <w:numFmt w:val="lowerLetter"/>
      <w:start w:val="1"/>
    </w:lvl>
  </w:abstractNum>
  <w:abstractNum w:abstractNumId="277">
    <w:nsid w:val="5E74C4D9"/>
    <w:multiLevelType w:val="hybridMultilevel"/>
    <w:lvl w:ilvl="0">
      <w:lvlJc w:val="left"/>
      <w:lvlText w:val="(%1)"/>
      <w:numFmt w:val="lowerLetter"/>
      <w:start w:val="2"/>
    </w:lvl>
  </w:abstractNum>
  <w:abstractNum w:abstractNumId="278">
    <w:nsid w:val="3B3EBE15"/>
    <w:multiLevelType w:val="hybridMultilevel"/>
    <w:lvl w:ilvl="0">
      <w:lvlJc w:val="left"/>
      <w:lvlText w:val="(%1)"/>
      <w:numFmt w:val="lowerLetter"/>
      <w:start w:val="1"/>
    </w:lvl>
  </w:abstractNum>
  <w:abstractNum w:abstractNumId="279">
    <w:nsid w:val="3822CB01"/>
    <w:multiLevelType w:val="hybridMultilevel"/>
    <w:lvl w:ilvl="0">
      <w:lvlJc w:val="left"/>
      <w:lvlText w:val="(%1)"/>
      <w:numFmt w:val="lowerLetter"/>
      <w:start w:val="1"/>
    </w:lvl>
  </w:abstractNum>
  <w:abstractNum w:abstractNumId="280">
    <w:nsid w:val="6CE00443"/>
    <w:multiLevelType w:val="hybridMultilevel"/>
    <w:lvl w:ilvl="0">
      <w:lvlJc w:val="left"/>
      <w:lvlText w:val="(%1)"/>
      <w:numFmt w:val="lowerLetter"/>
      <w:start w:val="3"/>
    </w:lvl>
  </w:abstractNum>
  <w:abstractNum w:abstractNumId="281">
    <w:nsid w:val="79F0D62F"/>
    <w:multiLevelType w:val="hybridMultilevel"/>
    <w:lvl w:ilvl="0">
      <w:lvlJc w:val="left"/>
      <w:lvlText w:val="(%1)"/>
      <w:numFmt w:val="lowerLetter"/>
      <w:start w:val="1"/>
    </w:lvl>
  </w:abstractNum>
  <w:abstractNum w:abstractNumId="282">
    <w:nsid w:val="7975E8EE"/>
    <w:multiLevelType w:val="hybridMultilevel"/>
    <w:lvl w:ilvl="0">
      <w:lvlJc w:val="left"/>
      <w:lvlText w:val="(%1)"/>
      <w:numFmt w:val="lowerLetter"/>
      <w:start w:val="3"/>
    </w:lvl>
  </w:abstractNum>
  <w:abstractNum w:abstractNumId="283">
    <w:nsid w:val="73154115"/>
    <w:multiLevelType w:val="hybridMultilevel"/>
    <w:lvl w:ilvl="0">
      <w:lvlJc w:val="left"/>
      <w:lvlText w:val="(%1)"/>
      <w:numFmt w:val="lowerLetter"/>
      <w:start w:val="7"/>
    </w:lvl>
  </w:abstractNum>
  <w:abstractNum w:abstractNumId="284">
    <w:nsid w:val="622D8102"/>
    <w:multiLevelType w:val="hybridMultilevel"/>
    <w:lvl w:ilvl="0">
      <w:lvlJc w:val="left"/>
      <w:lvlText w:val="(%1)"/>
      <w:numFmt w:val="lowerLetter"/>
      <w:start w:val="1"/>
    </w:lvl>
  </w:abstractNum>
  <w:abstractNum w:abstractNumId="285">
    <w:nsid w:val="2AB26587"/>
    <w:multiLevelType w:val="hybridMultilevel"/>
    <w:lvl w:ilvl="0">
      <w:lvlJc w:val="left"/>
      <w:lvlText w:val="(%1)"/>
      <w:numFmt w:val="lowerLetter"/>
      <w:start w:val="1"/>
    </w:lvl>
  </w:abstractNum>
  <w:abstractNum w:abstractNumId="286">
    <w:nsid w:val="44B3FA61"/>
    <w:multiLevelType w:val="hybridMultilevel"/>
    <w:lvl w:ilvl="0">
      <w:lvlJc w:val="left"/>
      <w:lvlText w:val="(%1)"/>
      <w:numFmt w:val="lowerLetter"/>
      <w:start w:val="1"/>
    </w:lvl>
  </w:abstractNum>
  <w:abstractNum w:abstractNumId="287">
    <w:nsid w:val="1C0CA67C"/>
    <w:multiLevelType w:val="hybridMultilevel"/>
    <w:lvl w:ilvl="0">
      <w:lvlJc w:val="left"/>
      <w:lvlText w:val="(%1)"/>
      <w:numFmt w:val="lowerLetter"/>
      <w:start w:val="6"/>
    </w:lvl>
  </w:abstractNum>
  <w:abstractNum w:abstractNumId="288">
    <w:nsid w:val="3D206613"/>
    <w:multiLevelType w:val="hybridMultilevel"/>
    <w:lvl w:ilvl="0">
      <w:lvlJc w:val="left"/>
      <w:lvlText w:val="(%1)"/>
      <w:numFmt w:val="lowerLetter"/>
      <w:start w:val="1"/>
    </w:lvl>
  </w:abstractNum>
  <w:abstractNum w:abstractNumId="289">
    <w:nsid w:val="7993B662"/>
    <w:multiLevelType w:val="hybridMultilevel"/>
    <w:lvl w:ilvl="0">
      <w:lvlJc w:val="left"/>
      <w:lvlText w:val="(%1)"/>
      <w:numFmt w:val="lowerLetter"/>
      <w:start w:val="3"/>
    </w:lvl>
  </w:abstractNum>
  <w:abstractNum w:abstractNumId="290">
    <w:nsid w:val="3BAB699E"/>
    <w:multiLevelType w:val="hybridMultilevel"/>
    <w:lvl w:ilvl="0">
      <w:lvlJc w:val="left"/>
      <w:lvlText w:val="(%1)"/>
      <w:numFmt w:val="lowerLetter"/>
      <w:start w:val="1"/>
    </w:lvl>
  </w:abstractNum>
  <w:abstractNum w:abstractNumId="291">
    <w:nsid w:val="71315369"/>
    <w:multiLevelType w:val="hybridMultilevel"/>
    <w:lvl w:ilvl="0">
      <w:lvlJc w:val="left"/>
      <w:lvlText w:val="(%1)"/>
      <w:numFmt w:val="lowerLetter"/>
      <w:start w:val="1"/>
    </w:lvl>
  </w:abstractNum>
  <w:abstractNum w:abstractNumId="292">
    <w:nsid w:val="7BCFBAFC"/>
    <w:multiLevelType w:val="hybridMultilevel"/>
    <w:lvl w:ilvl="0">
      <w:lvlJc w:val="left"/>
      <w:lvlText w:val="(%1)"/>
      <w:numFmt w:val="lowerLetter"/>
      <w:start w:val="1"/>
    </w:lvl>
    <w:lvl w:ilvl="1">
      <w:lvlJc w:val="left"/>
      <w:lvlText w:val="(%2)"/>
      <w:numFmt w:val="lowerRoman"/>
      <w:start w:val="1"/>
    </w:lvl>
  </w:abstractNum>
  <w:abstractNum w:abstractNumId="293">
    <w:nsid w:val="17859F72"/>
    <w:multiLevelType w:val="hybridMultilevel"/>
    <w:lvl w:ilvl="0">
      <w:lvlJc w:val="left"/>
      <w:lvlText w:val="(%1)"/>
      <w:numFmt w:val="lowerLetter"/>
      <w:start w:val="1"/>
    </w:lvl>
  </w:abstractNum>
  <w:abstractNum w:abstractNumId="294">
    <w:nsid w:val="3AA10581"/>
    <w:multiLevelType w:val="hybridMultilevel"/>
    <w:lvl w:ilvl="0">
      <w:lvlJc w:val="left"/>
      <w:lvlText w:val="(%1)"/>
      <w:numFmt w:val="lowerLetter"/>
      <w:start w:val="1"/>
    </w:lvl>
  </w:abstractNum>
  <w:abstractNum w:abstractNumId="295">
    <w:nsid w:val="63DE60CD"/>
    <w:multiLevelType w:val="hybridMultilevel"/>
    <w:lvl w:ilvl="0">
      <w:lvlJc w:val="left"/>
      <w:lvlText w:val="(%1)"/>
      <w:numFmt w:val="lowerLetter"/>
      <w:start w:val="1"/>
    </w:lvl>
  </w:abstractNum>
  <w:abstractNum w:abstractNumId="296">
    <w:nsid w:val="621AF471"/>
    <w:multiLevelType w:val="hybridMultilevel"/>
    <w:lvl w:ilvl="0">
      <w:lvlJc w:val="left"/>
      <w:lvlText w:val="%1"/>
      <w:numFmt w:val="decimal"/>
      <w:start w:val="1"/>
    </w:lvl>
    <w:lvl w:ilvl="1">
      <w:lvlJc w:val="left"/>
      <w:lvlText w:val="(%2)"/>
      <w:numFmt w:val="lowerLetter"/>
      <w:start w:val="2"/>
    </w:lvl>
  </w:abstractNum>
  <w:abstractNum w:abstractNumId="297">
    <w:nsid w:val="73CFE165"/>
    <w:multiLevelType w:val="hybridMultilevel"/>
    <w:lvl w:ilvl="0">
      <w:lvlJc w:val="left"/>
      <w:lvlText w:val="%1."/>
      <w:numFmt w:val="decimal"/>
      <w:start w:val="7"/>
    </w:lvl>
    <w:lvl w:ilvl="1">
      <w:lvlJc w:val="left"/>
      <w:lvlText w:val="%2"/>
      <w:numFmt w:val="lowerLetter"/>
      <w:start w:val="1"/>
    </w:lvl>
  </w:abstractNum>
  <w:abstractNum w:abstractNumId="298">
    <w:nsid w:val="20F88EA6"/>
    <w:multiLevelType w:val="hybridMultilevel"/>
    <w:lvl w:ilvl="0">
      <w:lvlJc w:val="left"/>
      <w:lvlText w:val="(%1)"/>
      <w:numFmt w:val="lowerRoman"/>
      <w:start w:val="1"/>
    </w:lvl>
  </w:abstractNum>
  <w:abstractNum w:abstractNumId="299">
    <w:nsid w:val="617C843E"/>
    <w:multiLevelType w:val="hybridMultilevel"/>
    <w:lvl w:ilvl="0">
      <w:lvlJc w:val="left"/>
      <w:lvlText w:val="•"/>
      <w:numFmt w:val="bullet"/>
      <w:start w:val="1"/>
    </w:lvl>
  </w:abstractNum>
  <w:abstractNum w:abstractNumId="300">
    <w:nsid w:val="7B541F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2026-04-14T08:27:45Z</dcterms:created>
  <dcterms:modified xsi:type="dcterms:W3CDTF">2026-04-14T08:27:45Z</dcterms:modified>
</cp:coreProperties>
</file>