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4468ddefa14c.htm"/>
      <w:bookmarkStart w:id="1" w:name="ksd134468ddefa14c"/>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14C </w:t>
      </w:r>
    </w:p>
    <w:p>
      <w:pPr>
        <w:pStyle w:val="TextBody"/>
        <w:bidi w:val="0"/>
        <w:spacing w:before="0" w:after="0"/>
        <w:jc w:val="center"/>
        <w:rPr>
          <w:rFonts w:ascii="Times New Roman" w:hAnsi="Times New Roman"/>
          <w:b/>
          <w:sz w:val="24"/>
        </w:rPr>
      </w:pPr>
      <w:r>
        <w:rPr>
          <w:rFonts w:ascii="Times New Roman" w:hAnsi="Times New Roman"/>
          <w:b/>
          <w:sz w:val="24"/>
        </w:rPr>
        <w:t xml:space="preserve">(Rule 14c-101) </w:t>
      </w:r>
    </w:p>
    <w:p>
      <w:pPr>
        <w:pStyle w:val="TextBody"/>
        <w:bidi w:val="0"/>
        <w:spacing w:before="0" w:after="0"/>
        <w:jc w:val="center"/>
        <w:rPr>
          <w:rFonts w:ascii="Times New Roman" w:hAnsi="Times New Roman"/>
          <w:b/>
          <w:sz w:val="24"/>
        </w:rPr>
      </w:pPr>
      <w:r>
        <w:rPr>
          <w:rFonts w:ascii="Times New Roman" w:hAnsi="Times New Roman"/>
          <w:b/>
          <w:sz w:val="24"/>
        </w:rPr>
        <w:t xml:space="preserve">SCHEDULE 14C INFORMATION STATEMENT </w:t>
      </w:r>
    </w:p>
    <w:p>
      <w:pPr>
        <w:pStyle w:val="TextBody"/>
        <w:bidi w:val="0"/>
        <w:spacing w:before="240" w:after="0"/>
        <w:jc w:val="center"/>
        <w:rPr>
          <w:rFonts w:ascii="Times New Roman" w:hAnsi="Times New Roman"/>
          <w:b/>
          <w:sz w:val="24"/>
        </w:rPr>
      </w:pPr>
      <w:r>
        <w:rPr>
          <w:rFonts w:ascii="Times New Roman" w:hAnsi="Times New Roman"/>
          <w:b/>
          <w:sz w:val="24"/>
        </w:rPr>
        <w:t xml:space="preserve">Information Statement Pursuant to Section 14(c)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Information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14c-5(d)(2))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Information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GALERA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of Schedule 14A (17 CFR 240.14a-101) per Item 1 of this Schedule and Exchange Act Rules 14c-5(g)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Explanatory Note </w:t>
      </w:r>
    </w:p>
    <w:p>
      <w:pPr>
        <w:pStyle w:val="TextBody"/>
        <w:bidi w:val="0"/>
        <w:spacing w:before="120" w:after="0"/>
        <w:jc w:val="left"/>
        <w:rPr>
          <w:rFonts w:ascii="Times New Roman" w:hAnsi="Times New Roman"/>
          <w:sz w:val="20"/>
        </w:rPr>
      </w:pPr>
      <w:r>
        <w:rPr>
          <w:rFonts w:ascii="Times New Roman" w:hAnsi="Times New Roman"/>
          <w:sz w:val="20"/>
        </w:rPr>
        <w:t>On July 7, 2026, Galera Therapeutics, Inc., a Delaware Corporation (the “</w:t>
      </w:r>
      <w:r>
        <w:rPr>
          <w:rFonts w:ascii="Times New Roman" w:hAnsi="Times New Roman"/>
          <w:b/>
          <w:i/>
          <w:sz w:val="20"/>
        </w:rPr>
        <w:t>Company</w:t>
      </w:r>
      <w:r>
        <w:rPr>
          <w:rFonts w:ascii="Times New Roman" w:hAnsi="Times New Roman"/>
          <w:sz w:val="20"/>
        </w:rPr>
        <w:t>”) filed with the U.S. Securities and Exchange Commission (the “</w:t>
      </w:r>
      <w:r>
        <w:rPr>
          <w:rFonts w:ascii="Times New Roman" w:hAnsi="Times New Roman"/>
          <w:b/>
          <w:i/>
          <w:sz w:val="20"/>
        </w:rPr>
        <w:t>SEC</w:t>
      </w:r>
      <w:r>
        <w:rPr>
          <w:rFonts w:ascii="Times New Roman" w:hAnsi="Times New Roman"/>
          <w:sz w:val="20"/>
        </w:rPr>
        <w:t>”) a Current Report on Form 8-K announcing that its board of directors approved a one-for-two hundred (1:200) reverse stock split of the Company’s common stock, par value $0.001 (“</w:t>
      </w:r>
      <w:r>
        <w:rPr>
          <w:rFonts w:ascii="Times New Roman" w:hAnsi="Times New Roman"/>
          <w:b/>
          <w:i/>
          <w:sz w:val="20"/>
        </w:rPr>
        <w:t>Common Stock</w:t>
      </w:r>
      <w:r>
        <w:rPr>
          <w:rFonts w:ascii="Times New Roman" w:hAnsi="Times New Roman"/>
          <w:sz w:val="20"/>
        </w:rPr>
        <w:t xml:space="preserve">”). The disclosure included in the Form 8-K is provided below. </w:t>
      </w:r>
    </w:p>
    <w:p>
      <w:pPr>
        <w:pStyle w:val="TextBody"/>
        <w:bidi w:val="0"/>
        <w:spacing w:before="360" w:after="0"/>
        <w:jc w:val="left"/>
        <w:rPr>
          <w:rFonts w:ascii="Times New Roman" w:hAnsi="Times New Roman"/>
          <w:b/>
          <w:sz w:val="20"/>
        </w:rPr>
      </w:pPr>
      <w:r>
        <w:rPr>
          <w:rFonts w:ascii="Times New Roman" w:hAnsi="Times New Roman"/>
          <w:b/>
          <w:sz w:val="20"/>
        </w:rPr>
        <w:t xml:space="preserve">Item 8.01 Other Events </w:t>
      </w:r>
    </w:p>
    <w:p>
      <w:pPr>
        <w:pStyle w:val="TextBody"/>
        <w:bidi w:val="0"/>
        <w:spacing w:before="120" w:after="0"/>
        <w:jc w:val="left"/>
        <w:rPr>
          <w:rFonts w:ascii="Times New Roman" w:hAnsi="Times New Roman"/>
          <w:sz w:val="20"/>
        </w:rPr>
      </w:pPr>
      <w:r>
        <w:rPr>
          <w:rFonts w:ascii="Times New Roman" w:hAnsi="Times New Roman"/>
          <w:sz w:val="20"/>
        </w:rPr>
        <w:t>On July 7, 2026, the Company announced that its board of directors approved a one-for-two hundred (1:200) reverse stock split (“</w:t>
      </w:r>
      <w:r>
        <w:rPr>
          <w:rFonts w:ascii="Times New Roman" w:hAnsi="Times New Roman"/>
          <w:b/>
          <w:i/>
          <w:sz w:val="20"/>
        </w:rPr>
        <w:t>Reverse Stock Split</w:t>
      </w:r>
      <w:r>
        <w:rPr>
          <w:rFonts w:ascii="Times New Roman" w:hAnsi="Times New Roman"/>
          <w:sz w:val="20"/>
        </w:rPr>
        <w:t xml:space="preserve">”) of the Company’s Common Stock. </w:t>
      </w:r>
    </w:p>
    <w:p>
      <w:pPr>
        <w:pStyle w:val="TextBody"/>
        <w:bidi w:val="0"/>
        <w:spacing w:before="240" w:after="0"/>
        <w:jc w:val="left"/>
        <w:rPr>
          <w:rFonts w:ascii="Times New Roman" w:hAnsi="Times New Roman"/>
          <w:sz w:val="20"/>
        </w:rPr>
      </w:pPr>
      <w:r>
        <w:rPr>
          <w:rFonts w:ascii="Times New Roman" w:hAnsi="Times New Roman"/>
          <w:sz w:val="20"/>
        </w:rPr>
        <w:t>The Reverse Stock Split is expected to become effective on July 12, 2026 as of 11:59 p.m. Eastern Time (the “</w:t>
      </w:r>
      <w:r>
        <w:rPr>
          <w:rFonts w:ascii="Times New Roman" w:hAnsi="Times New Roman"/>
          <w:b/>
          <w:i/>
          <w:sz w:val="20"/>
        </w:rPr>
        <w:t>Effective Time</w:t>
      </w:r>
      <w:r>
        <w:rPr>
          <w:rFonts w:ascii="Times New Roman" w:hAnsi="Times New Roman"/>
          <w:sz w:val="20"/>
        </w:rPr>
        <w:t xml:space="preserve">”), with shares to begin trading on a split-adjusted basis at market open on July 13, 2026. In connection with the Reverse Stock Split, every two hundred shares of Common Stock issued and outstanding as of the Effective Time will be automatically converted into one share of Common Stock. No fractional shares will be issued in connection with the Reverse Stock Split; the Company’s stockholders will be entitled to receive the cash value equal to the fraction to which the stockholder would otherwise be entitled, multiplied by the closing price of Common Stock, as reported on the OTCQB Market, on the last trading day prior to the effective date of the Reverse Stock Split.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Reverse Stock Split will effect a reduction in the number of shares of Common Stock (i) available for issuance under the Company’s 2019 Equity Incentive Plan and 2023 Employment Inducement Award Plan, and (ii) issuable upon the exercise of stock options outstanding immediately prior to the effectiveness of the Reverse Stock Split. To reflect the Reverse Stock Split, there will also be a corresponding increase in the exercise price per share applicable to outstanding stock options. </w:t>
      </w:r>
    </w:p>
    <w:p>
      <w:pPr>
        <w:pStyle w:val="TextBody"/>
        <w:bidi w:val="0"/>
        <w:spacing w:before="240" w:after="0"/>
        <w:jc w:val="left"/>
        <w:rPr>
          <w:rFonts w:ascii="Times New Roman" w:hAnsi="Times New Roman"/>
          <w:sz w:val="20"/>
        </w:rPr>
      </w:pPr>
      <w:r>
        <w:rPr>
          <w:rFonts w:ascii="Times New Roman" w:hAnsi="Times New Roman"/>
          <w:sz w:val="20"/>
        </w:rPr>
        <w:t xml:space="preserve">The Reverse Stock Split will also effect a proportionate reduction in the number of shares of Common Stock issuable upon the exercise of the Company’s outstanding warrants, with a corresponding adjustment to the exercise price per share applicable to each such warrant. </w:t>
      </w:r>
    </w:p>
    <w:p>
      <w:pPr>
        <w:pStyle w:val="TextBody"/>
        <w:bidi w:val="0"/>
        <w:spacing w:before="240" w:after="0"/>
        <w:jc w:val="left"/>
        <w:rPr>
          <w:rFonts w:ascii="Times New Roman" w:hAnsi="Times New Roman"/>
          <w:sz w:val="20"/>
        </w:rPr>
      </w:pPr>
      <w:r>
        <w:rPr>
          <w:rFonts w:ascii="Times New Roman" w:hAnsi="Times New Roman"/>
          <w:sz w:val="20"/>
        </w:rPr>
        <w:t xml:space="preserve">The aforementioned adjustments will occur automatically upon effectiveness of the Reverse Stock Split. </w:t>
      </w:r>
    </w:p>
    <w:p>
      <w:pPr>
        <w:pStyle w:val="TextBody"/>
        <w:bidi w:val="0"/>
        <w:spacing w:before="360" w:after="0"/>
        <w:jc w:val="left"/>
        <w:rPr>
          <w:rFonts w:ascii="Times New Roman" w:hAnsi="Times New Roman"/>
          <w:b/>
          <w:sz w:val="20"/>
        </w:rPr>
      </w:pPr>
      <w:r>
        <w:rPr>
          <w:rFonts w:ascii="Times New Roman" w:hAnsi="Times New Roman"/>
          <w:b/>
          <w:sz w:val="20"/>
        </w:rPr>
        <w:t xml:space="preserve">Important Additional Information </w:t>
      </w:r>
    </w:p>
    <w:p>
      <w:pPr>
        <w:pStyle w:val="TextBody"/>
        <w:bidi w:val="0"/>
        <w:spacing w:before="120" w:after="0"/>
        <w:jc w:val="left"/>
        <w:rPr>
          <w:rFonts w:ascii="Times New Roman" w:hAnsi="Times New Roman"/>
          <w:sz w:val="20"/>
        </w:rPr>
      </w:pPr>
      <w:r>
        <w:rPr>
          <w:rFonts w:ascii="Times New Roman" w:hAnsi="Times New Roman"/>
          <w:sz w:val="20"/>
        </w:rPr>
        <w:t>As described in further detail in the Company’s Definitive Information Statement filed with the SEC on July 2, 2026 (the “</w:t>
      </w:r>
      <w:r>
        <w:rPr>
          <w:rFonts w:ascii="Times New Roman" w:hAnsi="Times New Roman"/>
          <w:b/>
          <w:i/>
          <w:sz w:val="20"/>
        </w:rPr>
        <w:t>Information Statement</w:t>
      </w:r>
      <w:r>
        <w:rPr>
          <w:rFonts w:ascii="Times New Roman" w:hAnsi="Times New Roman"/>
          <w:sz w:val="20"/>
        </w:rPr>
        <w:t>”), the Company is not and will not be soliciting proxies from stockholders in connection with the matters described in the Information Statement. Under the terms of the Delaware General Corporation Law and the certificate of incorporation of the Company, stockholders of the Company holding a majority of the outstanding shares of Company Common Stock have acted by written consent to adopt the Agreement and Plan of Merger dated April 14, 2026 (as it may be amended, supplemented, or modified from time to time) among the Company, Gazelle Parent, Inc., a Delaware corporation (“</w:t>
      </w:r>
      <w:r>
        <w:rPr>
          <w:rFonts w:ascii="Times New Roman" w:hAnsi="Times New Roman"/>
          <w:b/>
          <w:i/>
          <w:sz w:val="20"/>
        </w:rPr>
        <w:t>Parent</w:t>
      </w:r>
      <w:r>
        <w:rPr>
          <w:rFonts w:ascii="Times New Roman" w:hAnsi="Times New Roman"/>
          <w:sz w:val="20"/>
        </w:rPr>
        <w:t xml:space="preserve">”), Obsidian Therapeutics, Inc., a Delaware corporation, Onyx MergerSub, Inc., a wholly-owned subsidiary of Parent and Gazelle Merger Subsidiary, Inc., a wholly-owned subsidiary of Parent, and each of the transactions contemplated thereby, as further described in the Information Statement. This filing should not be interpreted to be an admission or acknowledgement by the Company of any intent or desire by the Company to in any way conduct a solicitation.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671</Words>
  <Characters>3646</Characters>
  <CharactersWithSpaces>4329</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DEFA14C</dc:title>
</cp:coreProperties>
</file>