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GALERA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001-39114</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46-1454898</w:t>
      </w:r>
    </w:p>
    <w:p>
      <w:pPr>
        <w:spacing w:after="0" w:line="24" w:lineRule="exact"/>
        <w:rPr>
          <w:sz w:val="24"/>
          <w:szCs w:val="24"/>
          <w:color w:val="auto"/>
        </w:rPr>
      </w:pPr>
    </w:p>
    <w:p>
      <w:pPr>
        <w:sectPr>
          <w:pgSz w:w="11900" w:h="16838" w:orient="portrait"/>
          <w:cols w:equalWidth="0" w:num="3">
            <w:col w:w="4524" w:space="720"/>
            <w:col w:w="2860" w:space="720"/>
            <w:col w:w="2200"/>
          </w:cols>
          <w:pgMar w:left="436" w:top="443"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101 Lindenwood Drive, Suite 225</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Malvern, PA 19355</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(610) 725-1500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2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GRTX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OTCQB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May 11, 2026, Galera Therapeutics, Inc. (the “Company”) filed a Certificate of Amendment to the Restated Certificate of Incorporation with the Secretary of State of the State of Delaware to increase the number of authorized shares of the Company’s common stock from 200 million shares to 400 million shares (the “Stock Increase Charter Amendment”).</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May 12, 2026, the Company filed a Certificate of Amendment to the Restated Certificate of Incorporation with the Secretary of State of the State of Delaware to provide stockholders with a right to act by written consent (the “Written Consent Charter Amendment”).</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Both the Stock Increase Charter Amendment and the Written Consent Charter Amendment were approved by the Company’s stockholders at the Company’s Annual Meeting of Stockholders held on May 8, 2026.</w:t>
      </w:r>
    </w:p>
    <w:p>
      <w:pPr>
        <w:spacing w:after="0" w:line="162"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Also on May 12, 2026, the Board of Directors of the Company approved and adopted Amended and Restated Bylaws of the Company, effective immediately. The Amended and Restated Bylaws provide stockholders with a written consent right and sets forth certain procedures associated therewith, consistent with the Written Consent Charter Amendment.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Stock Increase Charter Amendment, the Written Consent Charter Amendment and the Amended and Restated Bylaws do not purport to be complete and are qualified in their entirety by reference to the full text of the Stock Increase Charter Amendment, the Written Consent Charter Amendment and the Amended and Restated Bylaws, copies of which are filed as Exhibits 3.1, 3.2 and 3.3 hereto, respectively, and incorporated herein by reference.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No.</w:t>
            </w:r>
          </w:p>
        </w:tc>
        <w:tc>
          <w:tcPr>
            <w:tcW w:w="7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Certificate of Amendment to the Restated Certificate of Incorporation of the Company dated May 11, 2026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Certificate of Amendment to the Restated Certificate of Incorporation of the Company dated May 12, 2026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4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the Company</w:t>
            </w: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40"/>
          </w:cols>
          <w:pgMar w:left="440" w:top="293" w:right="51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 Mel Sorensen,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 Mel Sorensen, M.D.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141 and 242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3" w:lineRule="exact"/>
        <w:rPr>
          <w:sz w:val="20"/>
          <w:szCs w:val="20"/>
          <w:color w:val="auto"/>
        </w:rPr>
      </w:pPr>
    </w:p>
    <w:p>
      <w:pPr>
        <w:ind w:right="780" w:firstLine="440"/>
        <w:spacing w:after="0" w:line="286" w:lineRule="auto"/>
        <w:rPr>
          <w:sz w:val="20"/>
          <w:szCs w:val="20"/>
          <w:color w:val="auto"/>
        </w:rPr>
      </w:pPr>
      <w:r>
        <w:rPr>
          <w:rFonts w:ascii="Times New Roman" w:cs="Times New Roman" w:eastAsia="Times New Roman" w:hAnsi="Times New Roman"/>
          <w:sz w:val="18"/>
          <w:szCs w:val="18"/>
          <w:color w:val="auto"/>
        </w:rPr>
        <w:t>Galera Therapeutics,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i w:val="1"/>
          <w:iCs w:val="1"/>
          <w:color w:val="auto"/>
        </w:rPr>
        <w:t>Delaware General Corporation Law</w:t>
      </w:r>
      <w:r>
        <w:rPr>
          <w:rFonts w:ascii="Times New Roman" w:cs="Times New Roman" w:eastAsia="Times New Roman" w:hAnsi="Times New Roman"/>
          <w:sz w:val="18"/>
          <w:szCs w:val="18"/>
          <w:color w:val="auto"/>
        </w:rPr>
        <w:t>”), hereby certifies as follows:</w:t>
      </w:r>
    </w:p>
    <w:p>
      <w:pPr>
        <w:spacing w:after="0" w:line="51" w:lineRule="exact"/>
        <w:rPr>
          <w:sz w:val="20"/>
          <w:szCs w:val="20"/>
          <w:color w:val="auto"/>
        </w:rPr>
      </w:pPr>
    </w:p>
    <w:p>
      <w:pPr>
        <w:ind w:right="400" w:firstLine="436"/>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amends the provisions of the Corporation’s Restated Certificate of Incorporation filed with the Secretary of State of the State of Delaware on November 12, 2019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Article FOURTH of the Certificate of Incorporation is hereby amended and restated in its entirety to read as follows: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total number of shares of all classes of stock which the Corporation shall have authority to issue is 410,000,000 shares, consisting of</w:t>
      </w:r>
    </w:p>
    <w:p>
      <w:pPr>
        <w:spacing w:after="0" w:line="27" w:lineRule="exact"/>
        <w:rPr>
          <w:sz w:val="20"/>
          <w:szCs w:val="20"/>
          <w:color w:val="auto"/>
        </w:rPr>
      </w:pPr>
    </w:p>
    <w:p>
      <w:pPr>
        <w:ind w:left="980" w:right="220" w:firstLine="7"/>
        <w:spacing w:after="0" w:line="260" w:lineRule="auto"/>
        <w:tabs>
          <w:tab w:leader="none" w:pos="122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400,000,000 shares of Common Stock, $0.001 par value per share (“Common Stock”), and (b) 10,000,000 shares of Preferred Stock, $0.001 par value per share (“Preferred Stock”).</w:t>
      </w:r>
    </w:p>
    <w:p>
      <w:pPr>
        <w:spacing w:after="0" w:line="7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was duly adopted in accordance with the provisions of Sections 141 and 242 of the Delaware General Corporation Law.</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shall remain in full force and effect.</w:t>
      </w:r>
    </w:p>
    <w:p>
      <w:pPr>
        <w:spacing w:after="0" w:line="225" w:lineRule="exact"/>
        <w:rPr>
          <w:rFonts w:ascii="Times New Roman" w:cs="Times New Roman" w:eastAsia="Times New Roman" w:hAnsi="Times New Roman"/>
          <w:sz w:val="18"/>
          <w:szCs w:val="18"/>
          <w:color w:val="auto"/>
        </w:rPr>
      </w:pPr>
    </w:p>
    <w:p>
      <w:pPr>
        <w:ind w:left="5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Corporation has caused this Certificate of Amendment to be executed on this 11th day of May, 2026.</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 Mel Sorensen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 Mel Sorensen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9579"/>
          </w:cols>
          <w:pgMar w:left="880" w:top="27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141 and 242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3" w:lineRule="exact"/>
        <w:rPr>
          <w:sz w:val="20"/>
          <w:szCs w:val="20"/>
          <w:color w:val="auto"/>
        </w:rPr>
      </w:pPr>
    </w:p>
    <w:p>
      <w:pPr>
        <w:ind w:right="780" w:firstLine="440"/>
        <w:spacing w:after="0" w:line="286" w:lineRule="auto"/>
        <w:rPr>
          <w:sz w:val="20"/>
          <w:szCs w:val="20"/>
          <w:color w:val="auto"/>
        </w:rPr>
      </w:pPr>
      <w:r>
        <w:rPr>
          <w:rFonts w:ascii="Times New Roman" w:cs="Times New Roman" w:eastAsia="Times New Roman" w:hAnsi="Times New Roman"/>
          <w:sz w:val="18"/>
          <w:szCs w:val="18"/>
          <w:color w:val="auto"/>
        </w:rPr>
        <w:t>Galera Therapeutics,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i w:val="1"/>
          <w:iCs w:val="1"/>
          <w:color w:val="auto"/>
        </w:rPr>
        <w:t>Delaware General Corporation Law</w:t>
      </w:r>
      <w:r>
        <w:rPr>
          <w:rFonts w:ascii="Times New Roman" w:cs="Times New Roman" w:eastAsia="Times New Roman" w:hAnsi="Times New Roman"/>
          <w:sz w:val="18"/>
          <w:szCs w:val="18"/>
          <w:color w:val="auto"/>
        </w:rPr>
        <w:t>”), hereby certifies as follows:</w:t>
      </w:r>
    </w:p>
    <w:p>
      <w:pPr>
        <w:spacing w:after="0" w:line="51" w:lineRule="exact"/>
        <w:rPr>
          <w:sz w:val="20"/>
          <w:szCs w:val="20"/>
          <w:color w:val="auto"/>
        </w:rPr>
      </w:pPr>
    </w:p>
    <w:p>
      <w:pPr>
        <w:ind w:right="400" w:firstLine="436"/>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amends the provisions of the Corporation’s Restated Certificate of Incorporation filed with the Secretary of State of the State of Delaware on November 12, 2019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00" w:hanging="164"/>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NINTH of the Certificate of Incorporation is hereby amended and restated in its entirety to read as follows:</w:t>
      </w:r>
    </w:p>
    <w:p>
      <w:pPr>
        <w:spacing w:after="0" w:line="117"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Any action that is required or permitted to be taken by the stockholders of the Corporation at any annual or special meeting of stockholders may be effected by written consent of stockholders in lieu of a meeting.</w:t>
      </w:r>
    </w:p>
    <w:p>
      <w:pPr>
        <w:spacing w:after="0" w:line="54" w:lineRule="exact"/>
        <w:rPr>
          <w:sz w:val="20"/>
          <w:szCs w:val="20"/>
          <w:color w:val="auto"/>
        </w:rPr>
      </w:pPr>
    </w:p>
    <w:p>
      <w:pPr>
        <w:ind w:left="620" w:hanging="18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was duly adopted in accordance with the provisions of Sections 141 and 242 of the Delaware General Corporation Law.</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shall remain in full force and effect.</w:t>
      </w:r>
    </w:p>
    <w:p>
      <w:pPr>
        <w:spacing w:after="0" w:line="225" w:lineRule="exact"/>
        <w:rPr>
          <w:rFonts w:ascii="Times New Roman" w:cs="Times New Roman" w:eastAsia="Times New Roman" w:hAnsi="Times New Roman"/>
          <w:sz w:val="18"/>
          <w:szCs w:val="18"/>
          <w:color w:val="auto"/>
        </w:rPr>
      </w:pPr>
    </w:p>
    <w:p>
      <w:pPr>
        <w:ind w:left="5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Corporation has caused this Certificate of Amendment to be executed on this 12th day of May, 2026.</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 Mel Sorensen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 Mel Sorensen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9579"/>
          </w:cols>
          <w:pgMar w:left="880" w:top="270"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GALERA THERAPEUTICS, INC.</w:t>
      </w:r>
    </w:p>
    <w:p>
      <w:pPr>
        <w:spacing w:after="0" w:line="23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ectPr>
          <w:pgSz w:w="11900" w:h="16838" w:orient="portrait"/>
          <w:cols w:equalWidth="0" w:num="1">
            <w:col w:w="10020"/>
          </w:cols>
          <w:pgMar w:left="1440" w:top="117"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990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0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OFFICE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OFFICES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PLACE OF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 NOTICE PROCEDURES FOR BUSINESS BROUGHT BEFORE A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 NOTICE PROCEDURES FOR NOMINATIONS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MANNER OF GIVING NOTICE; AFFIDAVIT OF NOTICE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ADJOURNED MEETING; NOTICE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CONDUCT OF BUSINESS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 ACTION BY WRITTEN CONSENT WITHOUT A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RECORD DATE FOR STOCKHOLDER NOTICE; VOTING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2.16</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POSTPONEMENT, ADJOURNMENT AND CANCELLATION OF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2.17</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INSPECTORS OF ELECTION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REGULAR MEETINGS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SPECIAL MEETINGS; NOTICE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QUORUM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ACTION BY CONSENT WITHOUT A MEETING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REMOVAL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COMMITTEES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COMMITTEE MINUTES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MEETINGS AND ACTION OF COMMITTEES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990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8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SUBORDINATE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VACANCIES IN OFFICES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 OF SHARES OF OTHER ENTITIES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RECORDS AND REPORTS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 OF RECORDS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GENERAL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CERTIFICATES; PARTLY PAID SHARES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MULTIPLES CLASSES OR SERIES OF STOCK</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LOST CERTIFICATES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 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SEAL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OF STOCK</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REGISTERED STOCKHOLDERS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NOTICE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NOTICE BY ELECTRONIC TRANSMISSION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BY ELECTRONIC TRANSMISSION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 OF ELECTRONIC TRANSMISSION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INDEMNIFICATION AND ADVANCEMENT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ACTIONS, SUITS AND PROCEEDINGS OTHER THAN BY OR IN THE RIGHT OF THE CORPORATION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ACTIONS OR SUITS BY OR IN THE RIGHT OF THE CORPORATION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FOR EXPENSES OF SUCCESSFUL PARTY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NOTIFICATION AND DEFENSE OF CLAIM</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 OF EXPENSES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PROCEDURE FOR INDEMNIFICATION AND ADVANCEMENT OF EXPENSES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SUBSEQUENT AMENDMENT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PARTIAL INDEMNIFICATION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9.13</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SAVINGS CLAUSE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9.14</w:t>
            </w:r>
          </w:p>
        </w:tc>
        <w:tc>
          <w:tcPr>
            <w:tcW w:w="9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ARTICLE XI - FORUM SELECTION; SEVERABILITY</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64"/>
        </w:trPr>
        <w:tc>
          <w:tcPr>
            <w:tcW w:w="4780" w:type="dxa"/>
            <w:vAlign w:val="bottom"/>
          </w:tcPr>
          <w:p>
            <w:pPr>
              <w:spacing w:after="0"/>
              <w:rPr>
                <w:sz w:val="24"/>
                <w:szCs w:val="24"/>
                <w:color w:val="auto"/>
              </w:rPr>
            </w:pPr>
          </w:p>
        </w:tc>
        <w:tc>
          <w:tcPr>
            <w:tcW w:w="6180" w:type="dxa"/>
            <w:vAlign w:val="bottom"/>
          </w:tcPr>
          <w:p>
            <w:pPr>
              <w:jc w:val="right"/>
              <w:ind w:right="5250"/>
              <w:spacing w:after="0"/>
              <w:rPr>
                <w:sz w:val="20"/>
                <w:szCs w:val="20"/>
                <w:color w:val="auto"/>
              </w:rPr>
            </w:pPr>
            <w:r>
              <w:rPr>
                <w:rFonts w:ascii="Times New Roman" w:cs="Times New Roman" w:eastAsia="Times New Roman" w:hAnsi="Times New Roman"/>
                <w:sz w:val="18"/>
                <w:szCs w:val="18"/>
                <w:color w:val="auto"/>
              </w:rPr>
              <w:t>-ii-</w:t>
            </w:r>
          </w:p>
        </w:tc>
      </w:tr>
    </w:tbl>
    <w:p>
      <w:pPr>
        <w:sectPr>
          <w:pgSz w:w="11900" w:h="16838" w:orient="portrait"/>
          <w:cols w:equalWidth="0" w:num="1">
            <w:col w:w="10960"/>
          </w:cols>
          <w:pgMar w:left="440" w:top="266" w:right="4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registered office of Galera Therapeutics,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be fixed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 OTHER OFFICES.</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have other offices at any place or places, either within or outside the State of Delaware, as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from time to time determine or the business of the Corporation may from time to time require.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 PLACE OF MEETINGS.</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Board shall designate the date and time of the annual meeting. At the annual meeting, directors shall be elected and other proper business properly brought before the meeting in accordance with Section 2.4 of these bylaws may be transacted.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 special meeting of the stockholders may be called at any time by the Board, chairperson of the Board, chief executive officer or president (in the absence of a chief executive officer) of the Corporation, but such special meetings may not be called by any other person or persons.</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No business may be transacted at such special meeting other than the business specified in such notice to stockholders. Nothing contained in this paragraph of this Section 2.3 shall be construed as limiting, fixing, or affecting the time when a meeting of stockholders called by action of the Board may be held.</w:t>
      </w:r>
    </w:p>
    <w:p>
      <w:pPr>
        <w:sectPr>
          <w:pgSz w:w="11900" w:h="16838" w:orient="portrait"/>
          <w:cols w:equalWidth="0" w:num="1">
            <w:col w:w="11000"/>
          </w:cols>
          <w:pgMar w:left="440" w:top="266" w:right="459" w:bottom="1440" w:gutter="0" w:footer="0" w:header="0"/>
        </w:sectPr>
      </w:pPr>
    </w:p>
    <w:bookmarkStart w:id="11" w:name="page12"/>
    <w:bookmarkEnd w:id="1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 ADVANCE NOTICE PROCEDURES FOR BUSINESS BROUGHT BEFORE A MEETING.</w:t>
      </w:r>
    </w:p>
    <w:p>
      <w:pPr>
        <w:spacing w:after="0" w:line="225" w:lineRule="exact"/>
        <w:rPr>
          <w:sz w:val="20"/>
          <w:szCs w:val="20"/>
          <w:color w:val="auto"/>
        </w:rPr>
      </w:pPr>
    </w:p>
    <w:p>
      <w:pPr>
        <w:ind w:left="4" w:right="60" w:firstLine="987"/>
        <w:spacing w:after="0" w:line="272" w:lineRule="auto"/>
        <w:tabs>
          <w:tab w:leader="none" w:pos="12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 annual meeting of the stockholders, only such business shall be conducted as shall have been properly brought before the meeting. To be properly brought before an annual meeting, business must be (i) brought before the meeting by the Corporation and specified in a notice of meeting given by or at the direction of the Board, (ii) brought before the meeting by or at the direction of the Board (or a committee thereof) or</w:t>
      </w:r>
    </w:p>
    <w:p>
      <w:pPr>
        <w:spacing w:after="0" w:line="1" w:lineRule="exact"/>
        <w:rPr>
          <w:rFonts w:ascii="Times New Roman" w:cs="Times New Roman" w:eastAsia="Times New Roman" w:hAnsi="Times New Roman"/>
          <w:sz w:val="17"/>
          <w:szCs w:val="17"/>
          <w:color w:val="auto"/>
        </w:rPr>
      </w:pPr>
    </w:p>
    <w:p>
      <w:pPr>
        <w:ind w:left="4" w:right="220" w:hanging="4"/>
        <w:spacing w:after="0" w:line="265" w:lineRule="auto"/>
        <w:tabs>
          <w:tab w:leader="none" w:pos="31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properly brought before the meeting by a stockholder who (A) is a stockholder of record of the Corporation (and, with respect to any beneficial owner, if different, on whose behalf such business is proposed, only if such beneficial owner was the beneficial owner of shares of the Corporation) at the time of giving the notice provided for in this Section 2.4 through the time of the meeting, (B) is entitled to vote at the meeting and</w:t>
      </w:r>
    </w:p>
    <w:p>
      <w:pPr>
        <w:ind w:left="4" w:right="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has complied with this Section 2.4 as to such business. Except for proposals properly made in accordance with Rule 14a-8 under the Securities Exchange Act of 1934, as amended, and the rules and regulations promulgated thereunder (as so amended and inclusive of such rules and regulations,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included in the notice of meeting given by or at the direction of the Board, the foregoing clause (iii) shall be the exclusive means for a stockholder to propose business to be brought before an annual meeting of the stockholders. Stockholders shall not be permitted to propose business to be brought before a special meeting of the stockholders, and the only matters that may be brought before a special meeting are the matters specified in the notice of meeting given by or at the direction of the person calling the meeting pursuant to Section 2.3 of these bylaws. Stockholders seeking to nominate persons for election to the Board must comply with Section 2.5 of these bylaws, and this Section 2.4 shall not be applicable to nominations except as expressly provided in Section 2.5 of these bylaws.</w:t>
      </w:r>
    </w:p>
    <w:p>
      <w:pPr>
        <w:spacing w:after="0" w:line="193" w:lineRule="exact"/>
        <w:rPr>
          <w:rFonts w:ascii="Times New Roman" w:cs="Times New Roman" w:eastAsia="Times New Roman" w:hAnsi="Times New Roman"/>
          <w:sz w:val="17"/>
          <w:szCs w:val="17"/>
          <w:color w:val="auto"/>
        </w:rPr>
      </w:pPr>
    </w:p>
    <w:p>
      <w:pPr>
        <w:ind w:left="4" w:right="60" w:firstLine="987"/>
        <w:spacing w:after="0" w:line="253" w:lineRule="auto"/>
        <w:tabs>
          <w:tab w:leader="none" w:pos="12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business to be properly brought before an annual meeting by a stockholder pursuant to clause (iii) of the second sentence of Section 2.4(a) of these bylaws,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of the Corporation at the principal executive offices of the Corporation not later than the close of business on the ninetieth (90th) day or earlier than the one hundred twentieth (120th) day prior to the first anniversary of the preceding year’s annual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the date of the annual meeting is more than thirty</w:t>
      </w:r>
    </w:p>
    <w:p>
      <w:pPr>
        <w:spacing w:after="0" w:line="5"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before or more than sixty (60) days after such anniversary date, notice by the stockholder to be timely must be so delivered, or mailed and received, not earlier than the one hundred twentieth (120th) day prior to such annual meeting and not later than the later of the close of business on the ninetieth (90th) day prior to such annual meeting and the close of business on the tenth (10th) day following the day on which public disclosure of the date of such annual meeting was first made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12" w:name="page13"/>
    <w:bookmarkEnd w:id="12"/>
    <w:p>
      <w:pPr>
        <w:ind w:left="253" w:hanging="253"/>
        <w:spacing w:after="0"/>
        <w:tabs>
          <w:tab w:leader="none" w:pos="2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in proper form for purposes of this Section 2.4, a stockholder’s notice to the secretary of the Corporation shall set forth:</w:t>
      </w:r>
    </w:p>
    <w:p>
      <w:pPr>
        <w:spacing w:after="0" w:line="117" w:lineRule="exact"/>
        <w:rPr>
          <w:rFonts w:ascii="Times New Roman" w:cs="Times New Roman" w:eastAsia="Times New Roman" w:hAnsi="Times New Roman"/>
          <w:sz w:val="18"/>
          <w:szCs w:val="18"/>
          <w:color w:val="auto"/>
        </w:rPr>
      </w:pPr>
    </w:p>
    <w:p>
      <w:pPr>
        <w:ind w:left="-7" w:right="140" w:firstLine="408"/>
        <w:spacing w:after="0" w:line="255" w:lineRule="auto"/>
        <w:tabs>
          <w:tab w:leader="none" w:pos="6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and address of such Proposing Person (including, without limitation,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and (C) any pledge by such Proposing Person with respect to any securities of the Corporation (the disclosures to be made pursuant to the foregoing clauses (A) through (C)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7" w:right="40" w:firstLine="408"/>
        <w:spacing w:after="0" w:line="253" w:lineRule="auto"/>
        <w:tabs>
          <w:tab w:leader="none" w:pos="6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without limitation,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Times New Roman" w:cs="Times New Roman" w:eastAsia="Times New Roman" w:hAnsi="Times New Roman"/>
          <w:sz w:val="18"/>
          <w:szCs w:val="18"/>
          <w:u w:val="single" w:color="auto"/>
          <w:color w:val="auto"/>
        </w:rPr>
        <w:t>Synthetic Equity Interests</w:t>
      </w:r>
      <w:r>
        <w:rPr>
          <w:rFonts w:ascii="Times New Roman" w:cs="Times New Roman" w:eastAsia="Times New Roman" w:hAnsi="Times New Roman"/>
          <w:sz w:val="18"/>
          <w:szCs w:val="18"/>
          <w:color w:val="auto"/>
        </w:rPr>
        <w:t>”), which Synthetic Equity Interests shall be disclosed without regard to whether (x) the derivative, swap or other transactions convey any voting rights in such shares to such Proposing Person,</w:t>
      </w:r>
    </w:p>
    <w:p>
      <w:pPr>
        <w:spacing w:after="0" w:line="2" w:lineRule="exact"/>
        <w:rPr>
          <w:rFonts w:ascii="Times New Roman" w:cs="Times New Roman" w:eastAsia="Times New Roman" w:hAnsi="Times New Roman"/>
          <w:sz w:val="18"/>
          <w:szCs w:val="18"/>
          <w:color w:val="auto"/>
        </w:rPr>
      </w:pPr>
    </w:p>
    <w:p>
      <w:pPr>
        <w:ind w:left="-7" w:firstLine="7"/>
        <w:spacing w:after="0" w:line="251" w:lineRule="auto"/>
        <w:tabs>
          <w:tab w:leader="none" w:pos="2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or consent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 (C) any agreement, arrangement, understanding or relationship, including, without limitation, any repurchase or similar so-called “stock borrowing” agreement or arrangement,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 of the Corporation, or which provides, directly or indirectly, the opportunity to profit from any decrease in the price or value of the shares of any class or series of the Corporation (“</w:t>
      </w:r>
      <w:r>
        <w:rPr>
          <w:rFonts w:ascii="Times New Roman" w:cs="Times New Roman" w:eastAsia="Times New Roman" w:hAnsi="Times New Roman"/>
          <w:sz w:val="18"/>
          <w:szCs w:val="18"/>
          <w:u w:val="single" w:color="auto"/>
          <w:color w:val="auto"/>
        </w:rPr>
        <w:t>Short Interests</w:t>
      </w:r>
      <w:r>
        <w:rPr>
          <w:rFonts w:ascii="Times New Roman" w:cs="Times New Roman" w:eastAsia="Times New Roman" w:hAnsi="Times New Roman"/>
          <w:sz w:val="18"/>
          <w:szCs w:val="18"/>
          <w:color w:val="auto"/>
        </w:rPr>
        <w:t>”), (D) any rights to dividends on the shares of any class or series of the Corporation owned beneficially by such Proposing Person that are separated or separable from the underlying shares of the Corporation, (E) any performance related fees (other than an asset based fee) that</w:t>
      </w:r>
    </w:p>
    <w:p>
      <w:pPr>
        <w:spacing w:after="0" w:line="124" w:lineRule="exact"/>
        <w:rPr>
          <w:sz w:val="20"/>
          <w:szCs w:val="20"/>
          <w:color w:val="auto"/>
        </w:rPr>
      </w:pPr>
    </w:p>
    <w:p>
      <w:pPr>
        <w:ind w:left="441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13"/>
          </w:cols>
          <w:pgMar w:left="1427" w:top="270" w:right="459" w:bottom="1440" w:gutter="0" w:footer="0" w:header="0"/>
        </w:sectPr>
      </w:pPr>
    </w:p>
    <w:bookmarkStart w:id="13" w:name="page14"/>
    <w:bookmarkEnd w:id="13"/>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Proposing Person is entitled to based on any increase or decrease in the price or value of shares of any class or series of the Corporation, or any Synthetic Equity Interests or Short Interests, if any, (F) if such Proposing Person is not a natural person, the identity of the natural person or persons associated with such Proposing Person primarily responsible for the formulation of and decision to propose the business to be brought before the meeting (such person or persons, the “</w:t>
      </w:r>
      <w:r>
        <w:rPr>
          <w:rFonts w:ascii="Times New Roman" w:cs="Times New Roman" w:eastAsia="Times New Roman" w:hAnsi="Times New Roman"/>
          <w:sz w:val="18"/>
          <w:szCs w:val="18"/>
          <w:u w:val="single" w:color="auto"/>
          <w:color w:val="auto"/>
        </w:rPr>
        <w:t>Responsible Person</w:t>
      </w:r>
      <w:r>
        <w:rPr>
          <w:rFonts w:ascii="Times New Roman" w:cs="Times New Roman" w:eastAsia="Times New Roman" w:hAnsi="Times New Roman"/>
          <w:sz w:val="18"/>
          <w:szCs w:val="18"/>
          <w:color w:val="auto"/>
        </w:rPr>
        <w:t>”), the manner in which such Responsible Person was selected, any fiduciary duties owed by such Responsible Person to the equity holders or other beneficiaries of such Proposing Person and any substantial interest of such Responsible Person in the business brought before the meeting that is not shared generally by any other record or beneficial holder of the shares of any class or series of the Corporation, (G) any significant equity interests or any Synthetic Equity Interests or Short Interests in any Principal Competitor (as defined below) held by such Proposing Person, (H) any direct or known indirect interest of such Proposing Person in any contract with the Corporation, any affiliate of the Corporation or any Principal Competitor (including, without limitation, in any such case, any employment agreement, collective bargaining agreement or consulting agreement), (I) any pending or threatened litigation in which such Proposing Person is a party involving the Corporation or any of its officers or directors, or any affiliate of the Corporation, (J) any transaction material to such Proposing Person occurring during the prior twelve months between such Proposing Person, on the one hand, and the Corporation, any affiliate of the Corporation or any Principal Competitor, on the other hand and (K)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(K) are referred to as “</w:t>
      </w:r>
      <w:r>
        <w:rPr>
          <w:rFonts w:ascii="Times New Roman" w:cs="Times New Roman" w:eastAsia="Times New Roman" w:hAnsi="Times New Roman"/>
          <w:sz w:val="18"/>
          <w:szCs w:val="18"/>
          <w:u w:val="single" w:color="auto"/>
          <w:color w:val="auto"/>
        </w:rPr>
        <w:t>Disclosable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81" w:lineRule="exact"/>
        <w:rPr>
          <w:sz w:val="20"/>
          <w:szCs w:val="20"/>
          <w:color w:val="auto"/>
        </w:rPr>
      </w:pPr>
    </w:p>
    <w:p>
      <w:pPr>
        <w:ind w:firstLine="408"/>
        <w:spacing w:after="0" w:line="255" w:lineRule="auto"/>
        <w:tabs>
          <w:tab w:leader="none" w:pos="7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without limitation, the text of any resolutions proposed for consideration and in the event that such business includes a proposal to amend the bylaws of the Corporation, the language of the proposed amendment), (C) a reasonably detailed description of all agreements, arrangements and understandings between or among any of the Proposing Persons or between or among any Proposing Person and any other person or entity (including, without limitation, their names) with respect to the proposal of such business by such stockholder, (D) a representation that the</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00"/>
          </w:cols>
          <w:pgMar w:left="1420" w:top="270" w:right="479" w:bottom="1440" w:gutter="0" w:footer="0" w:header="0"/>
        </w:sectPr>
      </w:pPr>
    </w:p>
    <w:bookmarkStart w:id="14" w:name="page15"/>
    <w:bookmarkEnd w:id="14"/>
    <w:p>
      <w:pPr>
        <w:ind w:left="98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stockholder is a holder of record of stock of the Corporation entitled to vote at such meeting and intends to appear in person or by proxy at the meeting to propose such business, (E) a representation whether the Proposing Person intends or is part of a group which intends (1) to deliver a proxy statement and/or form of proxy to holders of at least the percentage of the Corporation’s outstanding capital stock required to approve or adopt the proposal and/or (2) otherwise to solicit proxies or votes from stockholders in support of such proposal and (F)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disclosures required by this paragraph (c)(iii)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88" w:lineRule="exact"/>
        <w:rPr>
          <w:sz w:val="20"/>
          <w:szCs w:val="20"/>
          <w:color w:val="auto"/>
        </w:rPr>
      </w:pPr>
    </w:p>
    <w:p>
      <w:pPr>
        <w:ind w:left="4" w:right="60" w:firstLine="987"/>
        <w:spacing w:after="0" w:line="258" w:lineRule="auto"/>
        <w:tabs>
          <w:tab w:leader="none" w:pos="12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2.4,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shall mean (i) the stockholder of record providing the notice of business proposed to be brought before an annual meeting, (ii) the beneficial owner or beneficial owners, if different, on whose behalf the notice of the business proposed to be brought before the annual meeting is made, (iii) any affiliate or associate (each within the meaning of Rule 12b-2 under the Exchange Act for the purposes of these bylaws) of such stockholder or beneficial owner and (iv) any other person or entity who is a member of a “group” (as such term is used in Rule 13d-5 under the Exchange Act) with such stockholder or beneficial owner.</w:t>
      </w:r>
    </w:p>
    <w:p>
      <w:pPr>
        <w:spacing w:after="0" w:line="183"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2.4, the term “Principal Competitor” shall mean any competitor of the Corporation identified in Part I, Item 1 of the annual report on Form 10-K or amendment thereto most recently filed by the Corporation with the Securities and Exchange Commission or in Item 8.01 of any current report on Form 8-K filed by the Corporation with the Securities and Exchange Commission thereafter but prior to the tenth (10th) day before the deadline for a stockholder’s notice under Section 2.4 or Section 2.5 these bylaws.</w:t>
      </w:r>
    </w:p>
    <w:p>
      <w:pPr>
        <w:spacing w:after="0" w:line="179" w:lineRule="exact"/>
        <w:rPr>
          <w:rFonts w:ascii="Times New Roman" w:cs="Times New Roman" w:eastAsia="Times New Roman" w:hAnsi="Times New Roman"/>
          <w:sz w:val="18"/>
          <w:szCs w:val="18"/>
          <w:color w:val="auto"/>
        </w:rPr>
      </w:pPr>
    </w:p>
    <w:p>
      <w:pPr>
        <w:ind w:left="4" w:right="60" w:firstLine="987"/>
        <w:spacing w:after="0" w:line="268"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providing notice of business proposed to be brought before an annual meeting shall further update and supplement such notice, if necessary, so that the information provided or required to be provided in such notice pursuant to this Section 2.4 shall be true and correct as of the record date for determining stockholders entitled to notice of the annual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annual meeting (in the case of the update and supplement required to be made as of the record date), and not later than eight</w:t>
      </w:r>
    </w:p>
    <w:p>
      <w:pPr>
        <w:spacing w:after="0" w:line="4" w:lineRule="exact"/>
        <w:rPr>
          <w:rFonts w:ascii="Times New Roman" w:cs="Times New Roman" w:eastAsia="Times New Roman" w:hAnsi="Times New Roman"/>
          <w:sz w:val="17"/>
          <w:szCs w:val="17"/>
          <w:color w:val="auto"/>
        </w:rPr>
      </w:pPr>
    </w:p>
    <w:p>
      <w:pPr>
        <w:ind w:left="4" w:right="140" w:hanging="4"/>
        <w:spacing w:after="0" w:line="255"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5" w:name="page16"/>
    <w:bookmarkEnd w:id="15"/>
    <w:p>
      <w:pPr>
        <w:ind w:left="-20" w:right="20" w:firstLine="987"/>
        <w:spacing w:after="0" w:line="254" w:lineRule="auto"/>
        <w:tabs>
          <w:tab w:leader="none" w:pos="12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these bylaws to the contrary and except as otherwise expressly provided in any applicable rule or regulation promulgated under the Exchange Act, no business shall be conducted at an annual meeting except in accordance with this Section 2.4. The Board or the presiding officer of an annual meeting of stockholders shall have the power and duty (a) to determine that any business was not properly brought before the meeting in accordance with this Section 2.4 (including whether the stockholder or beneficial owner, if any, on whose behalf the business proposed to be brought before the annual meeting is made, solicited (or is part of a group which solicited) or did not so solicit, as the case may be, proxies or votes in support of such stockholder’s business in compliance with such stockholder’s representation as required by clause (c)(iii)(E) of this Section 2.4); and (b) if any proposed business was not proposed in compliance with this Section 2.4 to declare to the meeting that any such business not properly brought before the meeting shall not be transacted.</w:t>
      </w:r>
    </w:p>
    <w:p>
      <w:pPr>
        <w:spacing w:after="0" w:line="191" w:lineRule="exact"/>
        <w:rPr>
          <w:rFonts w:ascii="Times New Roman" w:cs="Times New Roman" w:eastAsia="Times New Roman" w:hAnsi="Times New Roman"/>
          <w:sz w:val="18"/>
          <w:szCs w:val="18"/>
          <w:color w:val="auto"/>
        </w:rPr>
      </w:pPr>
    </w:p>
    <w:p>
      <w:pPr>
        <w:ind w:left="-20" w:right="160" w:firstLine="987"/>
        <w:spacing w:after="0" w:line="258" w:lineRule="auto"/>
        <w:tabs>
          <w:tab w:leader="none" w:pos="12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notice requirements of this Section 2.4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Nothing in this Section 2.4 shall be deemed to affect the rights of stockholders to request inclusion of proposals in the Corporation’s proxy statement pursuant to Rule 14a-8 under the Exchange Act.</w:t>
      </w:r>
    </w:p>
    <w:p>
      <w:pPr>
        <w:spacing w:after="0" w:line="183" w:lineRule="exact"/>
        <w:rPr>
          <w:rFonts w:ascii="Times New Roman" w:cs="Times New Roman" w:eastAsia="Times New Roman" w:hAnsi="Times New Roman"/>
          <w:sz w:val="18"/>
          <w:szCs w:val="18"/>
          <w:color w:val="auto"/>
        </w:rPr>
      </w:pPr>
    </w:p>
    <w:p>
      <w:pPr>
        <w:jc w:val="both"/>
        <w:ind w:left="-20" w:right="140" w:firstLine="987"/>
        <w:spacing w:after="0" w:line="266" w:lineRule="auto"/>
        <w:tabs>
          <w:tab w:leader="none" w:pos="11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disclosure” shall mean disclosure in a press release issued by the Corporation and reported by a national news service or in a document publicly filed by the Corporation with the Securities and Exchange Commission pursuant to Sections 13, 14 or 15(d) of the Exchange Act.</w:t>
      </w:r>
    </w:p>
    <w:p>
      <w:pPr>
        <w:spacing w:after="0" w:line="175" w:lineRule="exact"/>
        <w:rPr>
          <w:rFonts w:ascii="Times New Roman" w:cs="Times New Roman" w:eastAsia="Times New Roman" w:hAnsi="Times New Roman"/>
          <w:sz w:val="18"/>
          <w:szCs w:val="18"/>
          <w:color w:val="auto"/>
        </w:rPr>
      </w:pPr>
    </w:p>
    <w:p>
      <w:pPr>
        <w:ind w:left="-20" w:right="40" w:firstLine="987"/>
        <w:spacing w:after="0" w:line="255" w:lineRule="auto"/>
        <w:tabs>
          <w:tab w:leader="none" w:pos="11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2.4, unless otherwise required by law, if the stockholder (or a qualified representative of the stockholder) does not appear at the annual meeting to present proposed business, such proposed business shall not be transacted, notwithstanding that proxies in respect of such vote may have been received by the Corporation. For purposes of this Section 2.4, except as provided under Rule 14a-8 under the Exchange Act,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annual meeting and such person must produce such writing or electronic transmission, or a reliable reproduction of the writing or electronic transmission, at the annual meeting.</w:t>
      </w:r>
    </w:p>
    <w:p>
      <w:pPr>
        <w:spacing w:after="0" w:line="188"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2.4, a stockholder shall also comply with all applicable requirements of the Exchange Act with respect to the matters set forth in this Section 2.4; provided however, that any references in these bylaws to the Exchange Act are not intended to and shall not limit any requirements applicable to proposals as to any business to be considered pursuant to this Section 2.4 (including paragraph (a)(iii) hereof), and compliance with paragraph (a)(iii) of this Section 2.4 shall be the exclusive means for a stockholder to submit business (other than business brought properly under and in compliance with Rule 14a-8 of the Exchange Act, as may be amended from time to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16" w:name="page17"/>
    <w:bookmarkEnd w:id="1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 ADVANCE NOTICE PROCEDURES FOR NOMINATIONS OF DIRECTORS.</w:t>
      </w:r>
    </w:p>
    <w:p>
      <w:pPr>
        <w:spacing w:after="0" w:line="225" w:lineRule="exact"/>
        <w:rPr>
          <w:sz w:val="20"/>
          <w:szCs w:val="20"/>
          <w:color w:val="auto"/>
        </w:rPr>
      </w:pPr>
    </w:p>
    <w:p>
      <w:pPr>
        <w:ind w:left="4" w:firstLine="987"/>
        <w:spacing w:after="0" w:line="254"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any person for election to the Board at an annual meeting or at a special meeting (but, in the case of a special meeting, only if the election of directors is a matter specified in the notice of meeting given by or at the direction of the person calling such special meeting) may be made at such meeting only (i) by or at the direction of the Board or any committee thereof, or (ii) by a stockholder who (A) is a stockholder of record of the Corporation (and, with respect to any beneficial owner, if different, on whose behalf such nomination is proposed to be made, only if such beneficial owner was the beneficial owner of shares of the Corporation) at the time of giving the notice provided for in this Section 2.5 through the time of the meeting, (B) is entitled to vote at the meeting and (C) has complied with this Section 2.5 as to such nomination. The foregoing clause (ii) shall be the exclusive means for a stockholder to make any nomination of a person or persons for election to the Board to be considered by the stockholders at an annual meeting or special meeting.</w:t>
      </w:r>
    </w:p>
    <w:p>
      <w:pPr>
        <w:spacing w:after="0" w:line="191"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for a stockholder to make any nomination of a person or persons for election to the Board at an annual meeting, the stockholder must (i) provide Timely Notice (as defined in Section 2.4(b) of these bylaws) thereof in writing and in proper form to the secretary of the Corporation and (ii) provide any updates or supplements to such notice at the times and in the forms required by this Section 2.5. Notwithstanding anything in this paragraph to the contrary, in the event that the number of directors to be elected to the Board at an annual meeting is increased effective after the time period for which nominations would otherwise by due under this paragraph (b) and there is no public announcement by the Corporation naming the nominees for the additional directorships at least one hundred (100) days prior to the first anniversary of the preceding year’s annual meeting, a stockholder’s notice required by paragraph (b) of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 Without qualification, if the election of directors is a matter specified in the notice of meeting given by or at the direction of the person calling such special meeting, then for a stockholder to make any nomination of a person or persons for election to such position(s) as specified in the notice of the special meeting, the stockholder must</w:t>
      </w:r>
    </w:p>
    <w:p>
      <w:pPr>
        <w:spacing w:after="0" w:line="3" w:lineRule="exact"/>
        <w:rPr>
          <w:rFonts w:ascii="Times New Roman" w:cs="Times New Roman" w:eastAsia="Times New Roman" w:hAnsi="Times New Roman"/>
          <w:sz w:val="18"/>
          <w:szCs w:val="18"/>
          <w:color w:val="auto"/>
        </w:rPr>
      </w:pPr>
    </w:p>
    <w:p>
      <w:pPr>
        <w:ind w:left="4" w:right="20" w:hanging="4"/>
        <w:spacing w:after="0" w:line="251" w:lineRule="auto"/>
        <w:tabs>
          <w:tab w:leader="none" w:pos="2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timely notice thereof in writing and in proper form to the secretary of the Corporation at the principal executive offices of the Corporation and (ii) provide any updates or supplements to such notice at the times and in the forms required by this Section 2.5. To be timely, a stockholder’s notice for nominations to be made at a special meeting must be delivered to, or mailed and received by, the secretary of the Corporation at the principal executive offices of the Corporation not earlier than the close of business on the one hundred twentieth (120th) day prior to such special meeting and not later than the later of the close of business on the ninetieth (90th) day prior to such special meeting and the close of business on the tenth (10th) day following the day on which public disclosure (as defined in Section 2.4(i) of these bylaws) of the date of such special meeting was first made. In no event shall any adjournment or postponement of an annual meeting or special meeting or the announcement thereof commence a new time period (or extend any time period) for the giving of a stockholder’s notice as described above.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7" w:name="page18"/>
    <w:bookmarkEnd w:id="17"/>
    <w:p>
      <w:pPr>
        <w:ind w:left="260" w:hanging="253"/>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be in proper form for purposes of this Section 2.5, a stockholder’s notice to the secretary of the Corporation shall set forth:</w:t>
      </w:r>
    </w:p>
    <w:p>
      <w:pPr>
        <w:spacing w:after="0" w:line="117" w:lineRule="exact"/>
        <w:rPr>
          <w:rFonts w:ascii="Times New Roman" w:cs="Times New Roman" w:eastAsia="Times New Roman" w:hAnsi="Times New Roman"/>
          <w:sz w:val="18"/>
          <w:szCs w:val="18"/>
          <w:color w:val="auto"/>
        </w:rPr>
      </w:pPr>
    </w:p>
    <w:p>
      <w:pPr>
        <w:ind w:right="200" w:firstLine="408"/>
        <w:spacing w:after="0" w:line="266" w:lineRule="auto"/>
        <w:tabs>
          <w:tab w:leader="none" w:pos="61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(as defined below), the Stockholder Information (as defined in Section 2.4(c)(i) of these bylaws) except that for purposes of this Section 2.5, the term “Nominating Person” shall be substituted for the term “Proposing Person” in all places it appears in Section 2.4(c)(i);</w:t>
      </w:r>
    </w:p>
    <w:p>
      <w:pPr>
        <w:spacing w:after="0" w:line="67" w:lineRule="exact"/>
        <w:rPr>
          <w:rFonts w:ascii="Times New Roman" w:cs="Times New Roman" w:eastAsia="Times New Roman" w:hAnsi="Times New Roman"/>
          <w:sz w:val="18"/>
          <w:szCs w:val="18"/>
          <w:color w:val="auto"/>
        </w:rPr>
      </w:pPr>
    </w:p>
    <w:p>
      <w:pPr>
        <w:ind w:right="60" w:firstLine="408"/>
        <w:spacing w:after="0" w:line="256" w:lineRule="auto"/>
        <w:tabs>
          <w:tab w:leader="none" w:pos="66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Nominating Person, any Disclosable Interests (as defined in Section 2.4(c)(ii), except that for purposes of this Section 2.5 the term “Nominating Person” shall be substituted for the term “Proposing Person” in all places it appears in Section 2.4(c)(ii) and the disclosure in clause (L) of Section 2.4(c)(ii) shall be made with respect to the election of directors at the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Disclosable Interests shall not include any such disclosures with respect to the ordinary course business activities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dealer, commercial bank, trust company or other nominee who is a Nominating Person solely as a result of being the stockholder directed to prepare and submit the notice required by these bylaws on behalf of a beneficial owner;</w:t>
      </w:r>
    </w:p>
    <w:p>
      <w:pPr>
        <w:spacing w:after="0" w:line="79" w:lineRule="exact"/>
        <w:rPr>
          <w:rFonts w:ascii="Times New Roman" w:cs="Times New Roman" w:eastAsia="Times New Roman" w:hAnsi="Times New Roman"/>
          <w:sz w:val="18"/>
          <w:szCs w:val="18"/>
          <w:color w:val="auto"/>
        </w:rPr>
      </w:pPr>
    </w:p>
    <w:p>
      <w:pPr>
        <w:ind w:firstLine="408"/>
        <w:spacing w:after="0" w:line="251" w:lineRule="auto"/>
        <w:tabs>
          <w:tab w:leader="none" w:pos="71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a Nominating Person proposes to nominate for election as a director, (A) all information with respect to such 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without limitation, such proposed nominee’s written consent to being named in the proxy statement as a nominee and to serving as a director if elected), (C) a statement whether the proposed nominee, if elected, intends to tender, promptly following such person’s failure to receive the required vote for election as a director at any subsequent meeting at which such person is nominated for re-election, a resignation that will become effective upon the acceptance of such resignation by the Board of Directors, (D) a description of all direct and indirect compensation and other material monetary agreements, arrangements and understandings during the past three (3) years, and any other material relationships, between or among any Nominating Person, on the one hand, and each proposed nominee and his or her respective affiliates and associates,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 (A) through (D) are referred to as “</w:t>
      </w:r>
      <w:r>
        <w:rPr>
          <w:rFonts w:ascii="Times New Roman" w:cs="Times New Roman" w:eastAsia="Times New Roman" w:hAnsi="Times New Roman"/>
          <w:sz w:val="18"/>
          <w:szCs w:val="18"/>
          <w:u w:val="single" w:color="auto"/>
          <w:color w:val="auto"/>
        </w:rPr>
        <w:t>Nominee Information</w:t>
      </w:r>
      <w:r>
        <w:rPr>
          <w:rFonts w:ascii="Times New Roman" w:cs="Times New Roman" w:eastAsia="Times New Roman" w:hAnsi="Times New Roman"/>
          <w:sz w:val="18"/>
          <w:szCs w:val="18"/>
          <w:color w:val="auto"/>
        </w:rPr>
        <w:t>”), (E) a representation that the Nominating Person is a holder of record of stock of the Corporation entitled to vote at such meeting and intends to appear in person or by proxy at the meeting to propose such nomination, (F) a representation whether the Nominating Person intends or is part of a group which intends (1) to deliver a proxy statement and/or form of proxy to holders of at least the percentage of the Corporation’s outstanding capital stock required to elect the nominee and/or (2) otherwise to solicit proxies or votes from stockholders in support of such nomination and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a completed and signed questionnaire, representation and agreement as provided in Section 2.5(g);</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00"/>
          </w:cols>
          <w:pgMar w:left="1420" w:top="270" w:right="479" w:bottom="1440" w:gutter="0" w:footer="0" w:header="0"/>
        </w:sectPr>
      </w:pPr>
    </w:p>
    <w:bookmarkStart w:id="18" w:name="page19"/>
    <w:bookmarkEnd w:id="18"/>
    <w:p>
      <w:pPr>
        <w:ind w:left="980" w:right="80" w:firstLine="408"/>
        <w:spacing w:after="0" w:line="256" w:lineRule="auto"/>
        <w:tabs>
          <w:tab w:leader="none" w:pos="16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to each Nominating Person, a representation from such Nominating Person as to whether such Nominating Person intends or is part of a group (as such term is used in Rule 13d-5 under the Exchange Act) that intends to (A) solicit proxies in support of the election of any proposed nominee in accordance with Rule 14a-19 under the Exchange Act or (B) engage in a solicitation (within the meaning of Exchange Act Rule 14a-1(l)) with respect to the nomination of any proposed nominee or proposed business to be considered at the meeting, as applicable, and if so, the name of each participant (as defined in Instruction 3 to Item 4 of Schedule 14A under the Exchange Act) in such solicitation; and</w:t>
      </w:r>
    </w:p>
    <w:p>
      <w:pPr>
        <w:spacing w:after="0" w:line="79" w:lineRule="exact"/>
        <w:rPr>
          <w:rFonts w:ascii="Times New Roman" w:cs="Times New Roman" w:eastAsia="Times New Roman" w:hAnsi="Times New Roman"/>
          <w:sz w:val="18"/>
          <w:szCs w:val="18"/>
          <w:color w:val="auto"/>
        </w:rPr>
      </w:pPr>
    </w:p>
    <w:p>
      <w:pPr>
        <w:ind w:left="980" w:right="20" w:firstLine="408"/>
        <w:spacing w:after="0" w:line="258" w:lineRule="auto"/>
        <w:tabs>
          <w:tab w:leader="none" w:pos="163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that the Corporation may require any proposed nominee to furnish (A) as may reasonably be required by the Corporation to determine whether such proposed nominee would be deemed to be an independent director of the Corporation in accordance with the Corporation’s Corporate Governance Guidelines or (B) that could be material to a reasonable stockholder’s understanding of the independence or lack of independence of such proposed nominee or the suitability of such proposed nominee to serve as a director of the Corporation.</w:t>
      </w:r>
    </w:p>
    <w:p>
      <w:pPr>
        <w:spacing w:after="0" w:line="183"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2.5,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mean (i) the stockholder of record providing the notice of the nomination proposed to be made at the meeting, (ii) the beneficial owner or beneficial owners, if different, on whose behalf the notice of the nomination proposed to be made at the meeting is made, (iii) any affiliate or associate of such stockholder or beneficial owner and (iv) any other person or entity who is a member of a “group” (as such term is used in Rule 13d-5 under the Exchange Act) with such stockholder or beneficial owner.</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determining stockholders entitled to notice of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determining stockholders entitled to notice of the meeting (in the case of the update and supplement required to be made as of the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9" w:name="page20"/>
    <w:bookmarkEnd w:id="19"/>
    <w:p>
      <w:pPr>
        <w:ind w:firstLine="987"/>
        <w:spacing w:after="0" w:line="253" w:lineRule="auto"/>
        <w:tabs>
          <w:tab w:leader="none" w:pos="12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these bylaws to the contrary, no person shall be eligible for election as a director of the Corporation unless nominated in accordance with this Section 2.5, except as otherwise expressly provided in any applicable rule or regulation promulgated under the Exchange Act. The number of proposed nominees a stockholder may include in a notice under this Section 2.5 or nominate for election at a meeting may not exceed the number of directors to be elected at such meeting, and for the avoidance of doubt, no stockholder shall be entitled to make additional or substitute nominations following the expiration of the time periods set forth in Section 2.5(b). The Board or the presiding officer at any meeting of stockholders shall have the power and duty to (a) determine that a nomination was not properly made in accordance with this Section 2.5 (including whether the stockholder or beneficial owner, if any, on whose behalf the nomination was made, solicited or is part of a group which solicited) or did not so solicit, as the case may be, proxies or votes in support of such stockholder’s nomination in compliance with such stockholder’s representation as required by clause (c)(iii)(E) of this Section 2.5); and (b) if any proposed nomination was not made in compliance with this Section 2.5 to declare such determination to the meeting that the defective nomination shall be disregarded.</w:t>
      </w:r>
    </w:p>
    <w:p>
      <w:pPr>
        <w:spacing w:after="0" w:line="194" w:lineRule="exact"/>
        <w:rPr>
          <w:rFonts w:ascii="Times New Roman" w:cs="Times New Roman" w:eastAsia="Times New Roman" w:hAnsi="Times New Roman"/>
          <w:sz w:val="18"/>
          <w:szCs w:val="18"/>
          <w:color w:val="auto"/>
        </w:rPr>
      </w:pPr>
    </w:p>
    <w:p>
      <w:pPr>
        <w:ind w:right="60" w:firstLine="987"/>
        <w:spacing w:after="0" w:line="268" w:lineRule="auto"/>
        <w:tabs>
          <w:tab w:leader="none" w:pos="124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eligible to be a nominee for election as a director of the Corporation, the proposed nominee must deliver (in accordance with the time periods prescribed for delivery of notice under this Section 2.5) to the secretary of the Corporation at the principal executive offices of the Corporation a written questionnaire with respect to the background and qualification of such proposed nominee (which questionnaire shall be provided by the secretary within ten (10) days after receipt of a written request therefor from the Nominating Person) and a written representation and agreement (in form provided by the secretary within ten (10) days after receipt of a written request therefor from the Nominating Person) that such proposed nominee (i) is not and will not become a party to (A) any agreement, arrangement or understanding with, and has not given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7"/>
          <w:szCs w:val="17"/>
          <w:u w:val="single" w:color="auto"/>
          <w:color w:val="auto"/>
        </w:rPr>
        <w:t>Voting Commitment</w:t>
      </w:r>
      <w:r>
        <w:rPr>
          <w:rFonts w:ascii="Times New Roman" w:cs="Times New Roman" w:eastAsia="Times New Roman" w:hAnsi="Times New Roman"/>
          <w:sz w:val="17"/>
          <w:szCs w:val="17"/>
          <w:color w:val="auto"/>
        </w:rPr>
        <w:t>”) that has not been disclosed to the Corporation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candidacy, service or action as a director that has not been disclosed to the Corporation and (iii) in such proposed nominee’s individual capacity and on behalf of the stockholder (and the beneficial owner, if different, on whose behalf the nomination is made) would be in compliance, if elected as a director of the Corporation, and will comply with applicable publicly disclosed corporate governance, conflict of interest, confidentiality and stock ownership and trading policies and guidelines of the Corporation.</w:t>
      </w:r>
    </w:p>
    <w:p>
      <w:pPr>
        <w:spacing w:after="0" w:line="183" w:lineRule="exact"/>
        <w:rPr>
          <w:rFonts w:ascii="Times New Roman" w:cs="Times New Roman" w:eastAsia="Times New Roman" w:hAnsi="Times New Roman"/>
          <w:sz w:val="17"/>
          <w:szCs w:val="17"/>
          <w:color w:val="auto"/>
        </w:rPr>
      </w:pPr>
    </w:p>
    <w:p>
      <w:pPr>
        <w:ind w:right="120" w:firstLine="987"/>
        <w:spacing w:after="0" w:line="282"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0" w:name="page21"/>
    <w:bookmarkEnd w:id="20"/>
    <w:p>
      <w:pPr>
        <w:ind w:firstLine="987"/>
        <w:spacing w:after="0" w:line="255" w:lineRule="auto"/>
        <w:tabs>
          <w:tab w:leader="none" w:pos="12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provisions of this Section 2.5, unless otherwise required by law, if the stockholder (or a qualified representative of the stockholder) does not appear at the meeting to present the proposed nomination, such proposed nomination shall not be considered, notwithstanding that proxies in respect of such vote may have been received by the Corporation. For purposes of this Section 2.5,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w:t>
      </w:r>
    </w:p>
    <w:p>
      <w:pPr>
        <w:spacing w:after="0" w:line="188" w:lineRule="exact"/>
        <w:rPr>
          <w:rFonts w:ascii="Times New Roman" w:cs="Times New Roman" w:eastAsia="Times New Roman" w:hAnsi="Times New Roman"/>
          <w:sz w:val="18"/>
          <w:szCs w:val="18"/>
          <w:color w:val="auto"/>
        </w:rPr>
      </w:pPr>
    </w:p>
    <w:p>
      <w:pPr>
        <w:jc w:val="both"/>
        <w:ind w:right="360" w:firstLine="987"/>
        <w:spacing w:after="0" w:line="272" w:lineRule="auto"/>
        <w:tabs>
          <w:tab w:leader="none" w:pos="120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if (i) any Nominating Person provides notice pursuant to Rule 14a-19(b) under the Exchange Act with respect to any proposed nominee and (ii) (A) such Nominating Person subsequently either (1) notifies the Corporation that such Nominating Person no longer intends to solicit proxies in support of the election or reelection of such proposed nominee in accordance with Rule</w:t>
      </w:r>
    </w:p>
    <w:p>
      <w:pPr>
        <w:spacing w:after="0" w:line="1" w:lineRule="exact"/>
        <w:rPr>
          <w:rFonts w:ascii="Times New Roman" w:cs="Times New Roman" w:eastAsia="Times New Roman" w:hAnsi="Times New Roman"/>
          <w:sz w:val="17"/>
          <w:szCs w:val="17"/>
          <w:color w:val="auto"/>
        </w:rPr>
      </w:pPr>
    </w:p>
    <w:p>
      <w:pPr>
        <w:ind w:right="2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14a-19(b) under the Exchange Act or (2) fails to comply with the requirements of Rule 14a-19(a)(2) or Rule 14a-19(a)(3) under the Exchange Act (or fails to timely provide reasonable evidence sufficient to satisfy the Corporation that such Nominating Person has met the requirements of Rule</w:t>
      </w:r>
    </w:p>
    <w:p>
      <w:pPr>
        <w:ind w:right="10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14a-19(a)(3) under the Exchange Act in accordance with the following sentence) and (B) no other Nominating Person that has provided notice pursuant to Rule 14a-19(b) under the Exchange Act with respect to such proposed nominee (1) to the Corporation’s knowledge based on information provided pursuant to Rule 14a-19 under the Exchange Act or these bylaws, still intends to solicit proxies in support of the election or reelection of such proposed nominee in accordance with Rule 14a-19(b) under the Exchange Act and (2) has complied with the requirements of Rule 14a-19(a)(2) and Rule</w:t>
      </w:r>
    </w:p>
    <w:p>
      <w:pPr>
        <w:ind w:right="2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14a-19(a)(3) under the Exchange Act and the requirements set forth in the following sentence, then the nomination of such proposed nominee shall be disregarded and no vote on the election of such proposed nominee shall occur (notwithstanding that proxies in respect of such vote may have been received by the Corporation). Upon request by the Corporation, if any Nominating Person provides notice pursuant to Rule 14a-19(b) under the Exchange Act, such Nominating Person shall deliver to the secretary of the Corporation, no later than five (5) business days prior to the applicable meeting date, reasonable evidence that the requirements of Rule 14a-19(a)(3) under the Exchange Act have been satisfied.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 NOTICE OF STOCKHOLDERS’ MEETINGS.</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given in accordance with either Section 2.7 or Section 8.1 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21" w:name="page22"/>
    <w:bookmarkEnd w:id="2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2.7 MANNER OF GIVING NOTICE; AFFIDAVIT OF NOTICE.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Notice of any meeting of stockholders shall be deemed given:</w:t>
      </w:r>
    </w:p>
    <w:p>
      <w:pPr>
        <w:spacing w:after="0" w:line="225" w:lineRule="exact"/>
        <w:rPr>
          <w:sz w:val="20"/>
          <w:szCs w:val="20"/>
          <w:color w:val="auto"/>
        </w:rPr>
      </w:pPr>
    </w:p>
    <w:p>
      <w:pPr>
        <w:ind w:left="4" w:right="340" w:firstLine="987"/>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mailed, when deposited in the United States mail, postage prepaid, directed to the stockholder at such stockholder’s address as it appears on the Corporation’s records; or</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electronically transmitted, as provided in Section 8.1 of these bylaws.</w:t>
      </w:r>
    </w:p>
    <w:p>
      <w:pPr>
        <w:spacing w:after="0" w:line="225"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2.8 QUORUM.</w:t>
      </w:r>
    </w:p>
    <w:p>
      <w:pPr>
        <w:spacing w:after="0" w:line="22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holders of a majority in voting power of the capital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(a) the chairperson of the meeting or (b) a majority in voting power of the stockholders entitled to vote thereon, present in person, or by remote communication, if applicable, or represented by proxy, shall have power to adjourn the meeting from time to time in the manner provided in Section 2.9 of these bylaws until a quorum is present or represented. At such adjourned meeting at which a quorum is present or represented, any business may be transacted that might have been transacted at the meeting as originally noticed.</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2.9 ADJOURNED MEETING; NOTICE.</w:t>
      </w:r>
    </w:p>
    <w:p>
      <w:pPr>
        <w:spacing w:after="0" w:line="22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and place, if any, thereof, and the means of remote communication, if any, by which stockholders and proxy holders may be deemed to be present in person or represented by proxy and vote at such adjourned meeting are (a) announced at the meeting at which the adjournment is taken,</w:t>
      </w:r>
    </w:p>
    <w:p>
      <w:pPr>
        <w:spacing w:after="0" w:line="1" w:lineRule="exact"/>
        <w:rPr>
          <w:sz w:val="20"/>
          <w:szCs w:val="20"/>
          <w:color w:val="auto"/>
        </w:rPr>
      </w:pPr>
    </w:p>
    <w:p>
      <w:pPr>
        <w:ind w:left="4" w:right="20" w:hanging="4"/>
        <w:spacing w:after="0" w:line="252"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displayed during the time scheduled for the meeting, on the same electronic network used to enable stockholders and proxy holders to participate in the meeting by means of remote communication, or (c) set forth in the notice of meeting given in accordance with these bylaws. At the adjourned meeting, the Corporation may transact any business which might have been transacted at the original meeting. If the adjournment is for more than thirty (30) days, or if after the adjournment a new record date for determining the stockholders entitled to vote is fixed for the adjourned meeting, a notice of the adjourned meeting shall be given to each stockholder of record entitled to vote at the adjourned meeting as of the record date for determining the stockholders entitled to notice of the adjourned meeting.</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70" w:right="499" w:bottom="1440" w:gutter="0" w:footer="0" w:header="0"/>
        </w:sectPr>
      </w:pPr>
    </w:p>
    <w:bookmarkStart w:id="22" w:name="page23"/>
    <w:bookmarkEnd w:id="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2.10 CONDUCT OF BUSINESS.</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Board may designate any director or officer of the Corporation to preside over any meeting of the stockholders and act as chairperson of the meeting. 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(whether or not a quorum is present),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 VOTING.</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or these bylaws, each stockholder shall be entitled to one (1) vote for each share of capital stock held by such stockholder.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3" w:name="page24"/>
    <w:bookmarkEnd w:id="2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all duly called or convened meetings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votes cast affirmatively or negatively (excluding abstentions) at the meeting by the holders entitled to vote thereon.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2.12 STOCKHOLDER ACTION BY WRITTEN CONSENT WITHOUT A MEETING.</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Any action required by the DGCL to be taken at any annual or special meeting of the stockholders, or any action which may be taken at any annual or special meeting of the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Any stockholder of the Corporation seeking to have the stockholders’ express consent to corporate action in writing without a meeting shall, by written notice to the secretary of the Corporation, request that the Board fix a record date for determining the stockholders entitled to express consent to such corporate action. The Board shall promptly, but in any event within ten (10) days after the date on which such a request is received by the secretary, adopt a resolution fixing the record date. If no record date for determining stockholders entitled to express consent to corporate action in writing without a meeting has been fixed by the Board within ten (10) days after the date on which such a request is received by the secretary, the record date, when no prior action of the Board is required by law, shall be the first date on which a signed written consent setting forth the action taken or proposed to be taken is delivered to the Corporation in accordance with applicable law, or, if prior action by the Board is required by law, shall be at the close of business on the day on which the Board adopts the resolution taking such prior action.</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Every written consent shall bear the date of signature of each stockholder who signs the consent. No written consent shall be effective to take the corporate action referred to therein unless written consents signed by a sufficient number of holders to take action are received by the Corporation within sixty (60) days of the first date on which a written consent is so received by the Corporation. Any stockholder may revoke a consent with respect to his or her shares at any time by written revocation delivered to the Secretary.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2.13 RECORD DATE FOR STOCKHOLDER NOTICE; VOTING.</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4" w:name="page25"/>
    <w:bookmarkEnd w:id="2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other action. If no such record date is fixed, the record date for determining stockholders for any such purpose shall be at the close of business on the day on which the Board adopts the resolution relating thereto.</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PROXIES.</w:t>
      </w:r>
    </w:p>
    <w:p>
      <w:pPr>
        <w:spacing w:after="0" w:line="225"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but no such proxy shall be voted or acted upon after one (1) year from its date, unless the proxy provides for a longer period. The revocability of a proxy that states on its face that it is irrevocable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 Any stockholder directly or indirectly soliciting proxies from other stockholders may use any proxy card color other than white, which shall be reserved for exclusive use of the Board.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2.15 LIST OF STOCKHOLDERS ENTITLED TO VOTE.</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Corporation shall prepare, at least ten (10) days before every meeting of stockholders, a complete list of the stockholders entitled to vote at the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5" w:name="page26"/>
    <w:bookmarkEnd w:id="25"/>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reasonable steps to ensure that such information is available only to stockholders of the Corporation. Except as otherwise provided by law, the stock ledger shall be the only evidence as to the identity of the stockholders entitled to vote in person or by proxy and the number of shares held by each of them, and as to the stockholders entitled to examine the list of stockholders.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2.16 POSTPONEMENT, ADJOURNMENT AND CANCELLATION OF MEETING.</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Any previously scheduled annual or special meeting of the stockholders may be postponed or adjourned, and any previously scheduled annual or special meeting of the stockholders may be canceled, by resolution of the Board.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2.17 INSPECTORS OF ELECTION.</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Before any meeting of stockholders, the Board shall appoint an inspector or inspectors of election to act at the meeting or its adjournment or postponement and make a written report thereof.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 POWERS.</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DGCL and any limitations in the certificate of incorporation, the business and affairs of the Corporation shall be managed and all corporate powers shall be exercised by or under the direction of the Board.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authorized number of directors shall be determined from time to time by resolution of the Board, provided the Board shall consist of at least one (1) member. No reduction of the authorized number of directors shall have the effect of removing any director before that director’s term of office expires.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3.3 ELECTION, QUALIFICATION AND TERM OF OFFICE OF DIRECTORS.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Except as provided in Section 3.4 of these bylaws, each director, including, without limitation,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and a vice chairperson of the Board. The certificate of incorporation or these bylaws may prescribe other qualifications for directors.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 RESIGNATION AND VACANCIES.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chairperson of the Board or the Corporation’s chief executive officer, president or secretary.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vacancies and newly created directorships resulting from any increase in the authorized number of directors shall, unless the Board determines by resolution that any such vacancies or newly created directorships shall be filled by stockholders, be filled only by a majority of the directors then in office, although less than a quorum, or by a sole remaining director. Any director elected in accordance with the preceding sentence shall hold office for the remainder of the full term of the director for which the vacancy was created or occurred and until such director’s successor shall have been elected and qualified. A vacancy in the Board shall be deemed to exist under these bylaws in the case of the death, removal or resignation of any director.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3.5 PLACE OF MEETINGS; MEETINGS BY TELEPHONE.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3.6 REGULAR MEETINGS.</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Regular meetings of the Board may be held without notice at such time and at such place as shall from time to time be determined by the Board;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any director who is absent when such determination is made shall be given notice of the determination. A regular meeting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held without notice immediately after and at the same place as the annual meeting of stockholders.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3.7 SPECIAL MEETINGS; NOTICE.</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chairperson of the Board, the chief executive officer, the president, the secretary or a majority of the authorized number of directors.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the time and place of special meetings shall be:</w:t>
      </w:r>
    </w:p>
    <w:p>
      <w:pPr>
        <w:spacing w:after="0" w:line="225" w:lineRule="exact"/>
        <w:rPr>
          <w:sz w:val="20"/>
          <w:szCs w:val="20"/>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electronic mail, electronic transmission or other similar means,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or other electronic address, as the case may be, as shown on the Corporation’s records.</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If the notice is (a) delivered personally by hand, by courier or by telephone, (b) sent by facsimile or (c) sent by electronic mail or electronic transmission, it shall be delivered or sent at least twenty-four (24) hours before the time of the holding of the meeting. If the notice is sent by United States mail, it shall be deposited in the United States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3.8 QUORUM.</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greater of (a) a majority of the directors at any time in office and (b) one-third of the number of directors established by the Board pursuant to Section 3.2 of these bylaws shall constitute a quorum of the Board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3.9 BOARD ACTION BY CONSENT WITHOUT A MEETING.</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3.10 FEES AND COMPENSATION OF DIRECTORS.</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of directors.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8" w:name="page29"/>
    <w:bookmarkEnd w:id="2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3.11 REMOVAL OF DIRECTORS.</w:t>
      </w:r>
    </w:p>
    <w:p>
      <w:pPr>
        <w:spacing w:after="0" w:line="225" w:lineRule="exact"/>
        <w:rPr>
          <w:sz w:val="20"/>
          <w:szCs w:val="20"/>
          <w:color w:val="auto"/>
        </w:rPr>
      </w:pPr>
    </w:p>
    <w:p>
      <w:pPr>
        <w:jc w:val="both"/>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the shares of any series of preferred stock of the Corporation, the Board or any individual director may be removed from office only for cause and only by the affirmative vote of the holders of at least two-thirds in voting power of the outstanding shares of capital stock of the Corporation entitled to vote thereon.</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w:t>
      </w:r>
    </w:p>
    <w:p>
      <w:pPr>
        <w:spacing w:after="0" w:line="3" w:lineRule="exact"/>
        <w:rPr>
          <w:sz w:val="20"/>
          <w:szCs w:val="20"/>
          <w:color w:val="auto"/>
        </w:rPr>
      </w:pPr>
    </w:p>
    <w:p>
      <w:pPr>
        <w:ind w:left="4" w:right="140" w:hanging="4"/>
        <w:spacing w:after="0" w:line="260" w:lineRule="auto"/>
        <w:tabs>
          <w:tab w:leader="none" w:pos="2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adopt, or recommend to the stockholders, any action or matter (other than the election or removal of directors) expressly required by the DGCL to be submitted to stockholders for approval, or (b) adopt, amend or repeal any bylaw of the Corporation.</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4.2 COMMITTEE MINUTES.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4.3 MEETINGS AND ACTION OF COMMITTEES.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1244" w:hanging="253"/>
        <w:spacing w:after="0"/>
        <w:tabs>
          <w:tab w:leader="none" w:pos="12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of these bylaws (place of meetings and meetings by telephone);</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of these bylaws (regular meetings);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of these bylaws (special meetings and notice);</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 of these bylaws (quorum);</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7.12 of these bylaws (waiver of notice); and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9" w:name="page30"/>
    <w:bookmarkEnd w:id="29"/>
    <w:p>
      <w:pPr>
        <w:ind w:right="160" w:firstLine="987"/>
        <w:spacing w:after="0" w:line="282" w:lineRule="auto"/>
        <w:tabs>
          <w:tab w:leader="none" w:pos="12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3.9 of these bylaws (action without a meeting), with such changes in the context of those bylaws as are necessary to substitute the committee and its members for the Board and its members. However:</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and</w:t>
      </w:r>
    </w:p>
    <w:p>
      <w:pPr>
        <w:spacing w:after="0" w:line="117" w:lineRule="exact"/>
        <w:rPr>
          <w:rFonts w:ascii="Times New Roman" w:cs="Times New Roman" w:eastAsia="Times New Roman" w:hAnsi="Times New Roman"/>
          <w:sz w:val="18"/>
          <w:szCs w:val="18"/>
          <w:color w:val="auto"/>
        </w:rPr>
      </w:pPr>
    </w:p>
    <w:p>
      <w:pPr>
        <w:ind w:left="980" w:right="200" w:firstLine="408"/>
        <w:spacing w:after="0" w:line="266" w:lineRule="auto"/>
        <w:tabs>
          <w:tab w:leader="none" w:pos="16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special meetings of committees shall also be given to all alternate members, who shall have the right to attend all meetings of the committee. The Board may adopt rules for the governance of any committee not inconsistent with the provisions (or any part thereof) of these bylaws.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5.1 OFFICERS.</w:t>
      </w:r>
    </w:p>
    <w:p>
      <w:pPr>
        <w:spacing w:after="0" w:line="225"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The officers of the Corporation shall be a president and a secretary. The Corporation may also have, at the discretion of the Board,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225" w:lineRule="exact"/>
        <w:rPr>
          <w:sz w:val="20"/>
          <w:szCs w:val="20"/>
          <w:color w:val="auto"/>
        </w:rPr>
      </w:pPr>
    </w:p>
    <w:p>
      <w:pPr>
        <w:jc w:val="both"/>
        <w:ind w:right="60" w:firstLine="440"/>
        <w:spacing w:after="0" w:line="282" w:lineRule="auto"/>
        <w:rPr>
          <w:sz w:val="20"/>
          <w:szCs w:val="20"/>
          <w:color w:val="auto"/>
        </w:rPr>
      </w:pPr>
      <w:r>
        <w:rPr>
          <w:rFonts w:ascii="Times New Roman" w:cs="Times New Roman" w:eastAsia="Times New Roman" w:hAnsi="Times New Roman"/>
          <w:sz w:val="18"/>
          <w:szCs w:val="18"/>
          <w:color w:val="auto"/>
        </w:rPr>
        <w:t>The Board shall appoint the officers of the Corporation, except such officers as may be appointed in accordance with the provisions of Section 5.3 of these bylaws, subject to the rights, if any, of an officer under any contract of employment.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at any regular or special meeting of the Board or, except in the case of an officer chosen by the Board, by any officer upon whom such power of removal may be conferred by the Board.</w:t>
      </w:r>
    </w:p>
    <w:p>
      <w:pPr>
        <w:spacing w:after="0" w:line="176"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5.5 VACANCIES IN OFFICES.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or as provided in Section 5.3 of these bylaws.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5.6 REPRESENTATION OF SHARES OF OTHER ENTITIES.</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chairperson of the Board, the president, any vice president, the treasurer, the secretary or assistant secretary of this Corporation, or any other person authorized by the Board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5.7 AUTHORITY AND DUTIES OF OFFICERS.</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VI - RECORDS AND REPORTS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6.1 MAINTENANCE OF RECORDS.</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applicable law,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38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VII - GENERAL MATTERS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7.1 EXECUTION OF CORPORATE CONTRACTS AND INSTRUMENTS.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440" w:top="270" w:right="55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7.2 STOCK CERTIFICATES; PARTLY PAID SHARES.</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shares of the Corporation shall be represented by certificates provided that the Board may provide by resolution or resolutions that some or all of any or all classes or series of stock shall be uncertificated shares.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7.3 MULTIPLES CLASSES OR SERIES OF STOCK.</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 LOST CERTIFICATES.</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Except as provided in this Section 7.4, no new certificates for shares shall be issued to replace a previously issued certificate unless the latter is surrendered to the Corporation in accordance with applicable law.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7.5 CONSTRUCTION; DEFINITIONS.</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7.6 DIVIDENDS.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7.7 FISCAL YEAR.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7.8 SEAL.</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7.9 TRANSFER OF STOCK.</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3" w:name="page34"/>
    <w:bookmarkEnd w:id="3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 with respect to uncertificated shares), with such evidence of the authenticity of such endorsement or execution, transfer, authorization and other matters as the Corporation may reasonably require, and accompanied by all necessary stock transfer stamps. To the fullest extent permitted by law, no transfer of stock shall be valid as against the Corporation for any purpose until it shall have been entered in the stock records of the Corporation by an entry showing the names of the persons from and to whom it was transferred.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7.10 STOCK TRANSFER AGREEMENTS.</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7.11 REGISTERED STOCKHOLDERS.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Corporation, to the fullest extent permitted by law,:</w:t>
      </w:r>
    </w:p>
    <w:p>
      <w:pPr>
        <w:spacing w:after="0" w:line="225" w:lineRule="exact"/>
        <w:rPr>
          <w:sz w:val="20"/>
          <w:szCs w:val="20"/>
          <w:color w:val="auto"/>
        </w:rPr>
      </w:pPr>
    </w:p>
    <w:p>
      <w:pPr>
        <w:ind w:right="180" w:firstLine="987"/>
        <w:spacing w:after="0" w:line="282"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hold liable for calls and assessments the person registered on its books as the owner of shares; and</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7.12 WAIVER OF NOTICE.</w:t>
      </w:r>
    </w:p>
    <w:p>
      <w:pPr>
        <w:spacing w:after="0" w:line="225"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4" w:name="page35"/>
    <w:bookmarkEnd w:id="34"/>
    <w:p>
      <w:pPr>
        <w:ind w:left="2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 - NOTICE BY ELECTRONIC TRANSMISSION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8.1 NOTICE BY ELECTRONIC TRANSMISSION.</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80" w:lineRule="exact"/>
        <w:rPr>
          <w:sz w:val="20"/>
          <w:szCs w:val="20"/>
          <w:color w:val="auto"/>
        </w:rPr>
      </w:pPr>
    </w:p>
    <w:p>
      <w:pPr>
        <w:ind w:firstLine="987"/>
        <w:spacing w:after="0" w:line="282"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unable to deliver by electronic transmission two (2) consecutive notices given by the Corporation in accordance with such consent; and</w:t>
      </w:r>
    </w:p>
    <w:p>
      <w:pPr>
        <w:spacing w:after="0" w:line="161"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inability becomes known to the secretary or an assistant secretary of the Corporation or to the transfer agent, or other person responsible for the giving of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131" w:lineRule="exact"/>
        <w:rPr>
          <w:sz w:val="20"/>
          <w:szCs w:val="20"/>
          <w:color w:val="auto"/>
        </w:rPr>
      </w:pPr>
    </w:p>
    <w:p>
      <w:pPr>
        <w:ind w:left="1420" w:hanging="43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electronic mail, when directed to an electronic mail address at which the stockholder has consented to receive notice;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such posting and (ii) the giving of such separate notice; and</w:t>
      </w:r>
    </w:p>
    <w:p>
      <w:pPr>
        <w:spacing w:after="0" w:line="11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8.2 DEFINITION OF ELECTRONIC TRANSMISSION.</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 - INDEMNIFICATION AND ADVANCEMENT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9.1 ACTIONS, SUITS AND PROCEEDINGS OTHER THAN BY OR IN THE RIGHT OF THE CORPORATION.</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(all such persons being referred to hereafter as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or by reason of any action alleged to have been taken or omitted in such capacity,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w:t>
      </w:r>
      <w:r>
        <w:rPr>
          <w:rFonts w:ascii="Times New Roman" w:cs="Times New Roman" w:eastAsia="Times New Roman" w:hAnsi="Times New Roman"/>
          <w:sz w:val="18"/>
          <w:szCs w:val="18"/>
          <w:u w:val="single" w:color="auto"/>
          <w:color w:val="auto"/>
        </w:rPr>
        <w:t>nolo contendere</w:t>
      </w:r>
      <w:r>
        <w:rPr>
          <w:rFonts w:ascii="Times New Roman" w:cs="Times New Roman" w:eastAsia="Times New Roman" w:hAnsi="Times New Roman"/>
          <w:sz w:val="18"/>
          <w:szCs w:val="18"/>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9.2 ACTIONS OR SUITS BY OR IN THE RIGHT OF THE CORPORATION.</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while a director or officer of the Corporation, is or was serving, or has agreed to serve, at the request of the Corporation, as a director, officer, partner, employee or trustee of, or in a similar capacity with, another corporation, partnership, joint venture, trust or other enterprise (including, without limitation, any employee benefit plan), or by reason of any action alleged to have been taken or omitted in such capacity, against all expenses (including, without limitation, attorneys’ fees)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9.2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without limitation, attorneys’ fees) which the Court of Chancery of Delaware or such other court shall deem proper.</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9.3 INDEMNIFICATION FOR EXPENSES OF SUCCESSFUL PARTY.</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provisions of this Article IX, to the extent that an Indemnitee has been successful, on the merits or otherwise, in defense of any action, suit or proceeding referred to in Sections 9.1 and 9.2 of these bylaws, or in defense of any claim, issue or matter therein, or on appeal from any such action, suit or proceeding, Indemnitee shall be indemnified to the fullest extent permitted by law against all expenses (including, without limitation, attorneys’ fees) actually and reasonably incurred by or on behalf of Indemnitee in connection therewith.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6"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9.4 NOTIFICATION AND DEFENSE OF CLAIM.</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9.4.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(a) the employment of counsel by Indemnitee has been authorized by the Corporation, (b) counsel to Indemnitee shall have reasonably concluded that there may be a conflict of interest or position on any significant issue between the Corporation and Indemnitee in the conduct of the defense of such action, suit, proceeding or investigation or (c)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IX. The Corporation shall not be entitled, without the consent of Indemnitee, to assume the defense of any claim brought by or in the right of the Corporation or as to which counsel for Indemnitee shall have reasonably made the conclusion provided for in clause (b) above. The Corporation shall not be required to indemnify Indemnitee under this Article IX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9.5 ADVANCE OF EXPENSES.</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Subject to the provisions of Sections 9.4 and 9.6 of these bylaws, in the event of any threatened or pending action, suit, proceeding or investigation of which the Corporation receives notice under this Article IX, any expenses (including, without limitation, attorneys’ fees) incurred by or on behalf of Indemnitee in defending an action, suit, proceeding or investigation or any appeal therefrom shall be paid by the Corporation in advance of the final disposition of such matter to the fullest extent permitted by law;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to the extent required by law, the payment of such expenses incurred by or on behalf of Indemnitee in advance of the final disposition of such matter shall be made only upon receipt of an undertaking by or on behalf of Indemnitee to repay all amounts so advanced in the event that it shall ultimately be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7" w:name="page38"/>
    <w:bookmarkEnd w:id="37"/>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determined by final judicial decision from which there is no further right to appeal that Indemnitee is not entitled to be indemnified by the Corporation as authorized in this Article IX or otherwise; and </w:t>
      </w:r>
      <w:r>
        <w:rPr>
          <w:rFonts w:ascii="Times New Roman" w:cs="Times New Roman" w:eastAsia="Times New Roman" w:hAnsi="Times New Roman"/>
          <w:sz w:val="18"/>
          <w:szCs w:val="18"/>
          <w:i w:val="1"/>
          <w:iCs w:val="1"/>
          <w:u w:val="single" w:color="auto"/>
          <w:color w:val="auto"/>
        </w:rPr>
        <w:t>provided further</w:t>
      </w:r>
      <w:r>
        <w:rPr>
          <w:rFonts w:ascii="Times New Roman" w:cs="Times New Roman" w:eastAsia="Times New Roman" w:hAnsi="Times New Roman"/>
          <w:sz w:val="18"/>
          <w:szCs w:val="18"/>
          <w:color w:val="auto"/>
        </w:rPr>
        <w:t xml:space="preserve"> that no such advancement of expenses shall be made under this Article IX if it is determined (in the manner described in Section 9.6 of these bylaws) that (a) Indemnitee did not act in good faith and in a manner he or she reasonably believed to be in, or not opposed to, the best interests of the Corporation, or (b) with respect to any criminal action or proceeding, Indemnitee had reasonable cause to believe his or her conduct was unlawful. Such undertaking shall be accepted without reference to the financial ability of Indemnitee to make such repayment.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9.6 PROCEDURE FOR INDEMNIFICATION AND ADVANCEMENT OF EXPENSES.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order to obtain indemnification or advancement of expenses pursuant to Section 9.1, 9.2, 9.3 or 9.5 of these bylaws, an Indemnitee shall submit to the Corporation a written request. Any such advancement of expenses shall be made promptly, and in any event within 60 days after receipt by the Corporation of the written request of Indemnitee, unless (a) the Corporation has assumed the defense pursuant to Section 9.4 of these bylaws (and none of the circumstances described in Section 9.4 of these bylaws that would nonetheless entitle the Indemnitee to indemnification for the fees and expenses of separate counsel have occurred) or (b) the Corporation determines within such 60-day period that Indemnitee did not meet the applicable standard of conduct set forth in Section 9.1, 9.2 or 9.5 of these bylaws, as the case may be. Any such indemnification, unless ordered by a court, shall be made with respect to requests under Section 9.1 or 9.2 of these bylaws only as authorized in the specific case upon a determination by the Corporation that the indemnification of Indemnitee is proper because Indemnitee has met the applicable standard of conduct set forth in Section 9.1 or 9.2 of these bylaws, as the case may be. Such determination shall be made in each instance (a) by a majority vote of the directors of the Corporation consisting of persons who are not at that time parties to the action, suit or proceeding in question (“</w:t>
      </w:r>
      <w:r>
        <w:rPr>
          <w:rFonts w:ascii="Times New Roman" w:cs="Times New Roman" w:eastAsia="Times New Roman" w:hAnsi="Times New Roman"/>
          <w:sz w:val="18"/>
          <w:szCs w:val="18"/>
          <w:u w:val="single" w:color="auto"/>
          <w:color w:val="auto"/>
        </w:rPr>
        <w:t>disinterested directors</w:t>
      </w:r>
      <w:r>
        <w:rPr>
          <w:rFonts w:ascii="Times New Roman" w:cs="Times New Roman" w:eastAsia="Times New Roman" w:hAnsi="Times New Roman"/>
          <w:sz w:val="18"/>
          <w:szCs w:val="18"/>
          <w:color w:val="auto"/>
        </w:rPr>
        <w:t>”),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9.7 REMEDIES.</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law, the right to indemnification or advancement of expenses as granted by this Article IX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9.6 of these bylaws that Indemnitee has not met such applicable standard of conduct, shall be a defense to the action or create a presumption that Indemnitee has not met the applicable standard of conduct. In any suit brought by Indemnitee to enforce a right to indemnification or advancement, or brought by the Corporation to recover an advancement of expenses pursuant to the terms of an undertaking, the Corporation shall have the burden of proving that Indemnitee is not entitled to be indemnified, or to such advancement of expenses,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8" w:name="page39"/>
    <w:bookmarkEnd w:id="38"/>
    <w:p>
      <w:pPr>
        <w:ind w:right="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this Article IX. Indemnitee’s expenses (including, without limitation, attorneys’ fees) reasonably incurred in connection with successfully establishing Indemnitee’s right to indemnification or advancement, in whole or in part, in any such proceeding shall also be indemnified by the Corporation to the fullest extent permitted by law. Notwithstanding the foregoing, in any suit brought by Indemnitee to enforce a right to indemnification hereunder it shall be a defense that the Indemnitee has not met any applicable standard for indemnification set forth in the DGCL.</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9.8 LIMITATIONS.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this Article IX, except as set forth in Section 9.7 of these bylaws, the Corporation shall not indemnify an Indemnitee pursuant to this Article IX in connection with a proceeding (or part thereof) initiated by such Indemnitee unless the initiation thereof was approved by the Board. Notwithstanding anything to the contrary in this Article IX, the Corporation shall not indemnify (or advance expenses to) an Indemnitee to the extent such Indemnitee is reimbursed (or advanced expenses) from the proceeds of insurance, and in the event the Corporation makes any indemnification (or advancement) payments to an Indemnitee and such Indemnitee is subsequently reimbursed from the proceeds of insurance, such Indemnitee shall promptly refund indemnification (or advancement) payments to the Corporation to the extent of such insurance reimbursement.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9.9 SUBSEQUENT AMENDMENT.</w:t>
      </w:r>
    </w:p>
    <w:p>
      <w:pPr>
        <w:spacing w:after="0" w:line="225"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color w:val="auto"/>
        </w:rPr>
        <w:t>No amendment, termination or repeal of this Article IX or of the relevant provisions of the DGCL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9.10 OTHER RIGHTS.</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this Article IX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IX shall be deemed to prohibit, and the Corporation is specifically authorized to enter into, agreements with officers and directors providing indemnification and advancement rights and procedures different from those set forth in this Article IX. In addition, the Corporation may, to the extent authorized from time to time by the Board, grant indemnification and advancement rights to other employees or agents of the Corporation or other persons serving the Corporation and such rights may be equivalent to, or greater or less than, those set forth in this Article IX.</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60"/>
          </w:cols>
          <w:pgMar w:left="440" w:top="270" w:right="499"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9.11 PARTIAL INDEMNIFICATION.</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If an Indemnitee is entitled under any provision of this Article IX to indemnification by the Corporation for some or a portion of the expenses (including, without limitation, attorneys’ fees), liabilities, losses, judgments, fines (including, without limitation, excise taxes and penalties arising under the Employee Retirement Income Security Act of 1974, as amended)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without limitation, attorneys’ fees), liabilities, losses, judgments, fines (including, without limitation, excise taxes and penalties arising under the Employee Retirement Income Security Act of 1974, as amended) or amounts paid in settlement to which Indemnitee is entitled.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9.12 INSURANCE.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Corporation may purchase and maintain insurance, at its expense, to protect itself and any director, officer, employee or agent of the Corporation or another corporation, partnership, joint venture, trust or other enterprise (including, without limitation, any employee benefit plan) against any expense, liability or loss incurred by him or her in any such capacity, or arising out of his or her status as such, whether or not the Corporation would have the power to indemnify such person against such expense, liability or loss under the DGCL.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9.13 SAVINGS CLAUSE.</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If this Article IX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IX that shall not have been invalidated and to the fullest extent permitted by applicable law.</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9.14 DEFINITIONS.</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Terms used in this Article IX and defined in Section 145(h) and Section 145(i) of the DGCL shall have the respective meanings assigned to such terms in such Section 145(h) and Section 145(i).</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Subject to the limitations set forth in Section 9.9 of these bylaws or the provisions of the certificate of incorporation, the Board is expressly empowered to adopt, amend or repeal the bylaws of the Corporation. The stockholders also shall have power to adopt, amend or repeal the bylaws of the Corporation;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addition to any vote of the holders of any class or series of stock of the Corporation required by law or by the certificate of incorporation, such action by stockholders shall require the affirmative vote of the holders of at least two-thirds in voting power of the outstanding shares of capital stock of the Corporation entitled to vote thereon.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 - FORUM SELECTION; SEVERABILITY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 FORUM SELECTION.</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of 1933, as amended. Any person or entity purchasing or otherwise acquiring or holding any interest in shares of capital stock of the Corporation shall be deemed to have notice of and consented to the provisions of this Article XI.</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 SEVERABILITY.</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any provision of these bylaws would be, in the absence of this Section 11.2, invalid, illegal or unenforceable for any reason whatsoever, such provision shall be severable from the other provisions of these bylaws, and all provisions of these bylaws shall be construed so as to give effect to the intent manifested by these bylaws, including, to the maximum extent possible, the provision that would be otherwise invalid, illegal or unenforceable.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
    <w:nsid w:val="25E45D32"/>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3"/>
    </w:lvl>
    <w:lvl w:ilvl="1">
      <w:lvlJc w:val="left"/>
      <w:lvlText w:val="*"/>
      <w:numFmt w:val="bullet"/>
      <w:start w:val="1"/>
    </w:lvl>
  </w:abstractNum>
  <w:abstractNum w:abstractNumId="6">
    <w:nsid w:val="3F2DBA31"/>
    <w:multiLevelType w:val="hybridMultilevel"/>
    <w:lvl w:ilvl="0">
      <w:lvlJc w:val="left"/>
      <w:lvlText w:val="%1"/>
      <w:numFmt w:val="lowerLetter"/>
      <w:start w:val="1"/>
    </w:lvl>
    <w:lvl w:ilvl="1">
      <w:lvlJc w:val="left"/>
      <w:lvlText w:val="(%2)"/>
      <w:numFmt w:val="lowerLetter"/>
      <w:start w:val="1"/>
    </w:lvl>
  </w:abstractNum>
  <w:abstractNum w:abstractNumId="7">
    <w:nsid w:val="7C83E458"/>
    <w:multiLevelType w:val="hybridMultilevel"/>
    <w:lvl w:ilvl="0">
      <w:lvlJc w:val="left"/>
      <w:lvlText w:val="(%1)"/>
      <w:numFmt w:val="lowerLetter"/>
      <w:start w:val="61"/>
    </w:lvl>
    <w:lvl w:ilvl="1">
      <w:lvlJc w:val="left"/>
      <w:lvlText w:val="(%2)"/>
      <w:numFmt w:val="lowerLetter"/>
      <w:start w:val="2"/>
    </w:lvl>
  </w:abstractNum>
  <w:abstractNum w:abstractNumId="8">
    <w:nsid w:val="257130A3"/>
    <w:multiLevelType w:val="hybridMultilevel"/>
    <w:lvl w:ilvl="0">
      <w:lvlJc w:val="left"/>
      <w:lvlText w:val="(%1)"/>
      <w:numFmt w:val="lowerLetter"/>
      <w:start w:val="3"/>
    </w:lvl>
    <w:lvl w:ilvl="1">
      <w:lvlJc w:val="left"/>
      <w:lvlText w:val="(%2)"/>
      <w:numFmt w:val="lowerRoman"/>
      <w:start w:val="1"/>
    </w:lvl>
  </w:abstractNum>
  <w:abstractNum w:abstractNumId="9">
    <w:nsid w:val="62BBD95A"/>
    <w:multiLevelType w:val="hybridMultilevel"/>
    <w:lvl w:ilvl="0">
      <w:lvlJc w:val="left"/>
      <w:lvlText w:val="(%1)"/>
      <w:numFmt w:val="lowerLetter"/>
      <w:start w:val="25"/>
    </w:lvl>
    <w:lvl w:ilvl="1">
      <w:lvlJc w:val="left"/>
      <w:lvlText w:val="%2"/>
      <w:numFmt w:val="lowerRoman"/>
      <w:start w:val="1"/>
    </w:lvl>
  </w:abstractNum>
  <w:abstractNum w:abstractNumId="10">
    <w:nsid w:val="436C6125"/>
    <w:multiLevelType w:val="hybridMultilevel"/>
    <w:lvl w:ilvl="0">
      <w:lvlJc w:val="left"/>
      <w:lvlText w:val="(%1)"/>
      <w:numFmt w:val="lowerRoman"/>
      <w:start w:val="3"/>
    </w:lvl>
  </w:abstractNum>
  <w:abstractNum w:abstractNumId="11">
    <w:nsid w:val="628C895D"/>
    <w:multiLevelType w:val="hybridMultilevel"/>
    <w:lvl w:ilvl="0">
      <w:lvlJc w:val="left"/>
      <w:lvlText w:val="%1"/>
      <w:numFmt w:val="decimal"/>
      <w:start w:val="1"/>
    </w:lvl>
    <w:lvl w:ilvl="1">
      <w:lvlJc w:val="left"/>
      <w:lvlText w:val="(%2)"/>
      <w:numFmt w:val="lowerLetter"/>
      <w:start w:val="4"/>
    </w:lvl>
  </w:abstractNum>
  <w:abstractNum w:abstractNumId="12">
    <w:nsid w:val="333AB105"/>
    <w:multiLevelType w:val="hybridMultilevel"/>
    <w:lvl w:ilvl="0">
      <w:lvlJc w:val="left"/>
      <w:lvlText w:val="(%1)"/>
      <w:numFmt w:val="decimal"/>
      <w:start w:val="8"/>
    </w:lvl>
    <w:lvl w:ilvl="1">
      <w:lvlJc w:val="left"/>
      <w:lvlText w:val="%2"/>
      <w:numFmt w:val="lowerLetter"/>
      <w:start w:val="1"/>
    </w:lvl>
  </w:abstractNum>
  <w:abstractNum w:abstractNumId="13">
    <w:nsid w:val="721DA317"/>
    <w:multiLevelType w:val="hybridMultilevel"/>
    <w:lvl w:ilvl="0">
      <w:lvlJc w:val="left"/>
      <w:lvlText w:val="(%1)"/>
      <w:numFmt w:val="lowerLetter"/>
      <w:start w:val="7"/>
    </w:lvl>
  </w:abstractNum>
  <w:abstractNum w:abstractNumId="14">
    <w:nsid w:val="2443A858"/>
    <w:multiLevelType w:val="hybridMultilevel"/>
    <w:lvl w:ilvl="0">
      <w:lvlJc w:val="left"/>
      <w:lvlText w:val="%1"/>
      <w:numFmt w:val="lowerLetter"/>
      <w:start w:val="1"/>
    </w:lvl>
    <w:lvl w:ilvl="1">
      <w:lvlJc w:val="left"/>
      <w:lvlText w:val="(%2)"/>
      <w:numFmt w:val="lowerLetter"/>
      <w:start w:val="1"/>
    </w:lvl>
  </w:abstractNum>
  <w:abstractNum w:abstractNumId="15">
    <w:nsid w:val="2D1D5AE9"/>
    <w:multiLevelType w:val="hybridMultilevel"/>
    <w:lvl w:ilvl="0">
      <w:lvlJc w:val="left"/>
      <w:lvlText w:val="(%1)"/>
      <w:numFmt w:val="lowerLetter"/>
      <w:start w:val="9"/>
    </w:lvl>
    <w:lvl w:ilvl="1">
      <w:lvlJc w:val="left"/>
      <w:lvlText w:val="%2"/>
      <w:numFmt w:val="lowerLetter"/>
      <w:start w:val="1"/>
    </w:lvl>
  </w:abstractNum>
  <w:abstractNum w:abstractNumId="16">
    <w:nsid w:val="6763845E"/>
    <w:multiLevelType w:val="hybridMultilevel"/>
    <w:lvl w:ilvl="0">
      <w:lvlJc w:val="left"/>
      <w:lvlText w:val="(%1)"/>
      <w:numFmt w:val="lowerLetter"/>
      <w:start w:val="3"/>
    </w:lvl>
    <w:lvl w:ilvl="1">
      <w:lvlJc w:val="left"/>
      <w:lvlText w:val="(%2)"/>
      <w:numFmt w:val="lowerRoman"/>
      <w:start w:val="1"/>
    </w:lvl>
  </w:abstractNum>
  <w:abstractNum w:abstractNumId="17">
    <w:nsid w:val="75A2A8D4"/>
    <w:multiLevelType w:val="hybridMultilevel"/>
    <w:lvl w:ilvl="0">
      <w:lvlJc w:val="left"/>
      <w:lvlText w:val="%1"/>
      <w:numFmt w:val="lowerLetter"/>
      <w:start w:val="1"/>
    </w:lvl>
    <w:lvl w:ilvl="1">
      <w:lvlJc w:val="left"/>
      <w:lvlText w:val="(%2)"/>
      <w:numFmt w:val="lowerRoman"/>
      <w:start w:val="4"/>
    </w:lvl>
  </w:abstractNum>
  <w:abstractNum w:abstractNumId="18">
    <w:nsid w:val="8EDBDAB"/>
    <w:multiLevelType w:val="hybridMultilevel"/>
    <w:lvl w:ilvl="0">
      <w:lvlJc w:val="left"/>
      <w:lvlText w:val="(%1)"/>
      <w:numFmt w:val="lowerLetter"/>
      <w:start w:val="4"/>
    </w:lvl>
    <w:lvl w:ilvl="1">
      <w:lvlJc w:val="left"/>
      <w:lvlText w:val="%2"/>
      <w:numFmt w:val="lowerRoman"/>
      <w:start w:val="1"/>
    </w:lvl>
  </w:abstractNum>
  <w:abstractNum w:abstractNumId="19">
    <w:nsid w:val="79838CB2"/>
    <w:multiLevelType w:val="hybridMultilevel"/>
    <w:lvl w:ilvl="0">
      <w:lvlJc w:val="left"/>
      <w:lvlText w:val="(%1)"/>
      <w:numFmt w:val="lowerLetter"/>
      <w:start w:val="6"/>
    </w:lvl>
  </w:abstractNum>
  <w:abstractNum w:abstractNumId="20">
    <w:nsid w:val="4353D0CD"/>
    <w:multiLevelType w:val="hybridMultilevel"/>
    <w:lvl w:ilvl="0">
      <w:lvlJc w:val="left"/>
      <w:lvlText w:val="(%1)"/>
      <w:numFmt w:val="lowerLetter"/>
      <w:start w:val="9"/>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2"/>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6"/>
    </w:lvl>
    <w:lvl w:ilvl="1">
      <w:lvlJc w:val="left"/>
      <w:lvlText w:val="(%2)"/>
      <w:numFmt w:val="lowerRoman"/>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2026-05-15T05:40:47Z</dcterms:created>
  <dcterms:modified xsi:type="dcterms:W3CDTF">2026-05-15T05:40:47Z</dcterms:modified>
</cp:coreProperties>
</file>