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(RULE 13d-101)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 13d-1(a)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AMENDMENTS THERETO FILED PURSUANT TO RULE 13d-2(a)</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Galera 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$0.001 par value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36338D108</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Nathalie Auber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Sofinnova Investments,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3000 Sand Hill Road, Bldg 4, Suite 250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(650) 681-8420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Jonathan Goodwin,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Gunderson Dettmer Stough Villeneuve Franklin &amp; Hachigian,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550 Allerton Street, Redwood City, CA 94063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(650) 321-2400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240.13d-7 for other parties to whom copies are to be sent.</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36338D108</w:t>
            </w:r>
          </w:p>
        </w:tc>
        <w:tc>
          <w:tcPr>
            <w:tcW w:w="1120" w:type="dxa"/>
            <w:vAlign w:val="bottom"/>
          </w:tcPr>
          <w:p>
            <w:pPr>
              <w:spacing w:after="0"/>
              <w:rPr>
                <w:sz w:val="20"/>
                <w:szCs w:val="20"/>
                <w:color w:val="auto"/>
              </w:rPr>
            </w:pPr>
          </w:p>
        </w:tc>
        <w:tc>
          <w:tcPr>
            <w:tcW w:w="37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7"/>
              </w:rPr>
              <w:t>Page 2 of 11</w:t>
            </w:r>
          </w:p>
        </w:tc>
        <w:tc>
          <w:tcPr>
            <w:tcW w:w="0" w:type="dxa"/>
            <w:vAlign w:val="bottom"/>
          </w:tcPr>
          <w:p>
            <w:pPr>
              <w:spacing w:after="0"/>
              <w:rPr>
                <w:sz w:val="1"/>
                <w:szCs w:val="1"/>
                <w:color w:val="auto"/>
              </w:rPr>
            </w:pPr>
          </w:p>
        </w:tc>
      </w:tr>
      <w:tr>
        <w:trPr>
          <w:trHeight w:val="216"/>
        </w:trPr>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2"/>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62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right w:val="single" w:sz="8" w:color="auto"/>
            </w:tcBorders>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78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7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Sofinnova Venture Partners IX, L.P. (“SVP IX”)</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2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7140" w:type="dxa"/>
            <w:vAlign w:val="bottom"/>
            <w:tcBorders>
              <w:bottom w:val="single" w:sz="8" w:color="auto"/>
            </w:tcBorders>
            <w:gridSpan w:val="3"/>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spacing w:after="0"/>
              <w:rPr>
                <w:sz w:val="21"/>
                <w:szCs w:val="21"/>
                <w:color w:val="auto"/>
              </w:rPr>
            </w:pPr>
          </w:p>
        </w:tc>
        <w:tc>
          <w:tcPr>
            <w:tcW w:w="7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Borders>
              <w:right w:val="single" w:sz="8" w:color="auto"/>
            </w:tcBorders>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620" w:type="dxa"/>
            <w:vAlign w:val="bottom"/>
            <w:tcBorders>
              <w:lef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80" w:type="dxa"/>
            <w:vAlign w:val="bottom"/>
          </w:tcPr>
          <w:p>
            <w:pPr>
              <w:ind w:left="25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w:t>
            </w:r>
          </w:p>
        </w:tc>
        <w:tc>
          <w:tcPr>
            <w:tcW w:w="296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20" w:type="dxa"/>
            <w:vAlign w:val="bottom"/>
            <w:tcBorders>
              <w:left w:val="single" w:sz="8" w:color="auto"/>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right w:val="single" w:sz="8" w:color="auto"/>
            </w:tcBorders>
          </w:tcPr>
          <w:p>
            <w:pPr>
              <w:spacing w:after="0"/>
              <w:rPr>
                <w:sz w:val="24"/>
                <w:szCs w:val="2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1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2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right w:val="single" w:sz="8" w:color="auto"/>
            </w:tcBorders>
          </w:tcPr>
          <w:p>
            <w:pPr>
              <w:spacing w:after="0"/>
              <w:rPr>
                <w:sz w:val="24"/>
                <w:szCs w:val="2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1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WC</w:t>
            </w:r>
          </w:p>
        </w:tc>
        <w:tc>
          <w:tcPr>
            <w:tcW w:w="1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1010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Borders>
              <w:right w:val="single" w:sz="8" w:color="auto"/>
            </w:tcBorders>
          </w:tcPr>
          <w:p>
            <w:pPr>
              <w:spacing w:after="0"/>
              <w:rPr>
                <w:sz w:val="24"/>
                <w:szCs w:val="24"/>
                <w:color w:val="auto"/>
              </w:rPr>
            </w:pPr>
          </w:p>
        </w:tc>
        <w:tc>
          <w:tcPr>
            <w:tcW w:w="10100" w:type="dxa"/>
            <w:vAlign w:val="bottom"/>
            <w:tcBorders>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7"/>
        </w:trPr>
        <w:tc>
          <w:tcPr>
            <w:tcW w:w="620" w:type="dxa"/>
            <w:vAlign w:val="bottom"/>
            <w:tcBorders>
              <w:left w:val="single" w:sz="8" w:color="auto"/>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140" w:type="dxa"/>
            <w:vAlign w:val="bottom"/>
            <w:tcBorders>
              <w:bottom w:val="single" w:sz="8" w:color="auto"/>
            </w:tcBorders>
            <w:gridSpan w:val="3"/>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Borders>
              <w:right w:val="single" w:sz="8" w:color="auto"/>
            </w:tcBorders>
          </w:tcPr>
          <w:p>
            <w:pPr>
              <w:spacing w:after="0"/>
              <w:rPr>
                <w:sz w:val="24"/>
                <w:szCs w:val="24"/>
                <w:color w:val="auto"/>
              </w:rPr>
            </w:pPr>
          </w:p>
        </w:tc>
        <w:tc>
          <w:tcPr>
            <w:tcW w:w="7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Delaware</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2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Borders>
              <w:right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240" w:type="dxa"/>
            <w:vAlign w:val="bottom"/>
            <w:tcBorders>
              <w:right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w w:val="98"/>
              </w:rPr>
              <w:t>SHARES</w:t>
            </w:r>
          </w:p>
        </w:tc>
        <w:tc>
          <w:tcPr>
            <w:tcW w:w="1120" w:type="dxa"/>
            <w:vAlign w:val="bottom"/>
            <w:tcBorders>
              <w:right w:val="single" w:sz="8" w:color="auto"/>
            </w:tcBorders>
          </w:tcPr>
          <w:p>
            <w:pPr>
              <w:spacing w:after="0"/>
              <w:rPr>
                <w:sz w:val="18"/>
                <w:szCs w:val="18"/>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620" w:type="dxa"/>
            <w:vAlign w:val="bottom"/>
            <w:tcBorders>
              <w:left w:val="single" w:sz="8" w:color="auto"/>
            </w:tcBorders>
          </w:tcPr>
          <w:p>
            <w:pPr>
              <w:spacing w:after="0"/>
              <w:rPr>
                <w:sz w:val="9"/>
                <w:szCs w:val="9"/>
                <w:color w:val="auto"/>
              </w:rPr>
            </w:pPr>
          </w:p>
        </w:tc>
        <w:tc>
          <w:tcPr>
            <w:tcW w:w="2780" w:type="dxa"/>
            <w:vAlign w:val="bottom"/>
            <w:tcBorders>
              <w:right w:val="single" w:sz="8" w:color="auto"/>
            </w:tcBorders>
            <w:gridSpan w:val="2"/>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1120" w:type="dxa"/>
            <w:vAlign w:val="bottom"/>
            <w:tcBorders>
              <w:bottom w:val="single" w:sz="8" w:color="auto"/>
              <w:right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20" w:type="dxa"/>
            <w:vAlign w:val="bottom"/>
            <w:tcBorders>
              <w:left w:val="single" w:sz="8" w:color="auto"/>
            </w:tcBorders>
          </w:tcPr>
          <w:p>
            <w:pPr>
              <w:spacing w:after="0"/>
              <w:rPr>
                <w:sz w:val="7"/>
                <w:szCs w:val="7"/>
                <w:color w:val="auto"/>
              </w:rPr>
            </w:pPr>
          </w:p>
        </w:tc>
        <w:tc>
          <w:tcPr>
            <w:tcW w:w="278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37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20" w:type="dxa"/>
            <w:vAlign w:val="bottom"/>
            <w:tcBorders>
              <w:left w:val="single" w:sz="8" w:color="auto"/>
            </w:tcBorders>
          </w:tcPr>
          <w:p>
            <w:pPr>
              <w:spacing w:after="0"/>
              <w:rPr>
                <w:sz w:val="17"/>
                <w:szCs w:val="17"/>
                <w:color w:val="auto"/>
              </w:rPr>
            </w:pPr>
          </w:p>
        </w:tc>
        <w:tc>
          <w:tcPr>
            <w:tcW w:w="2780" w:type="dxa"/>
            <w:vAlign w:val="bottom"/>
            <w:tcBorders>
              <w:right w:val="single" w:sz="8" w:color="auto"/>
            </w:tcBorders>
            <w:gridSpan w:val="2"/>
          </w:tcPr>
          <w:p>
            <w:pPr>
              <w:jc w:val="center"/>
              <w:ind w:right="510"/>
              <w:spacing w:after="0" w:line="202" w:lineRule="exact"/>
              <w:rPr>
                <w:sz w:val="20"/>
                <w:szCs w:val="20"/>
                <w:color w:val="auto"/>
              </w:rPr>
            </w:pPr>
            <w:r>
              <w:rPr>
                <w:rFonts w:ascii="Times New Roman" w:cs="Times New Roman" w:eastAsia="Times New Roman" w:hAnsi="Times New Roman"/>
                <w:sz w:val="18"/>
                <w:szCs w:val="18"/>
                <w:color w:val="auto"/>
                <w:w w:val="99"/>
              </w:rPr>
              <w:t>OWNED BY EACH</w:t>
            </w:r>
          </w:p>
        </w:tc>
        <w:tc>
          <w:tcPr>
            <w:tcW w:w="1120" w:type="dxa"/>
            <w:vAlign w:val="bottom"/>
            <w:tcBorders>
              <w:right w:val="single" w:sz="8" w:color="auto"/>
            </w:tcBorders>
            <w:vMerge w:val="continue"/>
          </w:tcPr>
          <w:p>
            <w:pPr>
              <w:spacing w:after="0"/>
              <w:rPr>
                <w:sz w:val="17"/>
                <w:szCs w:val="17"/>
                <w:color w:val="auto"/>
              </w:rPr>
            </w:pPr>
          </w:p>
        </w:tc>
        <w:tc>
          <w:tcPr>
            <w:tcW w:w="3780" w:type="dxa"/>
            <w:vAlign w:val="bottom"/>
            <w:vMerge w:val="continue"/>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240" w:type="dxa"/>
            <w:vAlign w:val="bottom"/>
            <w:tcBorders>
              <w:right w:val="single" w:sz="8" w:color="auto"/>
            </w:tcBorders>
          </w:tcPr>
          <w:p>
            <w:pPr>
              <w:jc w:val="center"/>
              <w:ind w:right="1070"/>
              <w:spacing w:after="0"/>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9"/>
                <w:szCs w:val="19"/>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620" w:type="dxa"/>
            <w:vAlign w:val="bottom"/>
            <w:tcBorders>
              <w:lef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40" w:type="dxa"/>
            <w:vAlign w:val="bottom"/>
            <w:tcBorders>
              <w:right w:val="single" w:sz="8" w:color="auto"/>
            </w:tcBorders>
            <w:vMerge w:val="restart"/>
          </w:tcPr>
          <w:p>
            <w:pPr>
              <w:jc w:val="center"/>
              <w:ind w:right="1070"/>
              <w:spacing w:after="0"/>
              <w:rPr>
                <w:sz w:val="20"/>
                <w:szCs w:val="20"/>
                <w:color w:val="auto"/>
              </w:rPr>
            </w:pPr>
            <w:r>
              <w:rPr>
                <w:rFonts w:ascii="Times New Roman" w:cs="Times New Roman" w:eastAsia="Times New Roman" w:hAnsi="Times New Roman"/>
                <w:sz w:val="18"/>
                <w:szCs w:val="18"/>
                <w:color w:val="auto"/>
                <w:w w:val="98"/>
              </w:rPr>
              <w:t>PERSON</w:t>
            </w:r>
          </w:p>
        </w:tc>
        <w:tc>
          <w:tcPr>
            <w:tcW w:w="112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20" w:type="dxa"/>
            <w:vAlign w:val="bottom"/>
            <w:tcBorders>
              <w:lef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37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240" w:type="dxa"/>
            <w:vAlign w:val="bottom"/>
            <w:tcBorders>
              <w:right w:val="single" w:sz="8" w:color="auto"/>
            </w:tcBorders>
          </w:tcPr>
          <w:p>
            <w:pPr>
              <w:jc w:val="center"/>
              <w:ind w:right="1070"/>
              <w:spacing w:after="0" w:line="189" w:lineRule="exact"/>
              <w:rPr>
                <w:sz w:val="20"/>
                <w:szCs w:val="20"/>
                <w:color w:val="auto"/>
              </w:rPr>
            </w:pPr>
            <w:r>
              <w:rPr>
                <w:rFonts w:ascii="Times New Roman" w:cs="Times New Roman" w:eastAsia="Times New Roman" w:hAnsi="Times New Roman"/>
                <w:sz w:val="18"/>
                <w:szCs w:val="18"/>
                <w:color w:val="auto"/>
              </w:rPr>
              <w:t>WITH</w:t>
            </w:r>
          </w:p>
        </w:tc>
        <w:tc>
          <w:tcPr>
            <w:tcW w:w="1120" w:type="dxa"/>
            <w:vAlign w:val="bottom"/>
            <w:tcBorders>
              <w:right w:val="single" w:sz="8" w:color="auto"/>
            </w:tcBorders>
            <w:vMerge w:val="continue"/>
          </w:tcPr>
          <w:p>
            <w:pPr>
              <w:spacing w:after="0"/>
              <w:rPr>
                <w:sz w:val="16"/>
                <w:szCs w:val="16"/>
                <w:color w:val="auto"/>
              </w:rPr>
            </w:pPr>
          </w:p>
        </w:tc>
        <w:tc>
          <w:tcPr>
            <w:tcW w:w="3780" w:type="dxa"/>
            <w:vAlign w:val="bottom"/>
            <w:vMerge w:val="continue"/>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20" w:type="dxa"/>
            <w:vAlign w:val="bottom"/>
            <w:tcBorders>
              <w:lef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2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right w:val="single" w:sz="8" w:color="auto"/>
            </w:tcBorders>
          </w:tcPr>
          <w:p>
            <w:pPr>
              <w:spacing w:after="0"/>
              <w:rPr>
                <w:sz w:val="24"/>
                <w:szCs w:val="24"/>
                <w:color w:val="auto"/>
              </w:rPr>
            </w:pPr>
          </w:p>
        </w:tc>
        <w:tc>
          <w:tcPr>
            <w:tcW w:w="7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4"/>
        </w:trPr>
        <w:tc>
          <w:tcPr>
            <w:tcW w:w="62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Borders>
              <w:right w:val="single" w:sz="8" w:color="auto"/>
            </w:tcBorders>
          </w:tcPr>
          <w:p>
            <w:pPr>
              <w:spacing w:after="0"/>
              <w:rPr>
                <w:sz w:val="24"/>
                <w:szCs w:val="24"/>
                <w:color w:val="auto"/>
              </w:rPr>
            </w:pPr>
          </w:p>
        </w:tc>
        <w:tc>
          <w:tcPr>
            <w:tcW w:w="7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CHECK BOX IF THE AGGREGATE AMOUNT IN ROW 11 EXCLUDES CERTAIN SHARES</w:t>
            </w:r>
          </w:p>
        </w:tc>
        <w:tc>
          <w:tcPr>
            <w:tcW w:w="2960" w:type="dxa"/>
            <w:vAlign w:val="bottom"/>
            <w:tcBorders>
              <w:right w:val="single" w:sz="8" w:color="auto"/>
            </w:tcBorders>
          </w:tcPr>
          <w:p>
            <w:pPr>
              <w:ind w:left="1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6"/>
        </w:trPr>
        <w:tc>
          <w:tcPr>
            <w:tcW w:w="620" w:type="dxa"/>
            <w:vAlign w:val="bottom"/>
            <w:tcBorders>
              <w:left w:val="single" w:sz="8" w:color="auto"/>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right w:val="single" w:sz="8" w:color="auto"/>
            </w:tcBorders>
          </w:tcPr>
          <w:p>
            <w:pPr>
              <w:spacing w:after="0"/>
              <w:rPr>
                <w:sz w:val="24"/>
                <w:szCs w:val="24"/>
                <w:color w:val="auto"/>
              </w:rPr>
            </w:pPr>
          </w:p>
        </w:tc>
        <w:tc>
          <w:tcPr>
            <w:tcW w:w="7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96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95"/>
        </w:trPr>
        <w:tc>
          <w:tcPr>
            <w:tcW w:w="62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Borders>
              <w:right w:val="single" w:sz="8" w:color="auto"/>
            </w:tcBorders>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780" w:type="dxa"/>
            <w:vAlign w:val="bottom"/>
          </w:tcPr>
          <w:p>
            <w:pPr>
              <w:spacing w:after="0"/>
              <w:rPr>
                <w:sz w:val="24"/>
                <w:szCs w:val="24"/>
                <w:color w:val="auto"/>
              </w:rPr>
            </w:pPr>
          </w:p>
        </w:tc>
        <w:tc>
          <w:tcPr>
            <w:tcW w:w="296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PN</w:t>
            </w:r>
          </w:p>
        </w:tc>
        <w:tc>
          <w:tcPr>
            <w:tcW w:w="0" w:type="dxa"/>
            <w:vAlign w:val="bottom"/>
          </w:tcPr>
          <w:p>
            <w:pPr>
              <w:spacing w:after="0"/>
              <w:rPr>
                <w:sz w:val="1"/>
                <w:szCs w:val="1"/>
                <w:color w:val="auto"/>
              </w:rPr>
            </w:pPr>
          </w:p>
        </w:tc>
      </w:tr>
      <w:tr>
        <w:trPr>
          <w:trHeight w:val="94"/>
        </w:trPr>
        <w:tc>
          <w:tcPr>
            <w:tcW w:w="62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8"/>
        </w:trPr>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36338D108</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13D</w:t>
            </w:r>
          </w:p>
        </w:tc>
        <w:tc>
          <w:tcPr>
            <w:tcW w:w="296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7"/>
              </w:rPr>
              <w:t>Page 3 of 11</w:t>
            </w:r>
          </w:p>
        </w:tc>
        <w:tc>
          <w:tcPr>
            <w:tcW w:w="0" w:type="dxa"/>
            <w:vAlign w:val="bottom"/>
          </w:tcPr>
          <w:p>
            <w:pPr>
              <w:spacing w:after="0"/>
              <w:rPr>
                <w:sz w:val="1"/>
                <w:szCs w:val="1"/>
                <w:color w:val="auto"/>
              </w:rPr>
            </w:pPr>
          </w:p>
        </w:tc>
      </w:tr>
      <w:tr>
        <w:trPr>
          <w:trHeight w:val="216"/>
        </w:trPr>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right w:val="single" w:sz="8" w:color="auto"/>
            </w:tcBorders>
          </w:tcPr>
          <w:p>
            <w:pPr>
              <w:spacing w:after="0"/>
              <w:rPr>
                <w:sz w:val="24"/>
                <w:szCs w:val="24"/>
                <w:color w:val="auto"/>
              </w:rPr>
            </w:pP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70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Sofinnova Management IX, L.L.C. (“SM IX”)</w:t>
            </w:r>
          </w:p>
        </w:tc>
        <w:tc>
          <w:tcPr>
            <w:tcW w:w="370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7140" w:type="dxa"/>
            <w:vAlign w:val="bottom"/>
            <w:tcBorders>
              <w:bottom w:val="single" w:sz="8" w:color="auto"/>
            </w:tcBorders>
            <w:gridSpan w:val="4"/>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Borders>
              <w:right w:val="single" w:sz="8" w:color="auto"/>
            </w:tcBorders>
          </w:tcPr>
          <w:p>
            <w:pPr>
              <w:spacing w:after="0"/>
              <w:rPr>
                <w:sz w:val="21"/>
                <w:szCs w:val="21"/>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960" w:type="dxa"/>
            <w:vAlign w:val="bottom"/>
            <w:tcBorders>
              <w:right w:val="single" w:sz="8" w:color="auto"/>
            </w:tcBorders>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ind w:left="24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w:t>
            </w:r>
          </w:p>
        </w:tc>
        <w:tc>
          <w:tcPr>
            <w:tcW w:w="296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4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Borders>
              <w:right w:val="single" w:sz="8" w:color="auto"/>
            </w:tcBorders>
          </w:tcPr>
          <w:p>
            <w:pPr>
              <w:spacing w:after="0"/>
              <w:rPr>
                <w:sz w:val="24"/>
                <w:szCs w:val="2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Borders>
              <w:right w:val="single" w:sz="8" w:color="auto"/>
            </w:tcBorders>
          </w:tcPr>
          <w:p>
            <w:pPr>
              <w:spacing w:after="0"/>
              <w:rPr>
                <w:sz w:val="24"/>
                <w:szCs w:val="2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10100" w:type="dxa"/>
            <w:vAlign w:val="bottom"/>
            <w:tcBorders>
              <w:bottom w:val="single" w:sz="8" w:color="auto"/>
              <w:right w:val="single" w:sz="8" w:color="auto"/>
            </w:tcBorders>
            <w:gridSpan w:val="5"/>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Borders>
              <w:right w:val="single" w:sz="8" w:color="auto"/>
            </w:tcBorders>
          </w:tcPr>
          <w:p>
            <w:pPr>
              <w:spacing w:after="0"/>
              <w:rPr>
                <w:sz w:val="24"/>
                <w:szCs w:val="24"/>
                <w:color w:val="auto"/>
              </w:rPr>
            </w:pPr>
          </w:p>
        </w:tc>
        <w:tc>
          <w:tcPr>
            <w:tcW w:w="10100" w:type="dxa"/>
            <w:vAlign w:val="bottom"/>
            <w:tcBorders>
              <w:right w:val="single" w:sz="8" w:color="auto"/>
            </w:tcBorders>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7"/>
        </w:trPr>
        <w:tc>
          <w:tcPr>
            <w:tcW w:w="64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140" w:type="dxa"/>
            <w:vAlign w:val="bottom"/>
            <w:tcBorders>
              <w:bottom w:val="single" w:sz="8" w:color="auto"/>
            </w:tcBorders>
            <w:gridSpan w:val="4"/>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Borders>
              <w:right w:val="single" w:sz="8" w:color="auto"/>
            </w:tcBorders>
          </w:tcPr>
          <w:p>
            <w:pPr>
              <w:spacing w:after="0"/>
              <w:rPr>
                <w:sz w:val="24"/>
                <w:szCs w:val="24"/>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Delaware</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4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rPr>
              <w:t>SHARES</w:t>
            </w:r>
          </w:p>
        </w:tc>
        <w:tc>
          <w:tcPr>
            <w:tcW w:w="1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640" w:type="dxa"/>
            <w:vAlign w:val="bottom"/>
            <w:tcBorders>
              <w:left w:val="single" w:sz="8" w:color="auto"/>
            </w:tcBorders>
          </w:tcPr>
          <w:p>
            <w:pPr>
              <w:spacing w:after="0"/>
              <w:rPr>
                <w:sz w:val="9"/>
                <w:szCs w:val="9"/>
                <w:color w:val="auto"/>
              </w:rPr>
            </w:pPr>
          </w:p>
        </w:tc>
        <w:tc>
          <w:tcPr>
            <w:tcW w:w="2760" w:type="dxa"/>
            <w:vAlign w:val="bottom"/>
            <w:tcBorders>
              <w:right w:val="single" w:sz="8" w:color="auto"/>
            </w:tcBorders>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7"/>
              </w:rPr>
              <w:t>BENEFICIALLY</w:t>
            </w:r>
          </w:p>
        </w:tc>
        <w:tc>
          <w:tcPr>
            <w:tcW w:w="11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2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40" w:type="dxa"/>
            <w:vAlign w:val="bottom"/>
            <w:tcBorders>
              <w:left w:val="single" w:sz="8" w:color="auto"/>
            </w:tcBorders>
          </w:tcPr>
          <w:p>
            <w:pPr>
              <w:spacing w:after="0"/>
              <w:rPr>
                <w:sz w:val="7"/>
                <w:szCs w:val="7"/>
                <w:color w:val="auto"/>
              </w:rPr>
            </w:pPr>
          </w:p>
        </w:tc>
        <w:tc>
          <w:tcPr>
            <w:tcW w:w="276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7"/>
                <w:szCs w:val="7"/>
                <w:color w:val="auto"/>
              </w:rPr>
            </w:pPr>
          </w:p>
        </w:tc>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9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4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jc w:val="center"/>
              <w:ind w:right="450"/>
              <w:spacing w:after="0" w:line="202" w:lineRule="exact"/>
              <w:rPr>
                <w:sz w:val="20"/>
                <w:szCs w:val="20"/>
                <w:color w:val="auto"/>
              </w:rPr>
            </w:pPr>
            <w:r>
              <w:rPr>
                <w:rFonts w:ascii="Times New Roman" w:cs="Times New Roman" w:eastAsia="Times New Roman" w:hAnsi="Times New Roman"/>
                <w:sz w:val="18"/>
                <w:szCs w:val="18"/>
                <w:color w:val="auto"/>
                <w:w w:val="99"/>
              </w:rPr>
              <w:t>OWNED BY EACH</w:t>
            </w:r>
          </w:p>
        </w:tc>
        <w:tc>
          <w:tcPr>
            <w:tcW w:w="112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2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REPORTING</w:t>
            </w:r>
          </w:p>
        </w:tc>
        <w:tc>
          <w:tcPr>
            <w:tcW w:w="1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Borders>
              <w:right w:val="single" w:sz="8" w:color="auto"/>
            </w:tcBorders>
            <w:vMerge w:val="restart"/>
          </w:tcPr>
          <w:p>
            <w:pPr>
              <w:jc w:val="center"/>
              <w:ind w:right="970"/>
              <w:spacing w:after="0"/>
              <w:rPr>
                <w:sz w:val="20"/>
                <w:szCs w:val="20"/>
                <w:color w:val="auto"/>
              </w:rPr>
            </w:pPr>
            <w:r>
              <w:rPr>
                <w:rFonts w:ascii="Times New Roman" w:cs="Times New Roman" w:eastAsia="Times New Roman" w:hAnsi="Times New Roman"/>
                <w:sz w:val="18"/>
                <w:szCs w:val="18"/>
                <w:color w:val="auto"/>
              </w:rPr>
              <w:t>PERSON</w:t>
            </w:r>
          </w:p>
        </w:tc>
        <w:tc>
          <w:tcPr>
            <w:tcW w:w="11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4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8"/>
                <w:szCs w:val="8"/>
                <w:color w:val="auto"/>
              </w:rPr>
            </w:pPr>
          </w:p>
        </w:tc>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4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tcBorders>
              <w:right w:val="single" w:sz="8" w:color="auto"/>
            </w:tcBorders>
          </w:tcPr>
          <w:p>
            <w:pPr>
              <w:jc w:val="center"/>
              <w:ind w:right="970"/>
              <w:spacing w:after="0" w:line="189" w:lineRule="exact"/>
              <w:rPr>
                <w:sz w:val="20"/>
                <w:szCs w:val="20"/>
                <w:color w:val="auto"/>
              </w:rPr>
            </w:pPr>
            <w:r>
              <w:rPr>
                <w:rFonts w:ascii="Times New Roman" w:cs="Times New Roman" w:eastAsia="Times New Roman" w:hAnsi="Times New Roman"/>
                <w:sz w:val="18"/>
                <w:szCs w:val="18"/>
                <w:color w:val="auto"/>
                <w:w w:val="97"/>
              </w:rPr>
              <w:t>WITH</w:t>
            </w:r>
          </w:p>
        </w:tc>
        <w:tc>
          <w:tcPr>
            <w:tcW w:w="112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4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4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tcBorders>
            <w:gridSpan w:val="2"/>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Borders>
              <w:right w:val="single" w:sz="8" w:color="auto"/>
            </w:tcBorders>
          </w:tcPr>
          <w:p>
            <w:pPr>
              <w:spacing w:after="0"/>
              <w:rPr>
                <w:sz w:val="24"/>
                <w:szCs w:val="24"/>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96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gridSpan w:val="2"/>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Borders>
              <w:right w:val="single" w:sz="8" w:color="auto"/>
            </w:tcBorders>
          </w:tcPr>
          <w:p>
            <w:pPr>
              <w:spacing w:after="0"/>
              <w:rPr>
                <w:sz w:val="24"/>
                <w:szCs w:val="24"/>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CHECK BOX IF THE AGGREGATE AMOUNT IN ROW 11 EXCLUDES CERTAIN SHARES</w:t>
            </w:r>
          </w:p>
        </w:tc>
        <w:tc>
          <w:tcPr>
            <w:tcW w:w="2960" w:type="dxa"/>
            <w:vAlign w:val="bottom"/>
            <w:tcBorders>
              <w:right w:val="single" w:sz="8" w:color="auto"/>
            </w:tcBorders>
          </w:tcPr>
          <w:p>
            <w:pPr>
              <w:ind w:left="1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6"/>
        </w:trPr>
        <w:tc>
          <w:tcPr>
            <w:tcW w:w="64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gridSpan w:val="2"/>
          </w:tcPr>
          <w:p>
            <w:pPr>
              <w:spacing w:after="0"/>
              <w:rPr>
                <w:sz w:val="5"/>
                <w:szCs w:val="5"/>
                <w:color w:val="auto"/>
              </w:rPr>
            </w:pPr>
          </w:p>
        </w:tc>
        <w:tc>
          <w:tcPr>
            <w:tcW w:w="2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Borders>
              <w:right w:val="single" w:sz="8" w:color="auto"/>
            </w:tcBorders>
          </w:tcPr>
          <w:p>
            <w:pPr>
              <w:spacing w:after="0"/>
              <w:rPr>
                <w:sz w:val="24"/>
                <w:szCs w:val="24"/>
                <w:color w:val="auto"/>
              </w:rPr>
            </w:pPr>
          </w:p>
        </w:tc>
        <w:tc>
          <w:tcPr>
            <w:tcW w:w="7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96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95"/>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tcBorders>
              <w:right w:val="single" w:sz="8" w:color="auto"/>
            </w:tcBorders>
          </w:tcPr>
          <w:p>
            <w:pPr>
              <w:spacing w:after="0"/>
              <w:rPr>
                <w:sz w:val="24"/>
                <w:szCs w:val="24"/>
                <w:color w:val="auto"/>
              </w:rPr>
            </w:pP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700" w:type="dxa"/>
            <w:vAlign w:val="bottom"/>
          </w:tcPr>
          <w:p>
            <w:pPr>
              <w:spacing w:after="0"/>
              <w:rPr>
                <w:sz w:val="24"/>
                <w:szCs w:val="24"/>
                <w:color w:val="auto"/>
              </w:rPr>
            </w:pPr>
          </w:p>
        </w:tc>
        <w:tc>
          <w:tcPr>
            <w:tcW w:w="296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OO</w:t>
            </w: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73"/>
        </w:trPr>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36338D108</w:t>
            </w:r>
          </w:p>
        </w:tc>
        <w:tc>
          <w:tcPr>
            <w:tcW w:w="1120" w:type="dxa"/>
            <w:vAlign w:val="bottom"/>
          </w:tcPr>
          <w:p>
            <w:pPr>
              <w:spacing w:after="0"/>
              <w:rPr>
                <w:sz w:val="20"/>
                <w:szCs w:val="20"/>
                <w:color w:val="auto"/>
              </w:rPr>
            </w:pPr>
          </w:p>
        </w:tc>
        <w:tc>
          <w:tcPr>
            <w:tcW w:w="5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13D</w:t>
            </w:r>
          </w:p>
        </w:tc>
        <w:tc>
          <w:tcPr>
            <w:tcW w:w="15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7"/>
              </w:rPr>
              <w:t>Page 4 of 11</w:t>
            </w:r>
          </w:p>
        </w:tc>
        <w:tc>
          <w:tcPr>
            <w:tcW w:w="0" w:type="dxa"/>
            <w:vAlign w:val="bottom"/>
          </w:tcPr>
          <w:p>
            <w:pPr>
              <w:spacing w:after="0"/>
              <w:rPr>
                <w:sz w:val="1"/>
                <w:szCs w:val="1"/>
                <w:color w:val="auto"/>
              </w:rPr>
            </w:pPr>
          </w:p>
        </w:tc>
      </w:tr>
      <w:tr>
        <w:trPr>
          <w:trHeight w:val="216"/>
        </w:trPr>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2"/>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right w:val="single" w:sz="8" w:color="auto"/>
            </w:tcBorders>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522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Dr. James I. Healy (“Healy”)</w:t>
            </w:r>
          </w:p>
        </w:tc>
        <w:tc>
          <w:tcPr>
            <w:tcW w:w="11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tcBorders>
            <w:gridSpan w:val="3"/>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Borders>
              <w:right w:val="single" w:sz="8" w:color="auto"/>
            </w:tcBorders>
          </w:tcPr>
          <w:p>
            <w:pPr>
              <w:spacing w:after="0"/>
              <w:rPr>
                <w:sz w:val="21"/>
                <w:szCs w:val="21"/>
                <w:color w:val="auto"/>
              </w:rPr>
            </w:pPr>
          </w:p>
        </w:tc>
        <w:tc>
          <w:tcPr>
            <w:tcW w:w="8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64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tcPr>
          <w:p>
            <w:pPr>
              <w:ind w:left="254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4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Borders>
              <w:right w:val="single" w:sz="8" w:color="auto"/>
            </w:tcBorders>
          </w:tcPr>
          <w:p>
            <w:pPr>
              <w:spacing w:after="0"/>
              <w:rPr>
                <w:sz w:val="24"/>
                <w:szCs w:val="2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1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Borders>
              <w:right w:val="single" w:sz="8" w:color="auto"/>
            </w:tcBorders>
          </w:tcPr>
          <w:p>
            <w:pPr>
              <w:spacing w:after="0"/>
              <w:rPr>
                <w:sz w:val="24"/>
                <w:szCs w:val="24"/>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1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w:t>
            </w:r>
          </w:p>
        </w:tc>
        <w:tc>
          <w:tcPr>
            <w:tcW w:w="11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tcBorders>
            <w:gridSpan w:val="3"/>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Borders>
              <w:right w:val="single" w:sz="8" w:color="auto"/>
            </w:tcBorders>
          </w:tcPr>
          <w:p>
            <w:pPr>
              <w:spacing w:after="0"/>
              <w:rPr>
                <w:sz w:val="24"/>
                <w:szCs w:val="24"/>
                <w:color w:val="auto"/>
              </w:rPr>
            </w:pPr>
          </w:p>
        </w:tc>
        <w:tc>
          <w:tcPr>
            <w:tcW w:w="8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1520" w:type="dxa"/>
            <w:vAlign w:val="bottom"/>
            <w:tcBorders>
              <w:right w:val="single" w:sz="8" w:color="auto"/>
            </w:tcBorders>
          </w:tcPr>
          <w:p>
            <w:pPr>
              <w:jc w:val="right"/>
              <w:ind w:right="115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7"/>
        </w:trPr>
        <w:tc>
          <w:tcPr>
            <w:tcW w:w="64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80" w:type="dxa"/>
            <w:vAlign w:val="bottom"/>
            <w:tcBorders>
              <w:bottom w:val="single" w:sz="8" w:color="auto"/>
            </w:tcBorders>
            <w:gridSpan w:val="3"/>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tcBorders>
              <w:right w:val="single" w:sz="8" w:color="auto"/>
            </w:tcBorders>
          </w:tcPr>
          <w:p>
            <w:pPr>
              <w:spacing w:after="0"/>
              <w:rPr>
                <w:sz w:val="24"/>
                <w:szCs w:val="24"/>
                <w:color w:val="auto"/>
              </w:rPr>
            </w:pPr>
          </w:p>
        </w:tc>
        <w:tc>
          <w:tcPr>
            <w:tcW w:w="8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 U.S. Citizen</w:t>
            </w: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4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NUMBER OF</w:t>
            </w: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tcBorders>
              <w:right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rPr>
              <w:t>SHARES</w:t>
            </w:r>
          </w:p>
        </w:tc>
        <w:tc>
          <w:tcPr>
            <w:tcW w:w="1120" w:type="dxa"/>
            <w:vAlign w:val="bottom"/>
            <w:tcBorders>
              <w:right w:val="single" w:sz="8" w:color="auto"/>
            </w:tcBorders>
          </w:tcPr>
          <w:p>
            <w:pPr>
              <w:spacing w:after="0"/>
              <w:rPr>
                <w:sz w:val="18"/>
                <w:szCs w:val="18"/>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640" w:type="dxa"/>
            <w:vAlign w:val="bottom"/>
            <w:tcBorders>
              <w:left w:val="single" w:sz="8" w:color="auto"/>
            </w:tcBorders>
          </w:tcPr>
          <w:p>
            <w:pPr>
              <w:spacing w:after="0"/>
              <w:rPr>
                <w:sz w:val="9"/>
                <w:szCs w:val="9"/>
                <w:color w:val="auto"/>
              </w:rPr>
            </w:pPr>
          </w:p>
        </w:tc>
        <w:tc>
          <w:tcPr>
            <w:tcW w:w="2760" w:type="dxa"/>
            <w:vAlign w:val="bottom"/>
            <w:tcBorders>
              <w:right w:val="single" w:sz="8" w:color="auto"/>
            </w:tcBorders>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7"/>
              </w:rPr>
              <w:t>BENEFICIALLY</w:t>
            </w:r>
          </w:p>
        </w:tc>
        <w:tc>
          <w:tcPr>
            <w:tcW w:w="1120" w:type="dxa"/>
            <w:vAlign w:val="bottom"/>
            <w:tcBorders>
              <w:bottom w:val="single" w:sz="8" w:color="auto"/>
              <w:right w:val="single" w:sz="8" w:color="auto"/>
            </w:tcBorders>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40" w:type="dxa"/>
            <w:vAlign w:val="bottom"/>
            <w:tcBorders>
              <w:left w:val="single" w:sz="8" w:color="auto"/>
            </w:tcBorders>
          </w:tcPr>
          <w:p>
            <w:pPr>
              <w:spacing w:after="0"/>
              <w:rPr>
                <w:sz w:val="7"/>
                <w:szCs w:val="7"/>
                <w:color w:val="auto"/>
              </w:rPr>
            </w:pPr>
          </w:p>
        </w:tc>
        <w:tc>
          <w:tcPr>
            <w:tcW w:w="276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4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jc w:val="center"/>
              <w:ind w:right="450"/>
              <w:spacing w:after="0" w:line="202" w:lineRule="exact"/>
              <w:rPr>
                <w:sz w:val="20"/>
                <w:szCs w:val="20"/>
                <w:color w:val="auto"/>
              </w:rPr>
            </w:pPr>
            <w:r>
              <w:rPr>
                <w:rFonts w:ascii="Times New Roman" w:cs="Times New Roman" w:eastAsia="Times New Roman" w:hAnsi="Times New Roman"/>
                <w:sz w:val="18"/>
                <w:szCs w:val="18"/>
                <w:color w:val="auto"/>
                <w:w w:val="99"/>
              </w:rPr>
              <w:t>OWNED BY EACH</w:t>
            </w:r>
          </w:p>
        </w:tc>
        <w:tc>
          <w:tcPr>
            <w:tcW w:w="1120" w:type="dxa"/>
            <w:vAlign w:val="bottom"/>
            <w:tcBorders>
              <w:right w:val="single" w:sz="8" w:color="auto"/>
            </w:tcBorders>
            <w:vMerge w:val="continue"/>
          </w:tcPr>
          <w:p>
            <w:pPr>
              <w:spacing w:after="0"/>
              <w:rPr>
                <w:sz w:val="17"/>
                <w:szCs w:val="17"/>
                <w:color w:val="auto"/>
              </w:rPr>
            </w:pPr>
          </w:p>
        </w:tc>
        <w:tc>
          <w:tcPr>
            <w:tcW w:w="522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REPORTING</w:t>
            </w:r>
          </w:p>
        </w:tc>
        <w:tc>
          <w:tcPr>
            <w:tcW w:w="1120" w:type="dxa"/>
            <w:vAlign w:val="bottom"/>
            <w:tcBorders>
              <w:right w:val="single" w:sz="8" w:color="auto"/>
            </w:tcBorders>
          </w:tcPr>
          <w:p>
            <w:pPr>
              <w:spacing w:after="0"/>
              <w:rPr>
                <w:sz w:val="19"/>
                <w:szCs w:val="19"/>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Borders>
              <w:right w:val="single" w:sz="8" w:color="auto"/>
            </w:tcBorders>
            <w:vMerge w:val="restart"/>
          </w:tcPr>
          <w:p>
            <w:pPr>
              <w:jc w:val="center"/>
              <w:ind w:right="970"/>
              <w:spacing w:after="0"/>
              <w:rPr>
                <w:sz w:val="20"/>
                <w:szCs w:val="20"/>
                <w:color w:val="auto"/>
              </w:rPr>
            </w:pPr>
            <w:r>
              <w:rPr>
                <w:rFonts w:ascii="Times New Roman" w:cs="Times New Roman" w:eastAsia="Times New Roman" w:hAnsi="Times New Roman"/>
                <w:sz w:val="18"/>
                <w:szCs w:val="18"/>
                <w:color w:val="auto"/>
              </w:rPr>
              <w:t>PERSON</w:t>
            </w:r>
          </w:p>
        </w:tc>
        <w:tc>
          <w:tcPr>
            <w:tcW w:w="1120" w:type="dxa"/>
            <w:vAlign w:val="bottom"/>
            <w:tcBorders>
              <w:bottom w:val="single" w:sz="8" w:color="auto"/>
              <w:right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64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4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240" w:type="dxa"/>
            <w:vAlign w:val="bottom"/>
            <w:tcBorders>
              <w:right w:val="single" w:sz="8" w:color="auto"/>
            </w:tcBorders>
          </w:tcPr>
          <w:p>
            <w:pPr>
              <w:jc w:val="center"/>
              <w:ind w:right="970"/>
              <w:spacing w:after="0" w:line="189" w:lineRule="exact"/>
              <w:rPr>
                <w:sz w:val="20"/>
                <w:szCs w:val="20"/>
                <w:color w:val="auto"/>
              </w:rPr>
            </w:pPr>
            <w:r>
              <w:rPr>
                <w:rFonts w:ascii="Times New Roman" w:cs="Times New Roman" w:eastAsia="Times New Roman" w:hAnsi="Times New Roman"/>
                <w:sz w:val="18"/>
                <w:szCs w:val="18"/>
                <w:color w:val="auto"/>
                <w:w w:val="97"/>
              </w:rPr>
              <w:t>WITH</w:t>
            </w:r>
          </w:p>
        </w:tc>
        <w:tc>
          <w:tcPr>
            <w:tcW w:w="1120" w:type="dxa"/>
            <w:vAlign w:val="bottom"/>
            <w:tcBorders>
              <w:right w:val="single" w:sz="8" w:color="auto"/>
            </w:tcBorders>
            <w:vMerge w:val="continue"/>
          </w:tcPr>
          <w:p>
            <w:pPr>
              <w:spacing w:after="0"/>
              <w:rPr>
                <w:sz w:val="16"/>
                <w:szCs w:val="16"/>
                <w:color w:val="auto"/>
              </w:rPr>
            </w:pPr>
          </w:p>
        </w:tc>
        <w:tc>
          <w:tcPr>
            <w:tcW w:w="5220" w:type="dxa"/>
            <w:vAlign w:val="bottom"/>
            <w:vMerge w:val="continue"/>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4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64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Borders>
              <w:right w:val="single" w:sz="8" w:color="auto"/>
            </w:tcBorders>
          </w:tcPr>
          <w:p>
            <w:pPr>
              <w:spacing w:after="0"/>
              <w:rPr>
                <w:sz w:val="24"/>
                <w:szCs w:val="24"/>
                <w:color w:val="auto"/>
              </w:rPr>
            </w:pPr>
          </w:p>
        </w:tc>
        <w:tc>
          <w:tcPr>
            <w:tcW w:w="8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20" w:type="dxa"/>
            <w:vAlign w:val="bottom"/>
            <w:tcBorders>
              <w:right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Borders>
              <w:right w:val="single" w:sz="8" w:color="auto"/>
            </w:tcBorders>
          </w:tcPr>
          <w:p>
            <w:pPr>
              <w:spacing w:after="0"/>
              <w:rPr>
                <w:sz w:val="24"/>
                <w:szCs w:val="24"/>
                <w:color w:val="auto"/>
              </w:rPr>
            </w:pPr>
          </w:p>
        </w:tc>
        <w:tc>
          <w:tcPr>
            <w:tcW w:w="8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52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6"/>
        </w:trPr>
        <w:tc>
          <w:tcPr>
            <w:tcW w:w="64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Borders>
              <w:right w:val="single" w:sz="8" w:color="auto"/>
            </w:tcBorders>
          </w:tcPr>
          <w:p>
            <w:pPr>
              <w:spacing w:after="0"/>
              <w:rPr>
                <w:sz w:val="24"/>
                <w:szCs w:val="24"/>
                <w:color w:val="auto"/>
              </w:rPr>
            </w:pPr>
          </w:p>
        </w:tc>
        <w:tc>
          <w:tcPr>
            <w:tcW w:w="8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5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95"/>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tcBorders>
              <w:right w:val="single" w:sz="8" w:color="auto"/>
            </w:tcBorders>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5220" w:type="dxa"/>
            <w:vAlign w:val="bottom"/>
          </w:tcPr>
          <w:p>
            <w:pPr>
              <w:spacing w:after="0"/>
              <w:rPr>
                <w:sz w:val="24"/>
                <w:szCs w:val="24"/>
                <w:color w:val="auto"/>
              </w:rPr>
            </w:pPr>
          </w:p>
        </w:tc>
        <w:tc>
          <w:tcPr>
            <w:tcW w:w="15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94"/>
        </w:trPr>
        <w:tc>
          <w:tcPr>
            <w:tcW w:w="640" w:type="dxa"/>
            <w:vAlign w:val="bottom"/>
            <w:tcBorders>
              <w:left w:val="single" w:sz="8" w:color="auto"/>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73"/>
        </w:trPr>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5440" w:val="left"/>
          <w:tab w:leader="none" w:pos="10320" w:val="left"/>
        </w:tabs>
        <w:rPr>
          <w:sz w:val="20"/>
          <w:szCs w:val="20"/>
          <w:color w:val="auto"/>
        </w:rPr>
      </w:pPr>
      <w:r>
        <w:rPr>
          <w:rFonts w:ascii="Times New Roman" w:cs="Times New Roman" w:eastAsia="Times New Roman" w:hAnsi="Times New Roman"/>
          <w:sz w:val="18"/>
          <w:szCs w:val="18"/>
          <w:color w:val="auto"/>
        </w:rPr>
        <w:t>CUSIP NO. 36338D108</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5 of 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on Schedule 13D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Amendment No. 2 (“Amendment No. 2”) amends and restates the Statement on Schedule 13D initially filed on November 20, 2019 and amended on February 6, 2023 (as amended, the “Original Schedule 13D”). This Amendment No. 2 relates to the beneficial ownership of Common Stock, $0.001 par value per share (“Common Stock”) of Galera Therapeutics, Inc., a Delaware corporation (“Issuer”) and is being filed by Sofinnova Venture Partners IX, L.P., a Delaware limited partnership (“SVP IX”), Sofinnova Management IX, L.L.C., a Delaware limited liability company (“SM IX”), and Dr. James I. Healy (“Healy” and collectively with SVP IX, and SM IX, the “Reporting Persons”). This Amendment No. 2 is being filed to update the aggregate percentage of the class of securities of the Issuer owned by the Reporting Persons due to dilution caused by the Issuer’s additional sales of Common Stock from time to time since the date of the filing of the Original Schedule 13D and to reflect the disposition of Common Stock by the Reporting Persons. The Issuer reported outstanding Common Stock in the Issuer’s Form 424B5 (File No. 333-251061) filed on February 16, 2023 causing a decrease in aggregate percentage ownership by the Reporting Persons of one percent (1%) or more from the percentages reported in the Original Schedule 13D.</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equity securities to which this statement relates is the Common Stock of the Issuer.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principal executive offices are located at 45 Liberty Blvd, Suite 230, Malvern, Pennsylvania 19355.</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229" w:lineRule="exact"/>
        <w:rPr>
          <w:sz w:val="20"/>
          <w:szCs w:val="20"/>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and entities filing this Schedule 13D are SVP IX, SM IX, and Healy. SM IX, the general partner of SVP IX, may be deemed to have sole power to vote and sole power to dispose of shares of the Issuer directly owned by SVP IX.</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place of business for each of the Reporting Persons is c/o Sofinnova Investments, Inc., 3000 Sand Hill Road, Bldg 4, Suite 250, Menlo Park, California 94025.</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of each of the Reporting Persons is the venture capital investment business. The principal business of SVP IX is to make investments in private and public companies, and the principal business of SM IX is to serve as the general partner of SVP IX. Healy is the managing member of SM IX.</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any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SVP IX is a Delaware limited partnership. SM IX is a Delaware limited liability company. Healy is a U.S. citizen.</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SVP IX purchased an aggregate 9,090,909 shares of Series B-2 preferred stock from the Issuer at a purchase price of $1.65 per share in a closing that occurred in November 2016, or $15,000,000 in the aggregate.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SVP IX purchased an aggregate 2,709,659 shares of Series C preferred stock from the Issuer at a purchase price of $2.2143 per share in a closing that occurred August 2018, or $6,000,000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5440" w:val="left"/>
          <w:tab w:leader="none" w:pos="10320" w:val="left"/>
        </w:tabs>
        <w:rPr>
          <w:sz w:val="20"/>
          <w:szCs w:val="20"/>
          <w:color w:val="auto"/>
        </w:rPr>
      </w:pPr>
      <w:r>
        <w:rPr>
          <w:rFonts w:ascii="Times New Roman" w:cs="Times New Roman" w:eastAsia="Times New Roman" w:hAnsi="Times New Roman"/>
          <w:sz w:val="18"/>
          <w:szCs w:val="18"/>
          <w:color w:val="auto"/>
        </w:rPr>
        <w:t>CUSIP NO. 36338D108</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6 of 11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share of the Issuer’s preferred stock automatically converted into shares of Common Stock on a 0.197763 -for-1 basis upon the closing of the Issuer’s initial public offering of Common Stock (the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Offering, SVP IX purchased 750,000 shares of Common Stock at $12.00 per share, or $9,000,000 in the aggregate. Such purchase occurred pursuant to and on the terms set forth in the Issuer’s Prospectus filed pursuant to Rule 424(b)(4) on November 8, 2019 with the Securities and Exchange Commission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16, 2024, SVP IX sold 750,000 shares of Common Stock at a price of $0.2097 per share, or $157,275.00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18, 2024, SVP IX sold 125,848 shares of Common Stock at a price of $0.1918 per share, or $24,137.65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19, 2024, SVP IX sold 554,940 shares of Common Stock at a price of $0.1817 per share, or $100,832.60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22, 2024, SVP IX sold 257,715 shares of Common Stock at a price of $0.1808 per share, or $46,594.87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23, 2024, SVP IX sold 58,923 shares of Common Stock at a price of $0.1802 per share, or $10,617.92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24, 2024, SVP IX sold 199,180 shares of Common Stock at a price of $0.1806 per share, or $35,971.91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25, 2024, SVP IX sold 228 shares of Common Stock at a price of $0.1800 per share, or $41.04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29, 2024, SVP IX sold 32,522 shares of Common Stock at a price of $0.1800 per share, or $5,853.96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2024, SVP IX sold 246,650 shares of Common Stock at a price of $0.1885 per share, or $46,493.53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31, 2024, SVP IX sold 323,035 shares of Common Stock at a price of $0.1803 per share, or $58,243.21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 2024, SVP IX sold 98,795 shares of Common Stock at a price of $0.1800 per share, or $17,783.10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 2024, SVP IX sold 8,083 shares of Common Stock at a price of $0.1800 per share, or $1,454.94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5, 2024, SVP IX sold 92,246 shares of Common Stock at a price of $0.1718 per share, or $15,847.86 in the aggregate, in open market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6, 2024, SVP IX sold 335,547 shares of Common Stock at a price of $0.1706 per share, or $57,244.32 in the aggregate, in open market sales.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noted above, the source of the funds for all purchases and acquisitions by the Reporting Persons was from working capital. Certain purchases by SVP IX were made using its working capital funded partially through a line of credit with Silicon Valley Bank in the normal course of business and then paid down from the proceeds from investor capital calls.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noted above, no part of the purchase price was borrowed by any Reporting Person for the purpose of acquiring any securities discussed in this Item 3.</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Reporting Persons hold their securities of the Issuer for investment purposes. Depending on the factors discussed herein, the Reporting Persons may, from time to time, acquire additional Common Stock and/or retain and/or sell all or a portion of the Common Stock held by the Reporting Persons in the open market or in privately negotiated transactions,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(a,b) Regarding aggregate beneficial ownership, see Row 11 of the cover page of each Reporting Person. Regarding percentage beneficial ownership, see Row 13 of the cover page of each Reporting Person. 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 The percentage listed in Row 13 for each Reporting Person was calculated based upon 54,392,170 shares of Common Stock outstanding as of November 10, 2023, as reported in the Issuer’s Form 10-Q filed on November 14, 2023 with the Securities and Exchange Commission (File No. 001-39114).</w:t>
      </w:r>
    </w:p>
    <w:p>
      <w:pPr>
        <w:spacing w:after="0" w:line="187" w:lineRule="exact"/>
        <w:rPr>
          <w:sz w:val="20"/>
          <w:szCs w:val="20"/>
          <w:color w:val="auto"/>
        </w:rPr>
      </w:pPr>
    </w:p>
    <w:p>
      <w:pPr>
        <w:ind w:left="1180" w:hanging="52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 3 above, the Reporting Persons have not effected any transaction in the securities of the Issuer during the past 60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w:t>
      </w:r>
    </w:p>
    <w:p>
      <w:pPr>
        <w:spacing w:after="0" w:line="207" w:lineRule="exact"/>
        <w:rPr>
          <w:sz w:val="20"/>
          <w:szCs w:val="20"/>
          <w:color w:val="auto"/>
        </w:rPr>
      </w:pPr>
    </w:p>
    <w:p>
      <w:pPr>
        <w:jc w:val="both"/>
        <w:ind w:firstLine="656"/>
        <w:spacing w:after="0" w:line="266" w:lineRule="auto"/>
        <w:tabs>
          <w:tab w:leader="none" w:pos="11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set forth in the limited partnership agreement of SVP IX, the general partner and limited partners of SVP IX may be deemed to have the right to receive dividends from, or the proceeds from, the sale of shares of the Issuer owned by such entity of which they are a partner.</w:t>
      </w:r>
    </w:p>
    <w:p>
      <w:pPr>
        <w:spacing w:after="0" w:line="175"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ceased to be beneficial owners of more than five percent of the Issuer’s Common Stock on January 16, 2024.</w:t>
      </w:r>
    </w:p>
    <w:p>
      <w:pPr>
        <w:sectPr>
          <w:pgSz w:w="11900" w:h="16838" w:orient="portrait"/>
          <w:cols w:equalWidth="0" w:num="1">
            <w:col w:w="11240"/>
          </w:cols>
          <w:pgMar w:left="320" w:top="904" w:right="339" w:bottom="0" w:gutter="0" w:footer="0" w:header="0"/>
        </w:sectPr>
      </w:pPr>
    </w:p>
    <w:bookmarkStart w:id="6" w:name="page7"/>
    <w:bookmarkEnd w:id="6"/>
    <w:p>
      <w:pPr>
        <w:spacing w:after="0"/>
        <w:tabs>
          <w:tab w:leader="none" w:pos="11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440" w:val="left"/>
          <w:tab w:leader="none" w:pos="10320" w:val="left"/>
        </w:tabs>
        <w:rPr>
          <w:sz w:val="20"/>
          <w:szCs w:val="20"/>
          <w:color w:val="auto"/>
        </w:rPr>
      </w:pPr>
      <w:r>
        <w:rPr>
          <w:rFonts w:ascii="Times New Roman" w:cs="Times New Roman" w:eastAsia="Times New Roman" w:hAnsi="Times New Roman"/>
          <w:sz w:val="18"/>
          <w:szCs w:val="18"/>
          <w:color w:val="auto"/>
        </w:rPr>
        <w:t>CUSIP NO. 36338D108</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7 of 11</w:t>
      </w:r>
    </w:p>
    <w:p>
      <w:pPr>
        <w:spacing w:after="0" w:line="221"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SVP IX is a party to the Investors’ Rights Agreement among the Issuer, SVP IX and other shareholders. Subject to the terms of such Investors’ Rights Agreement, SVP IX can demand that the Issuer file a registration statement or request that its Common Stock be covered by a registration statement that the Issuer is otherwise filing under certain specified circumstances. Such Investors’ Rights Agreement dated as of August 30, 2018 is more fully described in the Prospectus and was filed as Exhibit 4.2 to the Issuer’s Form S-1 Registration Statement (File No. 333-234184), and such description is incorporated herein by reference.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Offering, SVP IX and certain other holders of shares of Common Stock have entered into Lock-Up Agreements with the Issuer’s underwriters or otherwise agreed that, without the prior written consent of BofA Securities, Inc. and Citigroup Global Markets Inc., they will not, subject to certain exceptions, during the period ending 180 days after the date of the Prospectus, (i)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whether now owned or hereafter acquired (including the power of disposition thereof); (ii) enter into any swap or other arrangement that transfers to another, in whole or in part, directly or indirectly, any of the economic consequences of ownership of Common Stock, whether any transaction described above is to be settled by delivery of Common Stock or such other securities, in cash or otherwise; or (iii) publicly disclose the intention to do any of the foregoing described in</w:t>
      </w:r>
    </w:p>
    <w:p>
      <w:pPr>
        <w:spacing w:after="0" w:line="1" w:lineRule="exact"/>
        <w:rPr>
          <w:sz w:val="20"/>
          <w:szCs w:val="20"/>
          <w:color w:val="auto"/>
        </w:rPr>
      </w:pPr>
    </w:p>
    <w:p>
      <w:pPr>
        <w:ind w:firstLine="8"/>
        <w:spacing w:after="0" w:line="260"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Such Lock-Up Agreement is more fully described in the Prospectus and was filed as Exhibit A of Exhibit 1.1 to the Issuer’s Form S-1 Registration Statement (File No. 333-234184), and such description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Agreement of Joint Filing</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Investors’ Rights Agreement described in Item 6, filed as Exhibit 4.2 to the Issuer’s Form S-1 Registration</w:t>
            </w:r>
          </w:p>
        </w:tc>
      </w:tr>
      <w:tr>
        <w:trPr>
          <w:trHeight w:val="216"/>
        </w:trPr>
        <w:tc>
          <w:tcPr>
            <w:tcW w:w="1920" w:type="dxa"/>
            <w:vAlign w:val="bottom"/>
          </w:tcPr>
          <w:p>
            <w:pPr>
              <w:spacing w:after="0"/>
              <w:rPr>
                <w:sz w:val="18"/>
                <w:szCs w:val="18"/>
                <w:color w:val="auto"/>
              </w:rPr>
            </w:pPr>
          </w:p>
        </w:tc>
        <w:tc>
          <w:tcPr>
            <w:tcW w:w="9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Statement (File No. 333-234184) is incorporated herein by reference.</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Form of Lock-Up Agreement described in Item 6, filed as Exhibit A of Exhibit 1.1 to the Issuer’s Form S-1</w:t>
            </w:r>
          </w:p>
        </w:tc>
      </w:tr>
      <w:tr>
        <w:trPr>
          <w:trHeight w:val="234"/>
        </w:trPr>
        <w:tc>
          <w:tcPr>
            <w:tcW w:w="1920" w:type="dxa"/>
            <w:vAlign w:val="bottom"/>
          </w:tcPr>
          <w:p>
            <w:pPr>
              <w:spacing w:after="0"/>
              <w:rPr>
                <w:sz w:val="20"/>
                <w:szCs w:val="20"/>
                <w:color w:val="auto"/>
              </w:rPr>
            </w:pPr>
          </w:p>
        </w:tc>
        <w:tc>
          <w:tcPr>
            <w:tcW w:w="9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Registration Statement (File No. 333-234184) is incorporated herein by reference.</w:t>
            </w:r>
          </w:p>
        </w:tc>
      </w:tr>
      <w:tr>
        <w:trPr>
          <w:trHeight w:val="675"/>
        </w:trPr>
        <w:tc>
          <w:tcPr>
            <w:tcW w:w="192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tabs>
          <w:tab w:leader="none" w:pos="5440" w:val="left"/>
          <w:tab w:leader="none" w:pos="10320" w:val="left"/>
        </w:tabs>
        <w:rPr>
          <w:sz w:val="20"/>
          <w:szCs w:val="20"/>
          <w:color w:val="auto"/>
        </w:rPr>
      </w:pPr>
      <w:r>
        <w:rPr>
          <w:rFonts w:ascii="Times New Roman" w:cs="Times New Roman" w:eastAsia="Times New Roman" w:hAnsi="Times New Roman"/>
          <w:sz w:val="18"/>
          <w:szCs w:val="18"/>
          <w:color w:val="auto"/>
        </w:rPr>
        <w:t>CUSIP NO. 36338D108</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8 of 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SOFINNOVA  VENTURE  PARTNERS  IX,  L.P.,  a  Delaware  Limited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SOFINNOVA  MANAGEMENT  IX,  L.L.C.,  a  Delaware  Limited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Liability Company</w:t>
      </w:r>
    </w:p>
    <w:p>
      <w:pPr>
        <w:spacing w:after="0" w:line="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Nathalie Auber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SOFINNOVA MANAGEMENT IX, L.L.C., a Delaware Limited Liability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Nathalie Auber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 JAMES I. HEALY</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Nathalie Auber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tabs>
          <w:tab w:leader="none" w:pos="5440" w:val="left"/>
          <w:tab w:leader="none" w:pos="10320" w:val="left"/>
        </w:tabs>
        <w:rPr>
          <w:sz w:val="20"/>
          <w:szCs w:val="20"/>
          <w:color w:val="auto"/>
        </w:rPr>
      </w:pPr>
      <w:r>
        <w:rPr>
          <w:rFonts w:ascii="Times New Roman" w:cs="Times New Roman" w:eastAsia="Times New Roman" w:hAnsi="Times New Roman"/>
          <w:sz w:val="18"/>
          <w:szCs w:val="18"/>
          <w:color w:val="auto"/>
        </w:rPr>
        <w:t>CUSIP NO. 36338D108</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9 of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1260" w:hanging="865"/>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of Joint Filing</w:t>
      </w:r>
    </w:p>
    <w:p>
      <w:pPr>
        <w:spacing w:after="0" w:line="27" w:lineRule="exact"/>
        <w:rPr>
          <w:sz w:val="20"/>
          <w:szCs w:val="20"/>
          <w:color w:val="auto"/>
        </w:rPr>
      </w:pPr>
    </w:p>
    <w:p>
      <w:pPr>
        <w:ind w:left="1260" w:hanging="860"/>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9" w:lineRule="exact"/>
        <w:rPr>
          <w:sz w:val="20"/>
          <w:szCs w:val="20"/>
          <w:color w:val="auto"/>
        </w:rPr>
      </w:pPr>
    </w:p>
    <w:p>
      <w:pPr>
        <w:ind w:left="1260" w:right="20" w:hanging="860"/>
        <w:spacing w:after="0" w:line="250"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Rights Agreement described in Item 6, filed as Exhibit 4.1 to the Issuer’s Form S-1 Registration Statement (File No. 333-234184) is incorporated herein by reference.</w:t>
      </w:r>
    </w:p>
    <w:p>
      <w:pPr>
        <w:spacing w:after="0" w:line="1" w:lineRule="exact"/>
        <w:rPr>
          <w:sz w:val="20"/>
          <w:szCs w:val="20"/>
          <w:color w:val="auto"/>
        </w:rPr>
      </w:pPr>
    </w:p>
    <w:p>
      <w:pPr>
        <w:ind w:left="1260" w:hanging="865"/>
        <w:spacing w:after="0" w:line="260"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described in Item 6, filed as Exhibit A of Exhibit 1.1 to the Issuer’s Form S-1 Registration Statement (File No. 333-234184)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tabs>
          <w:tab w:leader="none" w:pos="5440" w:val="left"/>
          <w:tab w:leader="none" w:pos="10240" w:val="left"/>
        </w:tabs>
        <w:rPr>
          <w:sz w:val="20"/>
          <w:szCs w:val="20"/>
          <w:color w:val="auto"/>
        </w:rPr>
      </w:pPr>
      <w:r>
        <w:rPr>
          <w:rFonts w:ascii="Times New Roman" w:cs="Times New Roman" w:eastAsia="Times New Roman" w:hAnsi="Times New Roman"/>
          <w:sz w:val="18"/>
          <w:szCs w:val="18"/>
          <w:color w:val="auto"/>
        </w:rPr>
        <w:t>CUSIP NO. 36338D108</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10 of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 of Joint Filing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agree that a single Schedule 13D (or any amendment thereto) relating to the Common Stock of Galera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filed on behalf of each of the undersigned and that this Agreement shall be filed as an exhibit to such Schedule 13D.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SOFINNOVA  VENTURE  PARTNERS  IX,  L.P.,  a  Delaware  Limited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SOFINNOVA  MANAGEMENT  IX,  L.L.C.,  a  Delaware  Limited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Liability Company</w:t>
      </w:r>
    </w:p>
    <w:p>
      <w:pPr>
        <w:spacing w:after="0" w:line="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Nathalie Auber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SOFINNOVA MANAGEMENT IX, L.L.C., a Delaware Limited Liability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Nathalie Auber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 JAMES I. HEALY</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Nathalie Auber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tabs>
          <w:tab w:leader="none" w:pos="5440" w:val="left"/>
          <w:tab w:leader="none" w:pos="10240" w:val="left"/>
        </w:tabs>
        <w:rPr>
          <w:sz w:val="20"/>
          <w:szCs w:val="20"/>
          <w:color w:val="auto"/>
        </w:rPr>
      </w:pPr>
      <w:r>
        <w:rPr>
          <w:rFonts w:ascii="Times New Roman" w:cs="Times New Roman" w:eastAsia="Times New Roman" w:hAnsi="Times New Roman"/>
          <w:sz w:val="18"/>
          <w:szCs w:val="18"/>
          <w:color w:val="auto"/>
        </w:rPr>
        <w:t>CUSIP NO. 36338D108</w:t>
      </w:r>
      <w:r>
        <w:rPr>
          <w:sz w:val="20"/>
          <w:szCs w:val="20"/>
          <w:color w:val="auto"/>
        </w:rPr>
        <w:tab/>
      </w:r>
      <w:r>
        <w:rPr>
          <w:rFonts w:ascii="Times New Roman" w:cs="Times New Roman" w:eastAsia="Times New Roman" w:hAnsi="Times New Roman"/>
          <w:sz w:val="18"/>
          <w:szCs w:val="18"/>
          <w:color w:val="auto"/>
        </w:rPr>
        <w:t>13D</w:t>
      </w:r>
      <w:r>
        <w:rPr>
          <w:sz w:val="20"/>
          <w:szCs w:val="20"/>
          <w:color w:val="auto"/>
        </w:rPr>
        <w:tab/>
      </w:r>
      <w:r>
        <w:rPr>
          <w:rFonts w:ascii="Times New Roman" w:cs="Times New Roman" w:eastAsia="Times New Roman" w:hAnsi="Times New Roman"/>
          <w:sz w:val="17"/>
          <w:szCs w:val="17"/>
          <w:color w:val="auto"/>
        </w:rPr>
        <w:t>Page 11 of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Power of Attorney</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Nathalie Auber has signed this Schedule 13D as Attorney-In-Fact. Note that copies of the applicable Power of Attorney are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A"/>
      <w:numFmt w:val="bullet"/>
      <w:start w:val="1"/>
    </w:lvl>
  </w:abstractNum>
  <w:abstractNum w:abstractNumId="6">
    <w:nsid w:val="7545E146"/>
    <w:multiLevelType w:val="hybridMultilevel"/>
    <w:lvl w:ilvl="0">
      <w:lvlJc w:val="left"/>
      <w:lvlText w:val="B"/>
      <w:numFmt w:val="bullet"/>
      <w:start w:val="1"/>
    </w:lvl>
  </w:abstractNum>
  <w:abstractNum w:abstractNumId="7">
    <w:nsid w:val="515F007C"/>
    <w:multiLevelType w:val="hybridMultilevel"/>
    <w:lvl w:ilvl="0">
      <w:lvlJc w:val="left"/>
      <w:lvlText w:val="C"/>
      <w:numFmt w:val="bullet"/>
      <w:start w:val="1"/>
    </w:lvl>
  </w:abstractNum>
  <w:abstractNum w:abstractNumId="8">
    <w:nsid w:val="5BD062C2"/>
    <w:multiLevelType w:val="hybridMultilevel"/>
    <w:lvl w:ilvl="0">
      <w:lvlJc w:val="left"/>
      <w:lvlText w:val="D"/>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2024-02-20T17:59:25Z</dcterms:created>
  <dcterms:modified xsi:type="dcterms:W3CDTF">2024-02-20T17:59:25Z</dcterms:modified>
</cp:coreProperties>
</file>