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690d8k.htm"/>
      <w:bookmarkStart w:id="1" w:name="ksd13769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May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GALERA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001-39114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46-1454898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101 Lindenwood Drive, Suite 225</w:t>
      </w:r>
    </w:p>
    <w:p>
      <w:pPr>
        <w:pStyle w:val="TextBody"/>
        <w:bidi w:val="0"/>
        <w:spacing w:before="0" w:after="0"/>
        <w:jc w:val="center"/>
        <w:rPr>
          <w:rFonts w:ascii="Times New Roman" w:hAnsi="Times New Roman"/>
          <w:b/>
          <w:sz w:val="20"/>
        </w:rPr>
      </w:pPr>
      <w:r>
        <w:rPr>
          <w:rFonts w:ascii="Times New Roman" w:hAnsi="Times New Roman"/>
          <w:b/>
          <w:sz w:val="20"/>
        </w:rPr>
        <w:t>Malvern, PA 19355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(610) 725-1500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750" w:type="dxa"/>
        <w:jc w:val="left"/>
        <w:tblInd w:w="0" w:type="dxa"/>
        <w:tblLayout w:type="fixed"/>
        <w:tblCellMar>
          <w:top w:w="0" w:type="dxa"/>
          <w:left w:w="0" w:type="dxa"/>
          <w:bottom w:w="0" w:type="dxa"/>
          <w:right w:w="0" w:type="dxa"/>
        </w:tblCellMar>
      </w:tblPr>
      <w:tblGrid>
        <w:gridCol w:w="4145"/>
        <w:gridCol w:w="60"/>
        <w:gridCol w:w="740"/>
        <w:gridCol w:w="60"/>
        <w:gridCol w:w="174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GRTX</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bookmarkStart w:id="2" w:name="Fact_7"/>
            <w:bookmarkEnd w:id="2"/>
            <w:r>
              <w:rPr/>
              <w:t>OTCQB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55" w:type="dxa"/>
        <w:jc w:val="left"/>
        <w:tblInd w:w="0" w:type="dxa"/>
        <w:tblLayout w:type="fixed"/>
        <w:tblCellMar>
          <w:top w:w="0" w:type="dxa"/>
          <w:left w:w="0" w:type="dxa"/>
          <w:bottom w:w="0" w:type="dxa"/>
          <w:right w:w="0" w:type="dxa"/>
        </w:tblCellMar>
      </w:tblPr>
      <w:tblGrid>
        <w:gridCol w:w="1025"/>
        <w:gridCol w:w="4430"/>
      </w:tblGrid>
      <w:tr>
        <w:trPr/>
        <w:tc>
          <w:tcPr>
            <w:tcW w:w="1025" w:type="dxa"/>
            <w:tcBorders/>
            <w:vAlign w:val="center"/>
          </w:tcPr>
          <w:p>
            <w:pPr>
              <w:pStyle w:val="TableContents"/>
              <w:bidi w:val="0"/>
              <w:spacing w:before="0" w:after="283"/>
              <w:jc w:val="left"/>
              <w:rPr>
                <w:b/>
              </w:rPr>
            </w:pPr>
            <w:r>
              <w:rPr>
                <w:b/>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Submission of Matters to a Vote of Security Holders.</w:t>
            </w:r>
          </w:p>
        </w:tc>
      </w:tr>
    </w:tbl>
    <w:p>
      <w:pPr>
        <w:pStyle w:val="TextBody"/>
        <w:bidi w:val="0"/>
        <w:spacing w:before="120" w:after="0"/>
        <w:jc w:val="left"/>
        <w:rPr>
          <w:rFonts w:ascii="Times New Roman" w:hAnsi="Times New Roman"/>
          <w:sz w:val="20"/>
        </w:rPr>
      </w:pPr>
      <w:r>
        <w:rPr>
          <w:rFonts w:ascii="Times New Roman" w:hAnsi="Times New Roman"/>
          <w:sz w:val="20"/>
        </w:rPr>
        <w:t>At the combined 2025 and 2026 Annual Meeting of Stockholders (the “</w:t>
      </w:r>
      <w:r>
        <w:rPr>
          <w:rFonts w:ascii="Times New Roman" w:hAnsi="Times New Roman"/>
          <w:b/>
          <w:i/>
          <w:sz w:val="20"/>
        </w:rPr>
        <w:t>Annual Meeting</w:t>
      </w:r>
      <w:r>
        <w:rPr>
          <w:rFonts w:ascii="Times New Roman" w:hAnsi="Times New Roman"/>
          <w:sz w:val="20"/>
        </w:rPr>
        <w:t>”) of Galera Therapeutics, Inc. (the “</w:t>
      </w:r>
      <w:r>
        <w:rPr>
          <w:rFonts w:ascii="Times New Roman" w:hAnsi="Times New Roman"/>
          <w:b/>
          <w:i/>
          <w:sz w:val="20"/>
        </w:rPr>
        <w:t>Company</w:t>
      </w:r>
      <w:r>
        <w:rPr>
          <w:rFonts w:ascii="Times New Roman" w:hAnsi="Times New Roman"/>
          <w:sz w:val="20"/>
        </w:rPr>
        <w:t>”) held on May 8, 2026, the Company’s stockholders (i) elected (A) one Class III director to the board of directors of the Company (the “</w:t>
      </w:r>
      <w:r>
        <w:rPr>
          <w:rFonts w:ascii="Times New Roman" w:hAnsi="Times New Roman"/>
          <w:b/>
          <w:i/>
          <w:sz w:val="20"/>
        </w:rPr>
        <w:t>Board</w:t>
      </w:r>
      <w:r>
        <w:rPr>
          <w:rFonts w:ascii="Times New Roman" w:hAnsi="Times New Roman"/>
          <w:sz w:val="20"/>
        </w:rPr>
        <w:t>”), to serve until the Company’s 2028 annual meeting of stockholders and until his successor is duly elected and qualified, and (B) two Class I directors to the Board, each to serve until the Company’s 2029 annual meeting of stockholders and until their respective successors are duly elected and qualified; (ii) ratified the appointment of KPMG LLP as the Company’s independent registered public accounting firm for the fiscal year ending December 31, 2026; (iii) approved the compensation paid to the Company’s named executive officers (“</w:t>
      </w:r>
      <w:r>
        <w:rPr>
          <w:rFonts w:ascii="Times New Roman" w:hAnsi="Times New Roman"/>
          <w:b/>
          <w:i/>
          <w:sz w:val="20"/>
        </w:rPr>
        <w:t>Say-on-Pay</w:t>
      </w:r>
      <w:r>
        <w:rPr>
          <w:rFonts w:ascii="Times New Roman" w:hAnsi="Times New Roman"/>
          <w:sz w:val="20"/>
        </w:rPr>
        <w:t>”); (iv) approved a frequency of every “one year” for holding future Say-on-Pay votes; (v) approved an amendment to the Company’s Restated Certificate of Incorporation (the “</w:t>
      </w:r>
      <w:r>
        <w:rPr>
          <w:rFonts w:ascii="Times New Roman" w:hAnsi="Times New Roman"/>
          <w:b/>
          <w:i/>
          <w:sz w:val="20"/>
        </w:rPr>
        <w:t>Charter</w:t>
      </w:r>
      <w:r>
        <w:rPr>
          <w:rFonts w:ascii="Times New Roman" w:hAnsi="Times New Roman"/>
          <w:sz w:val="20"/>
        </w:rPr>
        <w:t>”) to increase the number of authorized shares of the Company’s common stock from 200 million shares to 400 million shares; (vi) approved an amendment to the Charter to permit stockholders to act by written consent in lieu of a meeting; and (vii) approved an amendment to the Charter that would effect a reverse stock split at a ratio between 1:75 and 1:200, if and when determined by the Board.</w:t>
      </w:r>
    </w:p>
    <w:p>
      <w:pPr>
        <w:pStyle w:val="TextBody"/>
        <w:bidi w:val="0"/>
        <w:spacing w:before="240" w:after="0"/>
        <w:jc w:val="left"/>
        <w:rPr>
          <w:rFonts w:ascii="Times New Roman" w:hAnsi="Times New Roman"/>
          <w:sz w:val="20"/>
        </w:rPr>
      </w:pPr>
      <w:r>
        <w:rPr>
          <w:rFonts w:ascii="Times New Roman" w:hAnsi="Times New Roman"/>
          <w:sz w:val="20"/>
        </w:rPr>
        <w:t>The results of the voting at the Annual Meeting are shown below:</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1—Election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Class III Director </w:t>
      </w:r>
    </w:p>
    <w:p>
      <w:pPr>
        <w:pStyle w:val="TextBody"/>
        <w:bidi w:val="0"/>
        <w:spacing w:before="0" w:after="0"/>
        <w:jc w:val="left"/>
        <w:rPr/>
      </w:pPr>
      <w:r>
        <w:rPr/>
        <w:t> </w:t>
      </w:r>
    </w:p>
    <w:tbl>
      <w:tblPr>
        <w:tblW w:w="6575" w:type="dxa"/>
        <w:jc w:val="left"/>
        <w:tblInd w:w="0" w:type="dxa"/>
        <w:tblLayout w:type="fixed"/>
        <w:tblCellMar>
          <w:top w:w="0" w:type="dxa"/>
          <w:left w:w="0" w:type="dxa"/>
          <w:bottom w:w="0" w:type="dxa"/>
          <w:right w:w="0" w:type="dxa"/>
        </w:tblCellMar>
      </w:tblPr>
      <w:tblGrid>
        <w:gridCol w:w="1805"/>
        <w:gridCol w:w="120"/>
        <w:gridCol w:w="60"/>
        <w:gridCol w:w="1100"/>
        <w:gridCol w:w="60"/>
        <w:gridCol w:w="120"/>
        <w:gridCol w:w="60"/>
        <w:gridCol w:w="1100"/>
        <w:gridCol w:w="60"/>
        <w:gridCol w:w="120"/>
        <w:gridCol w:w="98"/>
        <w:gridCol w:w="1797"/>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b/>
              </w:rPr>
            </w:pPr>
            <w:r>
              <w:rPr>
                <w:b/>
              </w:rPr>
              <w:t>Nominee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Withhold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 Mel Sorensen,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98,328,390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14,552,053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10,877,949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 Class I Directors </w:t>
      </w:r>
    </w:p>
    <w:p>
      <w:pPr>
        <w:pStyle w:val="TextBody"/>
        <w:bidi w:val="0"/>
        <w:spacing w:before="0" w:after="0"/>
        <w:jc w:val="left"/>
        <w:rPr/>
      </w:pPr>
      <w:r>
        <w:rPr/>
        <w:t> </w:t>
      </w:r>
    </w:p>
    <w:tbl>
      <w:tblPr>
        <w:tblW w:w="6440" w:type="dxa"/>
        <w:jc w:val="left"/>
        <w:tblInd w:w="0" w:type="dxa"/>
        <w:tblLayout w:type="fixed"/>
        <w:tblCellMar>
          <w:top w:w="0" w:type="dxa"/>
          <w:left w:w="0" w:type="dxa"/>
          <w:bottom w:w="0" w:type="dxa"/>
          <w:right w:w="0" w:type="dxa"/>
        </w:tblCellMar>
      </w:tblPr>
      <w:tblGrid>
        <w:gridCol w:w="1670"/>
        <w:gridCol w:w="120"/>
        <w:gridCol w:w="60"/>
        <w:gridCol w:w="1220"/>
        <w:gridCol w:w="60"/>
        <w:gridCol w:w="120"/>
        <w:gridCol w:w="60"/>
        <w:gridCol w:w="980"/>
        <w:gridCol w:w="60"/>
        <w:gridCol w:w="120"/>
        <w:gridCol w:w="98"/>
        <w:gridCol w:w="1797"/>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b/>
              </w:rPr>
            </w:pPr>
            <w:r>
              <w:rPr>
                <w:b/>
              </w:rPr>
              <w:t>Nominees</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Withhold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Nancy Chang,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110,531,164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2,349,279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10,877,949</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Friedman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110,523,157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2,357,286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10,877,949</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2—Ratification of Appointment of Independent Registered Public Accounting Firm: </w:t>
      </w:r>
    </w:p>
    <w:p>
      <w:pPr>
        <w:pStyle w:val="TextBody"/>
        <w:bidi w:val="0"/>
        <w:spacing w:before="0" w:after="0"/>
        <w:jc w:val="left"/>
        <w:rPr/>
      </w:pPr>
      <w:r>
        <w:rPr/>
        <w:t> </w:t>
      </w:r>
    </w:p>
    <w:tbl>
      <w:tblPr>
        <w:tblW w:w="3375" w:type="dxa"/>
        <w:jc w:val="left"/>
        <w:tblInd w:w="0" w:type="dxa"/>
        <w:tblLayout w:type="fixed"/>
        <w:tblCellMar>
          <w:top w:w="0" w:type="dxa"/>
          <w:left w:w="0" w:type="dxa"/>
          <w:bottom w:w="0" w:type="dxa"/>
          <w:right w:w="0" w:type="dxa"/>
        </w:tblCellMar>
      </w:tblPr>
      <w:tblGrid>
        <w:gridCol w:w="1235"/>
        <w:gridCol w:w="120"/>
        <w:gridCol w:w="1025"/>
        <w:gridCol w:w="120"/>
        <w:gridCol w:w="8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2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r>
      <w:tr>
        <w:trPr/>
        <w:tc>
          <w:tcPr>
            <w:tcW w:w="1235" w:type="dxa"/>
            <w:tcBorders/>
            <w:shd w:fill="CCEEFF" w:val="clear"/>
            <w:vAlign w:val="center"/>
          </w:tcPr>
          <w:p>
            <w:pPr>
              <w:pStyle w:val="TableContents"/>
              <w:bidi w:val="0"/>
              <w:spacing w:before="0" w:after="283"/>
              <w:jc w:val="center"/>
              <w:rPr/>
            </w:pPr>
            <w:r>
              <w:rPr/>
              <w:t>121,742,195</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1,961,191</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55,006</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3—Say-on-Pay Vote: </w:t>
      </w:r>
    </w:p>
    <w:p>
      <w:pPr>
        <w:pStyle w:val="TextBody"/>
        <w:bidi w:val="0"/>
        <w:spacing w:before="0" w:after="0"/>
        <w:jc w:val="left"/>
        <w:rPr/>
      </w:pPr>
      <w:r>
        <w:rPr/>
        <w:t> </w:t>
      </w:r>
    </w:p>
    <w:tbl>
      <w:tblPr>
        <w:tblW w:w="4955" w:type="dxa"/>
        <w:jc w:val="left"/>
        <w:tblInd w:w="0" w:type="dxa"/>
        <w:tblLayout w:type="fixed"/>
        <w:tblCellMar>
          <w:top w:w="0" w:type="dxa"/>
          <w:left w:w="0" w:type="dxa"/>
          <w:bottom w:w="0" w:type="dxa"/>
          <w:right w:w="0" w:type="dxa"/>
        </w:tblCellMar>
      </w:tblPr>
      <w:tblGrid>
        <w:gridCol w:w="1235"/>
        <w:gridCol w:w="120"/>
        <w:gridCol w:w="1025"/>
        <w:gridCol w:w="120"/>
        <w:gridCol w:w="980"/>
        <w:gridCol w:w="12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2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2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2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108,167,385</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3,690,210</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1,022,848</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10,877,949</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4—Advisory Vote on Frequency of Future Say-On-Pay Votes: </w:t>
      </w:r>
    </w:p>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1235"/>
        <w:gridCol w:w="120"/>
        <w:gridCol w:w="680"/>
        <w:gridCol w:w="120"/>
        <w:gridCol w:w="980"/>
        <w:gridCol w:w="120"/>
        <w:gridCol w:w="980"/>
        <w:gridCol w:w="12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1 Year</w:t>
            </w:r>
          </w:p>
        </w:tc>
        <w:tc>
          <w:tcPr>
            <w:tcW w:w="12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 Years</w:t>
            </w:r>
          </w:p>
        </w:tc>
        <w:tc>
          <w:tcPr>
            <w:tcW w:w="12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3 Years</w:t>
            </w:r>
          </w:p>
        </w:tc>
        <w:tc>
          <w:tcPr>
            <w:tcW w:w="12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2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108,127,837</w:t>
            </w:r>
          </w:p>
        </w:tc>
        <w:tc>
          <w:tcPr>
            <w:tcW w:w="12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64,666</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3,611,866</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1,076,074</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10,877,949</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The Board had previously approved a frequency of every one year for future Say-on-Pay votes, subject to the same frequency receiving the highest number of votes from stockholders at the Annual Meeting. Accordingly, the Company will include an advisory vote to approve executive compensation on an annual basis until the next required vote on the frequency of future Say-on-Pay votes.</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5—Approval of Charter Amendment to Increase Authorized Capital Stock: </w:t>
      </w:r>
    </w:p>
    <w:p>
      <w:pPr>
        <w:pStyle w:val="TextBody"/>
        <w:bidi w:val="0"/>
        <w:spacing w:before="0" w:after="0"/>
        <w:jc w:val="left"/>
        <w:rPr/>
      </w:pPr>
      <w:r>
        <w:rPr/>
        <w:t> </w:t>
      </w:r>
    </w:p>
    <w:tbl>
      <w:tblPr>
        <w:tblW w:w="3375" w:type="dxa"/>
        <w:jc w:val="left"/>
        <w:tblInd w:w="0" w:type="dxa"/>
        <w:tblLayout w:type="fixed"/>
        <w:tblCellMar>
          <w:top w:w="0" w:type="dxa"/>
          <w:left w:w="0" w:type="dxa"/>
          <w:bottom w:w="0" w:type="dxa"/>
          <w:right w:w="0" w:type="dxa"/>
        </w:tblCellMar>
      </w:tblPr>
      <w:tblGrid>
        <w:gridCol w:w="1235"/>
        <w:gridCol w:w="120"/>
        <w:gridCol w:w="1025"/>
        <w:gridCol w:w="120"/>
        <w:gridCol w:w="8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2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r>
      <w:tr>
        <w:trPr/>
        <w:tc>
          <w:tcPr>
            <w:tcW w:w="1235" w:type="dxa"/>
            <w:tcBorders/>
            <w:shd w:fill="CCEEFF" w:val="clear"/>
            <w:vAlign w:val="center"/>
          </w:tcPr>
          <w:p>
            <w:pPr>
              <w:pStyle w:val="TableContents"/>
              <w:bidi w:val="0"/>
              <w:spacing w:before="0" w:after="283"/>
              <w:jc w:val="center"/>
              <w:rPr/>
            </w:pPr>
            <w:r>
              <w:rPr/>
              <w:t>120,916,020</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2,745,505</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96,867</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6—Approval of Charter Amendment to Provide Written Consent Right: </w:t>
      </w:r>
    </w:p>
    <w:p>
      <w:pPr>
        <w:pStyle w:val="TextBody"/>
        <w:bidi w:val="0"/>
        <w:spacing w:before="0" w:after="0"/>
        <w:jc w:val="left"/>
        <w:rPr/>
      </w:pPr>
      <w:r>
        <w:rPr/>
        <w:t> </w:t>
      </w:r>
    </w:p>
    <w:tbl>
      <w:tblPr>
        <w:tblW w:w="4835" w:type="dxa"/>
        <w:jc w:val="left"/>
        <w:tblInd w:w="0" w:type="dxa"/>
        <w:tblLayout w:type="fixed"/>
        <w:tblCellMar>
          <w:top w:w="0" w:type="dxa"/>
          <w:left w:w="0" w:type="dxa"/>
          <w:bottom w:w="0" w:type="dxa"/>
          <w:right w:w="0" w:type="dxa"/>
        </w:tblCellMar>
      </w:tblPr>
      <w:tblGrid>
        <w:gridCol w:w="1235"/>
        <w:gridCol w:w="120"/>
        <w:gridCol w:w="1025"/>
        <w:gridCol w:w="120"/>
        <w:gridCol w:w="860"/>
        <w:gridCol w:w="12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2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2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2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112,456,777</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417,500</w:t>
            </w:r>
          </w:p>
        </w:tc>
        <w:tc>
          <w:tcPr>
            <w:tcW w:w="12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6,166</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10,877,949</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7—Approval of Charter Amendment to Effect a Reverse Stock Split: </w:t>
      </w:r>
    </w:p>
    <w:p>
      <w:pPr>
        <w:pStyle w:val="TextBody"/>
        <w:bidi w:val="0"/>
        <w:spacing w:before="0" w:after="0"/>
        <w:jc w:val="left"/>
        <w:rPr/>
      </w:pPr>
      <w:r>
        <w:rPr/>
        <w:t> </w:t>
      </w:r>
    </w:p>
    <w:tbl>
      <w:tblPr>
        <w:tblW w:w="3375" w:type="dxa"/>
        <w:jc w:val="left"/>
        <w:tblInd w:w="0" w:type="dxa"/>
        <w:tblLayout w:type="fixed"/>
        <w:tblCellMar>
          <w:top w:w="0" w:type="dxa"/>
          <w:left w:w="0" w:type="dxa"/>
          <w:bottom w:w="0" w:type="dxa"/>
          <w:right w:w="0" w:type="dxa"/>
        </w:tblCellMar>
      </w:tblPr>
      <w:tblGrid>
        <w:gridCol w:w="1235"/>
        <w:gridCol w:w="120"/>
        <w:gridCol w:w="1025"/>
        <w:gridCol w:w="120"/>
        <w:gridCol w:w="8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2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r>
      <w:tr>
        <w:trPr/>
        <w:tc>
          <w:tcPr>
            <w:tcW w:w="1235" w:type="dxa"/>
            <w:tcBorders/>
            <w:shd w:fill="CCEEFF" w:val="clear"/>
            <w:vAlign w:val="center"/>
          </w:tcPr>
          <w:p>
            <w:pPr>
              <w:pStyle w:val="TableContents"/>
              <w:bidi w:val="0"/>
              <w:spacing w:before="0" w:after="283"/>
              <w:jc w:val="center"/>
              <w:rPr/>
            </w:pPr>
            <w:r>
              <w:rPr/>
              <w:t>121,087,262</w:t>
            </w:r>
          </w:p>
        </w:tc>
        <w:tc>
          <w:tcPr>
            <w:tcW w:w="12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2,639,613</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31,517</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14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63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GALERA THERAPEUTICS,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 M.D.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 Mel Sorensen, M.D.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821</Words>
  <Characters>4606</Characters>
  <CharactersWithSpaces>5467</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